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SCell.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Dynamic carrier switching introduces a lot of complexity and spec impact. The dynamic changes of PUCCH also increases gNB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lastRenderedPageBreak/>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lastRenderedPageBreak/>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lastRenderedPageBreak/>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lastRenderedPageBreak/>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1B3DF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1B3DF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Comments</w:t>
            </w:r>
          </w:p>
        </w:tc>
      </w:tr>
      <w:tr w:rsidR="00697CB7" w:rsidRPr="00566BAF" w14:paraId="77AA580D" w14:textId="77777777" w:rsidTr="001B3DFD">
        <w:tc>
          <w:tcPr>
            <w:tcW w:w="1544" w:type="dxa"/>
            <w:tcBorders>
              <w:top w:val="single" w:sz="4" w:space="0" w:color="auto"/>
              <w:left w:val="single" w:sz="4" w:space="0" w:color="auto"/>
              <w:bottom w:val="single" w:sz="4" w:space="0" w:color="auto"/>
              <w:right w:val="single" w:sz="4" w:space="0" w:color="auto"/>
            </w:tcBorders>
          </w:tcPr>
          <w:p w14:paraId="08AC316A" w14:textId="6C04A350" w:rsidR="00697CB7" w:rsidRPr="00566BAF" w:rsidRDefault="00697CB7" w:rsidP="001B3DFD">
            <w:pPr>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0F06921" w14:textId="040C6ED5" w:rsidR="00697CB7" w:rsidRPr="00566BAF" w:rsidRDefault="00697CB7" w:rsidP="001B3DF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1FDFB9C" w14:textId="150F390D" w:rsidR="00697CB7" w:rsidRPr="00566BAF" w:rsidRDefault="00697CB7" w:rsidP="001B3DFD">
            <w:pPr>
              <w:spacing w:beforeLines="50" w:before="120"/>
              <w:rPr>
                <w:iCs/>
                <w:kern w:val="2"/>
                <w:sz w:val="22"/>
                <w:szCs w:val="22"/>
                <w:lang w:eastAsia="zh-CN"/>
              </w:rPr>
            </w:pPr>
          </w:p>
        </w:tc>
      </w:tr>
      <w:tr w:rsidR="00697CB7" w:rsidRPr="00566BAF" w14:paraId="02AA8C91" w14:textId="77777777" w:rsidTr="001B3DFD">
        <w:tc>
          <w:tcPr>
            <w:tcW w:w="1544" w:type="dxa"/>
            <w:tcBorders>
              <w:top w:val="single" w:sz="4" w:space="0" w:color="auto"/>
              <w:left w:val="single" w:sz="4" w:space="0" w:color="auto"/>
              <w:bottom w:val="single" w:sz="4" w:space="0" w:color="auto"/>
              <w:right w:val="single" w:sz="4" w:space="0" w:color="auto"/>
            </w:tcBorders>
          </w:tcPr>
          <w:p w14:paraId="5D00D665" w14:textId="00CDF0CD"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42DBB49" w14:textId="08FA2E46"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97683C8"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56C2B95E" w14:textId="77777777" w:rsidTr="001B3DFD">
        <w:tc>
          <w:tcPr>
            <w:tcW w:w="1544" w:type="dxa"/>
            <w:tcBorders>
              <w:top w:val="single" w:sz="4" w:space="0" w:color="auto"/>
              <w:left w:val="single" w:sz="4" w:space="0" w:color="auto"/>
              <w:bottom w:val="single" w:sz="4" w:space="0" w:color="auto"/>
              <w:right w:val="single" w:sz="4" w:space="0" w:color="auto"/>
            </w:tcBorders>
          </w:tcPr>
          <w:p w14:paraId="63DF4248" w14:textId="265EBA9A"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FEB96D" w14:textId="779B92E1"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51C38FA"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55703B5C" w14:textId="77777777" w:rsidTr="001B3DFD">
        <w:tc>
          <w:tcPr>
            <w:tcW w:w="1544" w:type="dxa"/>
            <w:tcBorders>
              <w:top w:val="single" w:sz="4" w:space="0" w:color="auto"/>
              <w:left w:val="single" w:sz="4" w:space="0" w:color="auto"/>
              <w:bottom w:val="single" w:sz="4" w:space="0" w:color="auto"/>
              <w:right w:val="single" w:sz="4" w:space="0" w:color="auto"/>
            </w:tcBorders>
          </w:tcPr>
          <w:p w14:paraId="074E3061" w14:textId="4499B67D"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DA2BBEC" w14:textId="1E01C2C5"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7103FE6" w14:textId="1B296483" w:rsidR="00697CB7" w:rsidRPr="00566BAF" w:rsidRDefault="00697CB7" w:rsidP="001B3DFD">
            <w:pPr>
              <w:widowControl w:val="0"/>
              <w:spacing w:beforeLines="50" w:before="120"/>
              <w:rPr>
                <w:iCs/>
                <w:kern w:val="2"/>
                <w:sz w:val="22"/>
                <w:szCs w:val="22"/>
                <w:lang w:eastAsia="zh-CN"/>
              </w:rPr>
            </w:pPr>
          </w:p>
        </w:tc>
      </w:tr>
      <w:tr w:rsidR="00697CB7" w:rsidRPr="00566BAF" w14:paraId="2591F579" w14:textId="77777777" w:rsidTr="001B3DFD">
        <w:tc>
          <w:tcPr>
            <w:tcW w:w="1544" w:type="dxa"/>
            <w:tcBorders>
              <w:top w:val="single" w:sz="4" w:space="0" w:color="auto"/>
              <w:left w:val="single" w:sz="4" w:space="0" w:color="auto"/>
              <w:bottom w:val="single" w:sz="4" w:space="0" w:color="auto"/>
              <w:right w:val="single" w:sz="4" w:space="0" w:color="auto"/>
            </w:tcBorders>
          </w:tcPr>
          <w:p w14:paraId="4DA22C56" w14:textId="488D467B" w:rsidR="00697CB7" w:rsidRPr="00732395"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18BB901" w14:textId="57FAB8B8" w:rsidR="00697CB7" w:rsidRPr="00732395"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8454C6E" w14:textId="77777777" w:rsidR="00697CB7" w:rsidRDefault="00697CB7" w:rsidP="001B3DFD">
            <w:pPr>
              <w:widowControl w:val="0"/>
              <w:spacing w:beforeLines="50" w:before="120"/>
              <w:rPr>
                <w:iCs/>
                <w:kern w:val="2"/>
                <w:sz w:val="22"/>
                <w:szCs w:val="22"/>
                <w:lang w:eastAsia="zh-CN"/>
              </w:rPr>
            </w:pPr>
          </w:p>
        </w:tc>
      </w:tr>
      <w:tr w:rsidR="00697CB7" w:rsidRPr="00566BAF" w14:paraId="21B32AE3" w14:textId="77777777" w:rsidTr="001B3DFD">
        <w:tc>
          <w:tcPr>
            <w:tcW w:w="1544" w:type="dxa"/>
            <w:tcBorders>
              <w:top w:val="single" w:sz="4" w:space="0" w:color="auto"/>
              <w:left w:val="single" w:sz="4" w:space="0" w:color="auto"/>
              <w:bottom w:val="single" w:sz="4" w:space="0" w:color="auto"/>
              <w:right w:val="single" w:sz="4" w:space="0" w:color="auto"/>
            </w:tcBorders>
          </w:tcPr>
          <w:p w14:paraId="6B82F0CE" w14:textId="189F9AA8"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195D047A" w14:textId="6ED5BC24"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08176B1" w14:textId="77777777" w:rsidR="00697CB7" w:rsidRDefault="00697CB7" w:rsidP="001B3DFD">
            <w:pPr>
              <w:widowControl w:val="0"/>
              <w:spacing w:beforeLines="50" w:before="120"/>
              <w:rPr>
                <w:iCs/>
                <w:kern w:val="2"/>
                <w:sz w:val="22"/>
                <w:szCs w:val="22"/>
                <w:lang w:eastAsia="zh-CN"/>
              </w:rPr>
            </w:pPr>
          </w:p>
        </w:tc>
      </w:tr>
      <w:tr w:rsidR="00697CB7" w:rsidRPr="00566BAF" w14:paraId="50B25055" w14:textId="77777777" w:rsidTr="001B3DFD">
        <w:tc>
          <w:tcPr>
            <w:tcW w:w="1544" w:type="dxa"/>
            <w:tcBorders>
              <w:top w:val="single" w:sz="4" w:space="0" w:color="auto"/>
              <w:left w:val="single" w:sz="4" w:space="0" w:color="auto"/>
              <w:bottom w:val="single" w:sz="4" w:space="0" w:color="auto"/>
              <w:right w:val="single" w:sz="4" w:space="0" w:color="auto"/>
            </w:tcBorders>
          </w:tcPr>
          <w:p w14:paraId="7180FDFC" w14:textId="26C2DB4C" w:rsidR="00697CB7"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697CB7"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697CB7" w:rsidRDefault="00697CB7" w:rsidP="001B3DFD">
            <w:pPr>
              <w:widowControl w:val="0"/>
              <w:spacing w:beforeLines="50" w:before="120"/>
              <w:rPr>
                <w:iCs/>
                <w:kern w:val="2"/>
                <w:sz w:val="22"/>
                <w:szCs w:val="22"/>
                <w:lang w:eastAsia="zh-CN"/>
              </w:rPr>
            </w:pPr>
          </w:p>
        </w:tc>
      </w:tr>
      <w:tr w:rsidR="00697CB7" w:rsidRPr="00566BAF" w14:paraId="22D3090F" w14:textId="77777777" w:rsidTr="001B3DFD">
        <w:tc>
          <w:tcPr>
            <w:tcW w:w="1544" w:type="dxa"/>
            <w:tcBorders>
              <w:top w:val="single" w:sz="4" w:space="0" w:color="auto"/>
              <w:left w:val="single" w:sz="4" w:space="0" w:color="auto"/>
              <w:bottom w:val="single" w:sz="4" w:space="0" w:color="auto"/>
              <w:right w:val="single" w:sz="4" w:space="0" w:color="auto"/>
            </w:tcBorders>
          </w:tcPr>
          <w:p w14:paraId="63C0A13F" w14:textId="5451DE49"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697CB7" w:rsidRDefault="00697CB7" w:rsidP="001B3DFD">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2" w:name="_Hlk49226048"/>
      <w:r w:rsidRPr="0025043D">
        <w:rPr>
          <w:b/>
          <w:bCs/>
          <w:sz w:val="22"/>
          <w:szCs w:val="22"/>
          <w:lang w:val="en-US" w:eastAsia="zh-CN"/>
        </w:rPr>
        <w:t>of R1-2007216</w:t>
      </w:r>
      <w:bookmarkEnd w:id="12"/>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w:t>
      </w:r>
      <w:r>
        <w:rPr>
          <w:b/>
          <w:bCs/>
          <w:sz w:val="22"/>
          <w:szCs w:val="22"/>
          <w:lang w:val="en-US" w:eastAsia="zh-CN"/>
        </w:rPr>
        <w:t>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1B3DF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1B3DF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1B3DFD">
        <w:tc>
          <w:tcPr>
            <w:tcW w:w="1544" w:type="dxa"/>
            <w:tcBorders>
              <w:top w:val="single" w:sz="4" w:space="0" w:color="auto"/>
              <w:left w:val="single" w:sz="4" w:space="0" w:color="auto"/>
              <w:bottom w:val="single" w:sz="4" w:space="0" w:color="auto"/>
              <w:right w:val="single" w:sz="4" w:space="0" w:color="auto"/>
            </w:tcBorders>
          </w:tcPr>
          <w:p w14:paraId="568E4BF9" w14:textId="77777777" w:rsidR="00697CB7" w:rsidRPr="00566BAF" w:rsidRDefault="00697CB7" w:rsidP="001B3DFD">
            <w:pPr>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2C056613" w14:textId="77777777" w:rsidR="00697CB7" w:rsidRPr="00566BAF" w:rsidRDefault="00697CB7" w:rsidP="001B3DF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9BFD7" w14:textId="77777777" w:rsidR="00697CB7" w:rsidRPr="00566BAF" w:rsidRDefault="00697CB7" w:rsidP="001B3DFD">
            <w:pPr>
              <w:spacing w:beforeLines="50" w:before="120"/>
              <w:rPr>
                <w:iCs/>
                <w:kern w:val="2"/>
                <w:sz w:val="22"/>
                <w:szCs w:val="22"/>
                <w:lang w:eastAsia="zh-CN"/>
              </w:rPr>
            </w:pPr>
          </w:p>
        </w:tc>
      </w:tr>
      <w:tr w:rsidR="00697CB7" w:rsidRPr="00566BAF" w14:paraId="75E7CA06" w14:textId="77777777" w:rsidTr="001B3DFD">
        <w:tc>
          <w:tcPr>
            <w:tcW w:w="1544" w:type="dxa"/>
            <w:tcBorders>
              <w:top w:val="single" w:sz="4" w:space="0" w:color="auto"/>
              <w:left w:val="single" w:sz="4" w:space="0" w:color="auto"/>
              <w:bottom w:val="single" w:sz="4" w:space="0" w:color="auto"/>
              <w:right w:val="single" w:sz="4" w:space="0" w:color="auto"/>
            </w:tcBorders>
          </w:tcPr>
          <w:p w14:paraId="385E315E"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1098ACE2"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C2D0363"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3F9515A3" w14:textId="77777777" w:rsidTr="001B3DFD">
        <w:tc>
          <w:tcPr>
            <w:tcW w:w="1544" w:type="dxa"/>
            <w:tcBorders>
              <w:top w:val="single" w:sz="4" w:space="0" w:color="auto"/>
              <w:left w:val="single" w:sz="4" w:space="0" w:color="auto"/>
              <w:bottom w:val="single" w:sz="4" w:space="0" w:color="auto"/>
              <w:right w:val="single" w:sz="4" w:space="0" w:color="auto"/>
            </w:tcBorders>
          </w:tcPr>
          <w:p w14:paraId="583E38F2"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61B83FD"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46D9F571" w14:textId="77777777" w:rsidTr="001B3DFD">
        <w:tc>
          <w:tcPr>
            <w:tcW w:w="1544" w:type="dxa"/>
            <w:tcBorders>
              <w:top w:val="single" w:sz="4" w:space="0" w:color="auto"/>
              <w:left w:val="single" w:sz="4" w:space="0" w:color="auto"/>
              <w:bottom w:val="single" w:sz="4" w:space="0" w:color="auto"/>
              <w:right w:val="single" w:sz="4" w:space="0" w:color="auto"/>
            </w:tcBorders>
          </w:tcPr>
          <w:p w14:paraId="556BD6E5"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251FF060"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5555CE7"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4860D92A" w14:textId="77777777" w:rsidTr="001B3DFD">
        <w:tc>
          <w:tcPr>
            <w:tcW w:w="1544" w:type="dxa"/>
            <w:tcBorders>
              <w:top w:val="single" w:sz="4" w:space="0" w:color="auto"/>
              <w:left w:val="single" w:sz="4" w:space="0" w:color="auto"/>
              <w:bottom w:val="single" w:sz="4" w:space="0" w:color="auto"/>
              <w:right w:val="single" w:sz="4" w:space="0" w:color="auto"/>
            </w:tcBorders>
          </w:tcPr>
          <w:p w14:paraId="32A9BCA1" w14:textId="77777777" w:rsidR="00697CB7" w:rsidRPr="00732395"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34B63864" w14:textId="77777777" w:rsidR="00697CB7" w:rsidRPr="00732395"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9E2E3E" w14:textId="77777777" w:rsidR="00697CB7" w:rsidRDefault="00697CB7" w:rsidP="001B3DFD">
            <w:pPr>
              <w:widowControl w:val="0"/>
              <w:spacing w:beforeLines="50" w:before="120"/>
              <w:rPr>
                <w:iCs/>
                <w:kern w:val="2"/>
                <w:sz w:val="22"/>
                <w:szCs w:val="22"/>
                <w:lang w:eastAsia="zh-CN"/>
              </w:rPr>
            </w:pPr>
          </w:p>
        </w:tc>
      </w:tr>
      <w:tr w:rsidR="00697CB7" w:rsidRPr="00566BAF" w14:paraId="775489B8" w14:textId="77777777" w:rsidTr="001B3DFD">
        <w:tc>
          <w:tcPr>
            <w:tcW w:w="1544" w:type="dxa"/>
            <w:tcBorders>
              <w:top w:val="single" w:sz="4" w:space="0" w:color="auto"/>
              <w:left w:val="single" w:sz="4" w:space="0" w:color="auto"/>
              <w:bottom w:val="single" w:sz="4" w:space="0" w:color="auto"/>
              <w:right w:val="single" w:sz="4" w:space="0" w:color="auto"/>
            </w:tcBorders>
          </w:tcPr>
          <w:p w14:paraId="4677F587" w14:textId="77777777"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3130AA6" w14:textId="77777777"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C8C242D" w14:textId="77777777" w:rsidR="00697CB7" w:rsidRDefault="00697CB7" w:rsidP="001B3DFD">
            <w:pPr>
              <w:widowControl w:val="0"/>
              <w:spacing w:beforeLines="50" w:before="120"/>
              <w:rPr>
                <w:iCs/>
                <w:kern w:val="2"/>
                <w:sz w:val="22"/>
                <w:szCs w:val="22"/>
                <w:lang w:eastAsia="zh-CN"/>
              </w:rPr>
            </w:pPr>
          </w:p>
        </w:tc>
      </w:tr>
      <w:tr w:rsidR="00697CB7" w:rsidRPr="00566BAF" w14:paraId="3BBFE604" w14:textId="77777777" w:rsidTr="001B3DFD">
        <w:tc>
          <w:tcPr>
            <w:tcW w:w="1544" w:type="dxa"/>
            <w:tcBorders>
              <w:top w:val="single" w:sz="4" w:space="0" w:color="auto"/>
              <w:left w:val="single" w:sz="4" w:space="0" w:color="auto"/>
              <w:bottom w:val="single" w:sz="4" w:space="0" w:color="auto"/>
              <w:right w:val="single" w:sz="4" w:space="0" w:color="auto"/>
            </w:tcBorders>
          </w:tcPr>
          <w:p w14:paraId="01345199" w14:textId="77777777" w:rsidR="00697CB7"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697CB7"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697CB7" w:rsidRDefault="00697CB7" w:rsidP="001B3DFD">
            <w:pPr>
              <w:widowControl w:val="0"/>
              <w:spacing w:beforeLines="50" w:before="120"/>
              <w:rPr>
                <w:iCs/>
                <w:kern w:val="2"/>
                <w:sz w:val="22"/>
                <w:szCs w:val="22"/>
                <w:lang w:eastAsia="zh-CN"/>
              </w:rPr>
            </w:pPr>
          </w:p>
        </w:tc>
      </w:tr>
      <w:tr w:rsidR="00697CB7" w:rsidRPr="00566BAF" w14:paraId="5ECEBCF0" w14:textId="77777777" w:rsidTr="001B3DFD">
        <w:tc>
          <w:tcPr>
            <w:tcW w:w="1544" w:type="dxa"/>
            <w:tcBorders>
              <w:top w:val="single" w:sz="4" w:space="0" w:color="auto"/>
              <w:left w:val="single" w:sz="4" w:space="0" w:color="auto"/>
              <w:bottom w:val="single" w:sz="4" w:space="0" w:color="auto"/>
              <w:right w:val="single" w:sz="4" w:space="0" w:color="auto"/>
            </w:tcBorders>
          </w:tcPr>
          <w:p w14:paraId="4BE80E2E" w14:textId="77777777"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697CB7" w:rsidRDefault="00697CB7" w:rsidP="001B3DFD">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w:t>
      </w:r>
      <w:r>
        <w:rPr>
          <w:b/>
          <w:bCs/>
          <w:sz w:val="22"/>
          <w:szCs w:val="22"/>
          <w:lang w:val="en-US" w:eastAsia="zh-CN"/>
        </w:rPr>
        <w:t>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1B3DF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1B3DF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1B3DF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1B3DF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B3DFD">
        <w:tc>
          <w:tcPr>
            <w:tcW w:w="1544" w:type="dxa"/>
            <w:tcBorders>
              <w:top w:val="single" w:sz="4" w:space="0" w:color="auto"/>
              <w:left w:val="single" w:sz="4" w:space="0" w:color="auto"/>
              <w:bottom w:val="single" w:sz="4" w:space="0" w:color="auto"/>
              <w:right w:val="single" w:sz="4" w:space="0" w:color="auto"/>
            </w:tcBorders>
          </w:tcPr>
          <w:p w14:paraId="6D9DFEB9" w14:textId="77777777" w:rsidR="00310AA8" w:rsidRPr="00566BAF" w:rsidRDefault="00310AA8" w:rsidP="001B3DFD">
            <w:pPr>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141E795" w14:textId="77777777" w:rsidR="00310AA8" w:rsidRPr="00566BAF" w:rsidRDefault="00310AA8" w:rsidP="001B3DF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85E1A05" w14:textId="77777777" w:rsidR="00310AA8" w:rsidRPr="00566BAF" w:rsidRDefault="00310AA8" w:rsidP="001B3DFD">
            <w:pPr>
              <w:spacing w:beforeLines="50" w:before="120"/>
              <w:rPr>
                <w:iCs/>
                <w:kern w:val="2"/>
                <w:sz w:val="22"/>
                <w:szCs w:val="22"/>
                <w:lang w:eastAsia="zh-CN"/>
              </w:rPr>
            </w:pPr>
          </w:p>
        </w:tc>
      </w:tr>
      <w:tr w:rsidR="00310AA8" w:rsidRPr="00566BAF" w14:paraId="0CF6DB4B" w14:textId="77777777" w:rsidTr="001B3DFD">
        <w:tc>
          <w:tcPr>
            <w:tcW w:w="1544" w:type="dxa"/>
            <w:tcBorders>
              <w:top w:val="single" w:sz="4" w:space="0" w:color="auto"/>
              <w:left w:val="single" w:sz="4" w:space="0" w:color="auto"/>
              <w:bottom w:val="single" w:sz="4" w:space="0" w:color="auto"/>
              <w:right w:val="single" w:sz="4" w:space="0" w:color="auto"/>
            </w:tcBorders>
          </w:tcPr>
          <w:p w14:paraId="11070A11" w14:textId="77777777" w:rsidR="00310AA8" w:rsidRPr="00566BAF" w:rsidRDefault="00310AA8"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619DB48" w14:textId="77777777" w:rsidR="00310AA8" w:rsidRPr="00566BAF" w:rsidRDefault="00310AA8"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8FE4055" w14:textId="77777777" w:rsidR="00310AA8" w:rsidRPr="00566BAF" w:rsidRDefault="00310AA8" w:rsidP="001B3DFD">
            <w:pPr>
              <w:widowControl w:val="0"/>
              <w:spacing w:beforeLines="50" w:before="120"/>
              <w:rPr>
                <w:iCs/>
                <w:kern w:val="2"/>
                <w:sz w:val="22"/>
                <w:szCs w:val="22"/>
                <w:lang w:eastAsia="zh-CN"/>
              </w:rPr>
            </w:pPr>
          </w:p>
        </w:tc>
      </w:tr>
      <w:tr w:rsidR="00310AA8" w:rsidRPr="00566BAF" w14:paraId="0D96B42C" w14:textId="77777777" w:rsidTr="001B3DFD">
        <w:tc>
          <w:tcPr>
            <w:tcW w:w="1544" w:type="dxa"/>
            <w:tcBorders>
              <w:top w:val="single" w:sz="4" w:space="0" w:color="auto"/>
              <w:left w:val="single" w:sz="4" w:space="0" w:color="auto"/>
              <w:bottom w:val="single" w:sz="4" w:space="0" w:color="auto"/>
              <w:right w:val="single" w:sz="4" w:space="0" w:color="auto"/>
            </w:tcBorders>
          </w:tcPr>
          <w:p w14:paraId="75477AA0" w14:textId="77777777" w:rsidR="00310AA8" w:rsidRPr="00566BAF" w:rsidRDefault="00310AA8"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23836AC" w14:textId="77777777" w:rsidR="00310AA8" w:rsidRPr="00566BAF" w:rsidRDefault="00310AA8"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1B3DFD">
            <w:pPr>
              <w:widowControl w:val="0"/>
              <w:spacing w:beforeLines="50" w:before="120"/>
              <w:rPr>
                <w:iCs/>
                <w:kern w:val="2"/>
                <w:sz w:val="22"/>
                <w:szCs w:val="22"/>
                <w:lang w:eastAsia="zh-CN"/>
              </w:rPr>
            </w:pPr>
          </w:p>
        </w:tc>
      </w:tr>
      <w:tr w:rsidR="00310AA8" w:rsidRPr="00566BAF" w14:paraId="275A55A0" w14:textId="77777777" w:rsidTr="001B3DFD">
        <w:tc>
          <w:tcPr>
            <w:tcW w:w="1544" w:type="dxa"/>
            <w:tcBorders>
              <w:top w:val="single" w:sz="4" w:space="0" w:color="auto"/>
              <w:left w:val="single" w:sz="4" w:space="0" w:color="auto"/>
              <w:bottom w:val="single" w:sz="4" w:space="0" w:color="auto"/>
              <w:right w:val="single" w:sz="4" w:space="0" w:color="auto"/>
            </w:tcBorders>
          </w:tcPr>
          <w:p w14:paraId="698AA26C" w14:textId="77777777" w:rsidR="00310AA8" w:rsidRPr="00566BAF" w:rsidRDefault="00310AA8"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85EA0C" w14:textId="77777777" w:rsidR="00310AA8" w:rsidRPr="00566BAF" w:rsidRDefault="00310AA8"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A70758C" w14:textId="77777777" w:rsidR="00310AA8" w:rsidRPr="00566BAF" w:rsidRDefault="00310AA8" w:rsidP="001B3DFD">
            <w:pPr>
              <w:widowControl w:val="0"/>
              <w:spacing w:beforeLines="50" w:before="120"/>
              <w:rPr>
                <w:iCs/>
                <w:kern w:val="2"/>
                <w:sz w:val="22"/>
                <w:szCs w:val="22"/>
                <w:lang w:eastAsia="zh-CN"/>
              </w:rPr>
            </w:pPr>
          </w:p>
        </w:tc>
      </w:tr>
      <w:tr w:rsidR="00310AA8" w:rsidRPr="00566BAF" w14:paraId="6ACE738A" w14:textId="77777777" w:rsidTr="001B3DFD">
        <w:tc>
          <w:tcPr>
            <w:tcW w:w="1544" w:type="dxa"/>
            <w:tcBorders>
              <w:top w:val="single" w:sz="4" w:space="0" w:color="auto"/>
              <w:left w:val="single" w:sz="4" w:space="0" w:color="auto"/>
              <w:bottom w:val="single" w:sz="4" w:space="0" w:color="auto"/>
              <w:right w:val="single" w:sz="4" w:space="0" w:color="auto"/>
            </w:tcBorders>
          </w:tcPr>
          <w:p w14:paraId="4F93A5D4" w14:textId="77777777" w:rsidR="00310AA8" w:rsidRPr="00732395" w:rsidRDefault="00310AA8"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E4D9386" w14:textId="77777777" w:rsidR="00310AA8" w:rsidRPr="00732395" w:rsidRDefault="00310AA8"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216FE5" w14:textId="77777777" w:rsidR="00310AA8" w:rsidRDefault="00310AA8" w:rsidP="001B3DFD">
            <w:pPr>
              <w:widowControl w:val="0"/>
              <w:spacing w:beforeLines="50" w:before="120"/>
              <w:rPr>
                <w:iCs/>
                <w:kern w:val="2"/>
                <w:sz w:val="22"/>
                <w:szCs w:val="22"/>
                <w:lang w:eastAsia="zh-CN"/>
              </w:rPr>
            </w:pPr>
          </w:p>
        </w:tc>
      </w:tr>
      <w:tr w:rsidR="00310AA8" w:rsidRPr="00566BAF" w14:paraId="2935775A" w14:textId="77777777" w:rsidTr="001B3DFD">
        <w:tc>
          <w:tcPr>
            <w:tcW w:w="1544" w:type="dxa"/>
            <w:tcBorders>
              <w:top w:val="single" w:sz="4" w:space="0" w:color="auto"/>
              <w:left w:val="single" w:sz="4" w:space="0" w:color="auto"/>
              <w:bottom w:val="single" w:sz="4" w:space="0" w:color="auto"/>
              <w:right w:val="single" w:sz="4" w:space="0" w:color="auto"/>
            </w:tcBorders>
          </w:tcPr>
          <w:p w14:paraId="0D335CB0" w14:textId="77777777" w:rsidR="00310AA8" w:rsidRDefault="00310AA8"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677809E" w14:textId="77777777" w:rsidR="00310AA8" w:rsidRDefault="00310AA8"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8DD51D" w14:textId="77777777" w:rsidR="00310AA8" w:rsidRDefault="00310AA8" w:rsidP="001B3DFD">
            <w:pPr>
              <w:widowControl w:val="0"/>
              <w:spacing w:beforeLines="50" w:before="120"/>
              <w:rPr>
                <w:iCs/>
                <w:kern w:val="2"/>
                <w:sz w:val="22"/>
                <w:szCs w:val="22"/>
                <w:lang w:eastAsia="zh-CN"/>
              </w:rPr>
            </w:pPr>
          </w:p>
        </w:tc>
      </w:tr>
      <w:tr w:rsidR="00310AA8" w:rsidRPr="00566BAF" w14:paraId="4062B326" w14:textId="77777777" w:rsidTr="001B3DFD">
        <w:tc>
          <w:tcPr>
            <w:tcW w:w="1544" w:type="dxa"/>
            <w:tcBorders>
              <w:top w:val="single" w:sz="4" w:space="0" w:color="auto"/>
              <w:left w:val="single" w:sz="4" w:space="0" w:color="auto"/>
              <w:bottom w:val="single" w:sz="4" w:space="0" w:color="auto"/>
              <w:right w:val="single" w:sz="4" w:space="0" w:color="auto"/>
            </w:tcBorders>
          </w:tcPr>
          <w:p w14:paraId="03308BEB" w14:textId="77777777" w:rsidR="00310AA8" w:rsidRDefault="00310AA8"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310AA8" w:rsidRDefault="00310AA8"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310AA8" w:rsidRDefault="00310AA8" w:rsidP="001B3DFD">
            <w:pPr>
              <w:widowControl w:val="0"/>
              <w:spacing w:beforeLines="50" w:before="120"/>
              <w:rPr>
                <w:iCs/>
                <w:kern w:val="2"/>
                <w:sz w:val="22"/>
                <w:szCs w:val="22"/>
                <w:lang w:eastAsia="zh-CN"/>
              </w:rPr>
            </w:pPr>
          </w:p>
        </w:tc>
      </w:tr>
      <w:tr w:rsidR="00310AA8" w:rsidRPr="00566BAF" w14:paraId="4B40D910" w14:textId="77777777" w:rsidTr="001B3DFD">
        <w:tc>
          <w:tcPr>
            <w:tcW w:w="1544" w:type="dxa"/>
            <w:tcBorders>
              <w:top w:val="single" w:sz="4" w:space="0" w:color="auto"/>
              <w:left w:val="single" w:sz="4" w:space="0" w:color="auto"/>
              <w:bottom w:val="single" w:sz="4" w:space="0" w:color="auto"/>
              <w:right w:val="single" w:sz="4" w:space="0" w:color="auto"/>
            </w:tcBorders>
          </w:tcPr>
          <w:p w14:paraId="257F7E0A" w14:textId="77777777" w:rsidR="00310AA8" w:rsidRDefault="00310AA8"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310AA8" w:rsidRDefault="00310AA8"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310AA8" w:rsidRDefault="00310AA8" w:rsidP="001B3DFD">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152409D0" w14:textId="77777777" w:rsidR="00310AA8" w:rsidRDefault="00310AA8" w:rsidP="00612140">
      <w:pPr>
        <w:jc w:val="both"/>
        <w:rPr>
          <w:b/>
          <w:bCs/>
          <w:sz w:val="22"/>
          <w:szCs w:val="22"/>
          <w:lang w:val="en-US" w:eastAsia="zh-CN"/>
        </w:rPr>
      </w:pPr>
    </w:p>
    <w:p w14:paraId="294F12FD" w14:textId="77777777" w:rsidR="00310AA8" w:rsidRDefault="00310AA8" w:rsidP="00612140">
      <w:pPr>
        <w:jc w:val="both"/>
        <w:rPr>
          <w:b/>
          <w:bCs/>
          <w:sz w:val="22"/>
          <w:szCs w:val="22"/>
          <w:lang w:val="en-US" w:eastAsia="zh-CN"/>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1B3DF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1B3DF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1B3DF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1B3DFD">
        <w:tc>
          <w:tcPr>
            <w:tcW w:w="1544" w:type="dxa"/>
            <w:tcBorders>
              <w:top w:val="single" w:sz="4" w:space="0" w:color="auto"/>
              <w:left w:val="single" w:sz="4" w:space="0" w:color="auto"/>
              <w:bottom w:val="single" w:sz="4" w:space="0" w:color="auto"/>
              <w:right w:val="single" w:sz="4" w:space="0" w:color="auto"/>
            </w:tcBorders>
          </w:tcPr>
          <w:p w14:paraId="41B52542" w14:textId="77777777" w:rsidR="00697CB7" w:rsidRPr="00566BAF" w:rsidRDefault="00697CB7" w:rsidP="001B3DFD">
            <w:pPr>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D633F73" w14:textId="77777777" w:rsidR="00697CB7" w:rsidRPr="00566BAF" w:rsidRDefault="00697CB7" w:rsidP="001B3DF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385FCE3" w14:textId="77777777" w:rsidR="00697CB7" w:rsidRPr="00566BAF" w:rsidRDefault="00697CB7" w:rsidP="001B3DFD">
            <w:pPr>
              <w:spacing w:beforeLines="50" w:before="120"/>
              <w:rPr>
                <w:iCs/>
                <w:kern w:val="2"/>
                <w:sz w:val="22"/>
                <w:szCs w:val="22"/>
                <w:lang w:eastAsia="zh-CN"/>
              </w:rPr>
            </w:pPr>
          </w:p>
        </w:tc>
      </w:tr>
      <w:tr w:rsidR="00697CB7" w:rsidRPr="00566BAF" w14:paraId="7B200CF1" w14:textId="77777777" w:rsidTr="001B3DFD">
        <w:tc>
          <w:tcPr>
            <w:tcW w:w="1544" w:type="dxa"/>
            <w:tcBorders>
              <w:top w:val="single" w:sz="4" w:space="0" w:color="auto"/>
              <w:left w:val="single" w:sz="4" w:space="0" w:color="auto"/>
              <w:bottom w:val="single" w:sz="4" w:space="0" w:color="auto"/>
              <w:right w:val="single" w:sz="4" w:space="0" w:color="auto"/>
            </w:tcBorders>
          </w:tcPr>
          <w:p w14:paraId="6420FAB2"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03E623E"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5DEDE4B4" w14:textId="77777777" w:rsidTr="001B3DFD">
        <w:tc>
          <w:tcPr>
            <w:tcW w:w="1544" w:type="dxa"/>
            <w:tcBorders>
              <w:top w:val="single" w:sz="4" w:space="0" w:color="auto"/>
              <w:left w:val="single" w:sz="4" w:space="0" w:color="auto"/>
              <w:bottom w:val="single" w:sz="4" w:space="0" w:color="auto"/>
              <w:right w:val="single" w:sz="4" w:space="0" w:color="auto"/>
            </w:tcBorders>
          </w:tcPr>
          <w:p w14:paraId="179D787B"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F23D523"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29590E0F" w14:textId="77777777" w:rsidTr="001B3DFD">
        <w:tc>
          <w:tcPr>
            <w:tcW w:w="1544" w:type="dxa"/>
            <w:tcBorders>
              <w:top w:val="single" w:sz="4" w:space="0" w:color="auto"/>
              <w:left w:val="single" w:sz="4" w:space="0" w:color="auto"/>
              <w:bottom w:val="single" w:sz="4" w:space="0" w:color="auto"/>
              <w:right w:val="single" w:sz="4" w:space="0" w:color="auto"/>
            </w:tcBorders>
          </w:tcPr>
          <w:p w14:paraId="0A6BAF7A" w14:textId="77777777" w:rsidR="00697CB7" w:rsidRPr="00566BAF"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03785E1" w14:textId="77777777" w:rsidR="00697CB7" w:rsidRPr="00566BAF"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D17E92C" w14:textId="77777777" w:rsidR="00697CB7" w:rsidRPr="00566BAF" w:rsidRDefault="00697CB7" w:rsidP="001B3DFD">
            <w:pPr>
              <w:widowControl w:val="0"/>
              <w:spacing w:beforeLines="50" w:before="120"/>
              <w:rPr>
                <w:iCs/>
                <w:kern w:val="2"/>
                <w:sz w:val="22"/>
                <w:szCs w:val="22"/>
                <w:lang w:eastAsia="zh-CN"/>
              </w:rPr>
            </w:pPr>
          </w:p>
        </w:tc>
      </w:tr>
      <w:tr w:rsidR="00697CB7" w:rsidRPr="00566BAF" w14:paraId="3E9C67CA" w14:textId="77777777" w:rsidTr="001B3DFD">
        <w:tc>
          <w:tcPr>
            <w:tcW w:w="1544" w:type="dxa"/>
            <w:tcBorders>
              <w:top w:val="single" w:sz="4" w:space="0" w:color="auto"/>
              <w:left w:val="single" w:sz="4" w:space="0" w:color="auto"/>
              <w:bottom w:val="single" w:sz="4" w:space="0" w:color="auto"/>
              <w:right w:val="single" w:sz="4" w:space="0" w:color="auto"/>
            </w:tcBorders>
          </w:tcPr>
          <w:p w14:paraId="587D1D74" w14:textId="77777777" w:rsidR="00697CB7" w:rsidRPr="00732395"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2DFDA55" w14:textId="77777777" w:rsidR="00697CB7" w:rsidRPr="00732395"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697CB7" w:rsidRDefault="00697CB7" w:rsidP="001B3DFD">
            <w:pPr>
              <w:widowControl w:val="0"/>
              <w:spacing w:beforeLines="50" w:before="120"/>
              <w:rPr>
                <w:iCs/>
                <w:kern w:val="2"/>
                <w:sz w:val="22"/>
                <w:szCs w:val="22"/>
                <w:lang w:eastAsia="zh-CN"/>
              </w:rPr>
            </w:pPr>
          </w:p>
        </w:tc>
      </w:tr>
      <w:tr w:rsidR="00697CB7" w:rsidRPr="00566BAF" w14:paraId="7AD2C12E" w14:textId="77777777" w:rsidTr="001B3DFD">
        <w:tc>
          <w:tcPr>
            <w:tcW w:w="1544" w:type="dxa"/>
            <w:tcBorders>
              <w:top w:val="single" w:sz="4" w:space="0" w:color="auto"/>
              <w:left w:val="single" w:sz="4" w:space="0" w:color="auto"/>
              <w:bottom w:val="single" w:sz="4" w:space="0" w:color="auto"/>
              <w:right w:val="single" w:sz="4" w:space="0" w:color="auto"/>
            </w:tcBorders>
          </w:tcPr>
          <w:p w14:paraId="11467672" w14:textId="77777777"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73AA085" w14:textId="77777777"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697CB7" w:rsidRDefault="00697CB7" w:rsidP="001B3DFD">
            <w:pPr>
              <w:widowControl w:val="0"/>
              <w:spacing w:beforeLines="50" w:before="120"/>
              <w:rPr>
                <w:iCs/>
                <w:kern w:val="2"/>
                <w:sz w:val="22"/>
                <w:szCs w:val="22"/>
                <w:lang w:eastAsia="zh-CN"/>
              </w:rPr>
            </w:pPr>
          </w:p>
        </w:tc>
      </w:tr>
      <w:tr w:rsidR="00697CB7" w:rsidRPr="00566BAF" w14:paraId="4CFD485A" w14:textId="77777777" w:rsidTr="001B3DFD">
        <w:tc>
          <w:tcPr>
            <w:tcW w:w="1544" w:type="dxa"/>
            <w:tcBorders>
              <w:top w:val="single" w:sz="4" w:space="0" w:color="auto"/>
              <w:left w:val="single" w:sz="4" w:space="0" w:color="auto"/>
              <w:bottom w:val="single" w:sz="4" w:space="0" w:color="auto"/>
              <w:right w:val="single" w:sz="4" w:space="0" w:color="auto"/>
            </w:tcBorders>
          </w:tcPr>
          <w:p w14:paraId="0249FCD2" w14:textId="77777777" w:rsidR="00697CB7" w:rsidRDefault="00697CB7"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697CB7" w:rsidRDefault="00697CB7"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697CB7" w:rsidRDefault="00697CB7" w:rsidP="001B3DFD">
            <w:pPr>
              <w:widowControl w:val="0"/>
              <w:spacing w:beforeLines="50" w:before="120"/>
              <w:rPr>
                <w:iCs/>
                <w:kern w:val="2"/>
                <w:sz w:val="22"/>
                <w:szCs w:val="22"/>
                <w:lang w:eastAsia="zh-CN"/>
              </w:rPr>
            </w:pPr>
          </w:p>
        </w:tc>
      </w:tr>
      <w:tr w:rsidR="00697CB7" w:rsidRPr="00566BAF" w14:paraId="5753CAD6" w14:textId="77777777" w:rsidTr="001B3DFD">
        <w:tc>
          <w:tcPr>
            <w:tcW w:w="1544" w:type="dxa"/>
            <w:tcBorders>
              <w:top w:val="single" w:sz="4" w:space="0" w:color="auto"/>
              <w:left w:val="single" w:sz="4" w:space="0" w:color="auto"/>
              <w:bottom w:val="single" w:sz="4" w:space="0" w:color="auto"/>
              <w:right w:val="single" w:sz="4" w:space="0" w:color="auto"/>
            </w:tcBorders>
          </w:tcPr>
          <w:p w14:paraId="2BCD7818" w14:textId="77777777" w:rsidR="00697CB7" w:rsidRDefault="00697CB7"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697CB7" w:rsidRDefault="00697CB7"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697CB7" w:rsidRDefault="00697CB7" w:rsidP="001B3DFD">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2872591B" w14:textId="45D11F13" w:rsidR="00697CB7" w:rsidRDefault="00697CB7" w:rsidP="00612140">
      <w:pPr>
        <w:jc w:val="both"/>
        <w:rPr>
          <w:sz w:val="22"/>
          <w:szCs w:val="22"/>
          <w:lang w:val="en-US" w:eastAsia="zh-CN"/>
        </w:rPr>
      </w:pPr>
    </w:p>
    <w:p w14:paraId="02A1F393" w14:textId="1A09EF73" w:rsidR="00697CB7" w:rsidRDefault="00697CB7" w:rsidP="00612140">
      <w:pPr>
        <w:jc w:val="both"/>
        <w:rPr>
          <w:sz w:val="22"/>
          <w:szCs w:val="22"/>
          <w:lang w:val="en-US" w:eastAsia="zh-CN"/>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bookmarkStart w:id="13" w:name="_GoBack"/>
      <w:bookmarkEnd w:id="13"/>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w:t>
      </w:r>
      <w:r w:rsidRPr="00E8479E">
        <w:rPr>
          <w:b/>
          <w:bCs/>
          <w:sz w:val="22"/>
          <w:szCs w:val="22"/>
          <w:highlight w:val="yellow"/>
          <w:lang w:val="en-US" w:eastAsia="zh-CN"/>
        </w:rPr>
        <w:t>5</w:t>
      </w:r>
      <w:r w:rsidRPr="00E8479E">
        <w:rPr>
          <w:b/>
          <w:bCs/>
          <w:sz w:val="22"/>
          <w:szCs w:val="22"/>
          <w:highlight w:val="yellow"/>
          <w:lang w:val="en-US" w:eastAsia="zh-CN"/>
        </w:rPr>
        <w:t>:</w:t>
      </w:r>
      <w:r w:rsidRPr="00697CB7">
        <w:rPr>
          <w:b/>
          <w:bCs/>
          <w:sz w:val="22"/>
          <w:szCs w:val="22"/>
          <w:lang w:val="en-US" w:eastAsia="zh-CN"/>
        </w:rPr>
        <w:t xml:space="preserve"> Do you support the Proposal </w:t>
      </w:r>
      <w:r>
        <w:rPr>
          <w:b/>
          <w:bCs/>
          <w:sz w:val="22"/>
          <w:szCs w:val="22"/>
          <w:lang w:val="en-US" w:eastAsia="zh-CN"/>
        </w:rPr>
        <w:t>2.4-</w:t>
      </w:r>
      <w:r>
        <w:rPr>
          <w:b/>
          <w:bCs/>
          <w:sz w:val="22"/>
          <w:szCs w:val="22"/>
          <w:lang w:val="en-US" w:eastAsia="zh-CN"/>
        </w:rPr>
        <w:t>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1B3DF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1B3DF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1B3DF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1B3DF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1B3DFD">
        <w:tc>
          <w:tcPr>
            <w:tcW w:w="1544" w:type="dxa"/>
            <w:tcBorders>
              <w:top w:val="single" w:sz="4" w:space="0" w:color="auto"/>
              <w:left w:val="single" w:sz="4" w:space="0" w:color="auto"/>
              <w:bottom w:val="single" w:sz="4" w:space="0" w:color="auto"/>
              <w:right w:val="single" w:sz="4" w:space="0" w:color="auto"/>
            </w:tcBorders>
          </w:tcPr>
          <w:p w14:paraId="73FAA003" w14:textId="77777777" w:rsidR="00E8479E" w:rsidRPr="00566BAF" w:rsidRDefault="00E8479E" w:rsidP="001B3DFD">
            <w:pPr>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0D994A3" w14:textId="77777777" w:rsidR="00E8479E" w:rsidRPr="00566BAF" w:rsidRDefault="00E8479E" w:rsidP="001B3DF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77777777" w:rsidR="00E8479E" w:rsidRPr="00566BAF" w:rsidRDefault="00E8479E" w:rsidP="001B3DFD">
            <w:pPr>
              <w:spacing w:beforeLines="50" w:before="120"/>
              <w:rPr>
                <w:iCs/>
                <w:kern w:val="2"/>
                <w:sz w:val="22"/>
                <w:szCs w:val="22"/>
                <w:lang w:eastAsia="zh-CN"/>
              </w:rPr>
            </w:pPr>
          </w:p>
        </w:tc>
      </w:tr>
      <w:tr w:rsidR="00E8479E" w:rsidRPr="00566BAF" w14:paraId="3932F7A0" w14:textId="77777777" w:rsidTr="001B3DFD">
        <w:tc>
          <w:tcPr>
            <w:tcW w:w="1544" w:type="dxa"/>
            <w:tcBorders>
              <w:top w:val="single" w:sz="4" w:space="0" w:color="auto"/>
              <w:left w:val="single" w:sz="4" w:space="0" w:color="auto"/>
              <w:bottom w:val="single" w:sz="4" w:space="0" w:color="auto"/>
              <w:right w:val="single" w:sz="4" w:space="0" w:color="auto"/>
            </w:tcBorders>
          </w:tcPr>
          <w:p w14:paraId="19F7A17B" w14:textId="77777777" w:rsidR="00E8479E" w:rsidRPr="00566BAF" w:rsidRDefault="00E8479E"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BFA9AAA" w14:textId="77777777" w:rsidR="00E8479E" w:rsidRPr="00566BAF" w:rsidRDefault="00E8479E"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1B3DFD">
            <w:pPr>
              <w:widowControl w:val="0"/>
              <w:spacing w:beforeLines="50" w:before="120"/>
              <w:rPr>
                <w:iCs/>
                <w:kern w:val="2"/>
                <w:sz w:val="22"/>
                <w:szCs w:val="22"/>
                <w:lang w:eastAsia="zh-CN"/>
              </w:rPr>
            </w:pPr>
          </w:p>
        </w:tc>
      </w:tr>
      <w:tr w:rsidR="00E8479E" w:rsidRPr="00566BAF" w14:paraId="3C10B9DA" w14:textId="77777777" w:rsidTr="001B3DFD">
        <w:tc>
          <w:tcPr>
            <w:tcW w:w="1544" w:type="dxa"/>
            <w:tcBorders>
              <w:top w:val="single" w:sz="4" w:space="0" w:color="auto"/>
              <w:left w:val="single" w:sz="4" w:space="0" w:color="auto"/>
              <w:bottom w:val="single" w:sz="4" w:space="0" w:color="auto"/>
              <w:right w:val="single" w:sz="4" w:space="0" w:color="auto"/>
            </w:tcBorders>
          </w:tcPr>
          <w:p w14:paraId="7352933B" w14:textId="77777777" w:rsidR="00E8479E" w:rsidRPr="00566BAF" w:rsidRDefault="00E8479E"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1E74408" w14:textId="77777777" w:rsidR="00E8479E" w:rsidRPr="00566BAF" w:rsidRDefault="00E8479E"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1B3DFD">
            <w:pPr>
              <w:widowControl w:val="0"/>
              <w:spacing w:beforeLines="50" w:before="120"/>
              <w:rPr>
                <w:iCs/>
                <w:kern w:val="2"/>
                <w:sz w:val="22"/>
                <w:szCs w:val="22"/>
                <w:lang w:eastAsia="zh-CN"/>
              </w:rPr>
            </w:pPr>
          </w:p>
        </w:tc>
      </w:tr>
      <w:tr w:rsidR="00E8479E" w:rsidRPr="00566BAF" w14:paraId="5337E431" w14:textId="77777777" w:rsidTr="001B3DFD">
        <w:tc>
          <w:tcPr>
            <w:tcW w:w="1544" w:type="dxa"/>
            <w:tcBorders>
              <w:top w:val="single" w:sz="4" w:space="0" w:color="auto"/>
              <w:left w:val="single" w:sz="4" w:space="0" w:color="auto"/>
              <w:bottom w:val="single" w:sz="4" w:space="0" w:color="auto"/>
              <w:right w:val="single" w:sz="4" w:space="0" w:color="auto"/>
            </w:tcBorders>
          </w:tcPr>
          <w:p w14:paraId="68B6C545" w14:textId="77777777" w:rsidR="00E8479E" w:rsidRPr="00566BAF" w:rsidRDefault="00E8479E"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E8479E" w:rsidRPr="00566BAF" w:rsidRDefault="00E8479E"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B9E4E8B" w14:textId="77777777" w:rsidR="00E8479E" w:rsidRPr="00566BAF" w:rsidRDefault="00E8479E" w:rsidP="001B3DFD">
            <w:pPr>
              <w:widowControl w:val="0"/>
              <w:spacing w:beforeLines="50" w:before="120"/>
              <w:rPr>
                <w:iCs/>
                <w:kern w:val="2"/>
                <w:sz w:val="22"/>
                <w:szCs w:val="22"/>
                <w:lang w:eastAsia="zh-CN"/>
              </w:rPr>
            </w:pPr>
          </w:p>
        </w:tc>
      </w:tr>
      <w:tr w:rsidR="00E8479E" w:rsidRPr="00566BAF" w14:paraId="4505899C" w14:textId="77777777" w:rsidTr="001B3DFD">
        <w:tc>
          <w:tcPr>
            <w:tcW w:w="1544" w:type="dxa"/>
            <w:tcBorders>
              <w:top w:val="single" w:sz="4" w:space="0" w:color="auto"/>
              <w:left w:val="single" w:sz="4" w:space="0" w:color="auto"/>
              <w:bottom w:val="single" w:sz="4" w:space="0" w:color="auto"/>
              <w:right w:val="single" w:sz="4" w:space="0" w:color="auto"/>
            </w:tcBorders>
          </w:tcPr>
          <w:p w14:paraId="223A0066" w14:textId="77777777" w:rsidR="00E8479E" w:rsidRPr="00732395" w:rsidRDefault="00E8479E"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E8479E" w:rsidRPr="00732395" w:rsidRDefault="00E8479E"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77777777" w:rsidR="00E8479E" w:rsidRDefault="00E8479E" w:rsidP="001B3DFD">
            <w:pPr>
              <w:widowControl w:val="0"/>
              <w:spacing w:beforeLines="50" w:before="120"/>
              <w:rPr>
                <w:iCs/>
                <w:kern w:val="2"/>
                <w:sz w:val="22"/>
                <w:szCs w:val="22"/>
                <w:lang w:eastAsia="zh-CN"/>
              </w:rPr>
            </w:pPr>
          </w:p>
        </w:tc>
      </w:tr>
      <w:tr w:rsidR="00E8479E" w:rsidRPr="00566BAF" w14:paraId="202702B5" w14:textId="77777777" w:rsidTr="001B3DFD">
        <w:tc>
          <w:tcPr>
            <w:tcW w:w="1544" w:type="dxa"/>
            <w:tcBorders>
              <w:top w:val="single" w:sz="4" w:space="0" w:color="auto"/>
              <w:left w:val="single" w:sz="4" w:space="0" w:color="auto"/>
              <w:bottom w:val="single" w:sz="4" w:space="0" w:color="auto"/>
              <w:right w:val="single" w:sz="4" w:space="0" w:color="auto"/>
            </w:tcBorders>
          </w:tcPr>
          <w:p w14:paraId="007D01C3" w14:textId="77777777" w:rsidR="00E8479E" w:rsidRDefault="00E8479E"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6B95261" w14:textId="77777777" w:rsidR="00E8479E" w:rsidRDefault="00E8479E"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1E9A4A74" w14:textId="77777777" w:rsidR="00E8479E" w:rsidRDefault="00E8479E" w:rsidP="001B3DFD">
            <w:pPr>
              <w:widowControl w:val="0"/>
              <w:spacing w:beforeLines="50" w:before="120"/>
              <w:rPr>
                <w:iCs/>
                <w:kern w:val="2"/>
                <w:sz w:val="22"/>
                <w:szCs w:val="22"/>
                <w:lang w:eastAsia="zh-CN"/>
              </w:rPr>
            </w:pPr>
          </w:p>
        </w:tc>
      </w:tr>
      <w:tr w:rsidR="00E8479E" w:rsidRPr="00566BAF" w14:paraId="75818B4C" w14:textId="77777777" w:rsidTr="001B3DFD">
        <w:tc>
          <w:tcPr>
            <w:tcW w:w="1544" w:type="dxa"/>
            <w:tcBorders>
              <w:top w:val="single" w:sz="4" w:space="0" w:color="auto"/>
              <w:left w:val="single" w:sz="4" w:space="0" w:color="auto"/>
              <w:bottom w:val="single" w:sz="4" w:space="0" w:color="auto"/>
              <w:right w:val="single" w:sz="4" w:space="0" w:color="auto"/>
            </w:tcBorders>
          </w:tcPr>
          <w:p w14:paraId="139FA6EF" w14:textId="77777777" w:rsidR="00E8479E" w:rsidRDefault="00E8479E" w:rsidP="001B3DF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E8479E" w:rsidRDefault="00E8479E" w:rsidP="001B3DF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E8479E" w:rsidRDefault="00E8479E" w:rsidP="001B3DFD">
            <w:pPr>
              <w:widowControl w:val="0"/>
              <w:spacing w:beforeLines="50" w:before="120"/>
              <w:rPr>
                <w:iCs/>
                <w:kern w:val="2"/>
                <w:sz w:val="22"/>
                <w:szCs w:val="22"/>
                <w:lang w:eastAsia="zh-CN"/>
              </w:rPr>
            </w:pPr>
          </w:p>
        </w:tc>
      </w:tr>
      <w:tr w:rsidR="00E8479E" w:rsidRPr="00566BAF" w14:paraId="31A97CA7" w14:textId="77777777" w:rsidTr="001B3DFD">
        <w:tc>
          <w:tcPr>
            <w:tcW w:w="1544" w:type="dxa"/>
            <w:tcBorders>
              <w:top w:val="single" w:sz="4" w:space="0" w:color="auto"/>
              <w:left w:val="single" w:sz="4" w:space="0" w:color="auto"/>
              <w:bottom w:val="single" w:sz="4" w:space="0" w:color="auto"/>
              <w:right w:val="single" w:sz="4" w:space="0" w:color="auto"/>
            </w:tcBorders>
          </w:tcPr>
          <w:p w14:paraId="05C9E86F" w14:textId="77777777" w:rsidR="00E8479E" w:rsidRDefault="00E8479E" w:rsidP="001B3DF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E8479E" w:rsidRDefault="00E8479E" w:rsidP="001B3DF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E8479E" w:rsidRDefault="00E8479E" w:rsidP="001B3DF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lastRenderedPageBreak/>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lastRenderedPageBreak/>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w:t>
            </w:r>
            <w:r>
              <w:rPr>
                <w:kern w:val="2"/>
                <w:lang w:eastAsia="zh-CN"/>
              </w:rPr>
              <w:lastRenderedPageBreak/>
              <w:t xml:space="preserve">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lastRenderedPageBreak/>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lastRenderedPageBreak/>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1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3338C8"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3338C8"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3338C8"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3338C8"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3338C8"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3338C8"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3338C8"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3338C8"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6" w:name="_Toc4685930"/>
      <w:bookmarkEnd w:id="15"/>
      <w:r>
        <w:rPr>
          <w:lang w:eastAsia="zh-TW"/>
        </w:rPr>
        <w:t>Observation 2</w:t>
      </w:r>
      <w:r>
        <w:rPr>
          <w:lang w:eastAsia="zh-TW"/>
        </w:rPr>
        <w:tab/>
      </w:r>
      <w:bookmarkStart w:id="17" w:name="_Hlk32550844"/>
      <w:bookmarkEnd w:id="16"/>
      <w:r>
        <w:rPr>
          <w:lang w:eastAsia="zh-TW"/>
        </w:rPr>
        <w:t>It is beneficial to allow gNB to trigger a Type-3 HARQ-ACK codebook by a DCI indicating low priority or indicating high priority</w:t>
      </w:r>
      <w:r>
        <w:rPr>
          <w:rFonts w:ascii="Calibri" w:hAnsi="Calibri" w:cs="Calibri"/>
          <w:lang w:eastAsia="zh-TW"/>
        </w:rPr>
        <w:t>.</w:t>
      </w:r>
      <w:bookmarkEnd w:id="1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FC60" w14:textId="77777777" w:rsidR="008F622B" w:rsidRDefault="008F622B">
      <w:r>
        <w:separator/>
      </w:r>
    </w:p>
  </w:endnote>
  <w:endnote w:type="continuationSeparator" w:id="0">
    <w:p w14:paraId="57DF4478" w14:textId="77777777" w:rsidR="008F622B" w:rsidRDefault="008F622B">
      <w:r>
        <w:continuationSeparator/>
      </w:r>
    </w:p>
  </w:endnote>
  <w:endnote w:type="continuationNotice" w:id="1">
    <w:p w14:paraId="1BD631D0" w14:textId="77777777" w:rsidR="008F622B" w:rsidRDefault="008F6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A596660" w:rsidR="003338C8" w:rsidRDefault="003338C8">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3338C8" w:rsidRDefault="003338C8">
    <w:pPr>
      <w:pStyle w:val="Footer"/>
    </w:pPr>
  </w:p>
  <w:p w14:paraId="4A48D3F3" w14:textId="77777777" w:rsidR="003338C8" w:rsidRDefault="003338C8"/>
  <w:p w14:paraId="46E31D82" w14:textId="77777777" w:rsidR="003338C8" w:rsidRDefault="003338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A447" w14:textId="77777777" w:rsidR="008F622B" w:rsidRDefault="008F622B">
      <w:r>
        <w:separator/>
      </w:r>
    </w:p>
  </w:footnote>
  <w:footnote w:type="continuationSeparator" w:id="0">
    <w:p w14:paraId="20574383" w14:textId="77777777" w:rsidR="008F622B" w:rsidRDefault="008F622B">
      <w:r>
        <w:continuationSeparator/>
      </w:r>
    </w:p>
  </w:footnote>
  <w:footnote w:type="continuationNotice" w:id="1">
    <w:p w14:paraId="14A28918" w14:textId="77777777" w:rsidR="008F622B" w:rsidRDefault="008F62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3338C8" w:rsidRDefault="003338C8">
    <w:pPr>
      <w:pStyle w:val="Header"/>
      <w:tabs>
        <w:tab w:val="right" w:pos="9639"/>
      </w:tabs>
    </w:pPr>
    <w:r>
      <w:tab/>
    </w:r>
  </w:p>
  <w:p w14:paraId="246D48EC" w14:textId="77777777" w:rsidR="003338C8" w:rsidRDefault="003338C8"/>
  <w:p w14:paraId="4F6F578E" w14:textId="77777777" w:rsidR="003338C8" w:rsidRDefault="00333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2"/>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4"/>
  </w:num>
  <w:num w:numId="5">
    <w:abstractNumId w:val="46"/>
  </w:num>
  <w:num w:numId="6">
    <w:abstractNumId w:val="56"/>
  </w:num>
  <w:num w:numId="7">
    <w:abstractNumId w:val="18"/>
  </w:num>
  <w:num w:numId="8">
    <w:abstractNumId w:val="51"/>
  </w:num>
  <w:num w:numId="9">
    <w:abstractNumId w:val="11"/>
  </w:num>
  <w:num w:numId="10">
    <w:abstractNumId w:val="21"/>
  </w:num>
  <w:num w:numId="11">
    <w:abstractNumId w:val="53"/>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8"/>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60"/>
  </w:num>
  <w:num w:numId="34">
    <w:abstractNumId w:val="27"/>
  </w:num>
  <w:num w:numId="35">
    <w:abstractNumId w:val="10"/>
  </w:num>
  <w:num w:numId="36">
    <w:abstractNumId w:val="57"/>
  </w:num>
  <w:num w:numId="3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8"/>
  </w:num>
  <w:num w:numId="50">
    <w:abstractNumId w:val="2"/>
  </w:num>
  <w:num w:numId="51">
    <w:abstractNumId w:val="19"/>
  </w:num>
  <w:num w:numId="52">
    <w:abstractNumId w:val="59"/>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num>
  <w:num w:numId="60">
    <w:abstractNumId w:val="47"/>
  </w:num>
  <w:num w:numId="61">
    <w:abstractNumId w:val="12"/>
  </w:num>
  <w:num w:numId="62">
    <w:abstractNumId w:val="17"/>
  </w:num>
  <w:num w:numId="63">
    <w:abstractNumId w:val="26"/>
  </w:num>
  <w:num w:numId="64">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54DC97B-0C6F-4E0B-BDF6-2DBF82F2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104</Pages>
  <Words>30547</Words>
  <Characters>174118</Characters>
  <Application>Microsoft Office Word</Application>
  <DocSecurity>0</DocSecurity>
  <Lines>1450</Lines>
  <Paragraphs>408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Editor - RRC parameter Alignment</cp:lastModifiedBy>
  <cp:revision>4</cp:revision>
  <cp:lastPrinted>1900-12-31T16:00:00Z</cp:lastPrinted>
  <dcterms:created xsi:type="dcterms:W3CDTF">2020-08-25T08:19:00Z</dcterms:created>
  <dcterms:modified xsi:type="dcterms:W3CDTF">2020-08-25T08:20:00Z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