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Malgun Gothic"/>
                <w:iCs/>
                <w:kern w:val="2"/>
                <w:lang w:eastAsia="ko-KR"/>
              </w:rPr>
              <w:t>slot-based</w:t>
            </w:r>
            <w:proofErr w:type="gramEnd"/>
            <w:r>
              <w:rPr>
                <w:rFonts w:eastAsia="Malgun Gothic"/>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w:t>
      </w:r>
      <w:bookmarkStart w:id="12" w:name="_GoBack"/>
      <w:bookmarkEnd w:id="12"/>
      <w:r w:rsidRPr="00566BAF">
        <w:rPr>
          <w:i/>
          <w:iCs/>
          <w:sz w:val="22"/>
          <w:szCs w:val="22"/>
          <w:lang w:val="en-US" w:eastAsia="zh-CN"/>
        </w:rPr>
        <w:t xml:space="preserve">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 xml:space="preserve">AI 8.3.3 is about </w:t>
            </w:r>
            <w:proofErr w:type="gramStart"/>
            <w:r>
              <w:rPr>
                <w:iCs/>
                <w:kern w:val="2"/>
                <w:sz w:val="22"/>
                <w:szCs w:val="22"/>
                <w:lang w:eastAsia="zh-CN"/>
              </w:rPr>
              <w:t>multiplexing</w:t>
            </w:r>
            <w:proofErr w:type="gramEnd"/>
            <w:r>
              <w:rPr>
                <w:iCs/>
                <w:kern w:val="2"/>
                <w:sz w:val="22"/>
                <w:szCs w:val="22"/>
                <w:lang w:eastAsia="zh-CN"/>
              </w:rPr>
              <w:t xml:space="preserve">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lastRenderedPageBreak/>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lastRenderedPageBreak/>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77777777"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SCell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77777777" w:rsidR="00646F0E" w:rsidRDefault="00646F0E" w:rsidP="004A5691">
            <w:pPr>
              <w:spacing w:beforeLines="50" w:before="120"/>
              <w:rPr>
                <w:iCs/>
                <w:kern w:val="2"/>
                <w:sz w:val="22"/>
                <w:szCs w:val="22"/>
                <w:lang w:eastAsia="zh-CN"/>
              </w:rPr>
            </w:pPr>
            <w:r>
              <w:rPr>
                <w:iCs/>
                <w:kern w:val="2"/>
                <w:sz w:val="22"/>
                <w:szCs w:val="22"/>
                <w:lang w:eastAsia="zh-CN"/>
              </w:rPr>
              <w:t>Dynamic carrier switching introduces a lot of complexity and spec impact. The dynamic changes of PUCCH also increases gNB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lastRenderedPageBreak/>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lastRenderedPageBreak/>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lastRenderedPageBreak/>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lastRenderedPageBreak/>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w:t>
            </w:r>
            <w:proofErr w:type="gramStart"/>
            <w:r>
              <w:rPr>
                <w:iCs/>
                <w:kern w:val="2"/>
                <w:sz w:val="22"/>
                <w:szCs w:val="22"/>
                <w:lang w:eastAsia="zh-CN"/>
              </w:rPr>
              <w:t>mis-detection</w:t>
            </w:r>
            <w:proofErr w:type="gramEnd"/>
            <w:r>
              <w:rPr>
                <w:iCs/>
                <w:kern w:val="2"/>
                <w:sz w:val="22"/>
                <w:szCs w:val="22"/>
                <w:lang w:eastAsia="zh-CN"/>
              </w:rPr>
              <w:t xml:space="preserve">,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bl>
    <w:p w14:paraId="680CB364" w14:textId="6BD3BAE3" w:rsidR="00566BAF" w:rsidRDefault="00566BAF" w:rsidP="00566BAF">
      <w:pPr>
        <w:jc w:val="both"/>
        <w:rPr>
          <w:sz w:val="22"/>
          <w:szCs w:val="22"/>
          <w:lang w:val="en-US" w:eastAsia="zh-CN"/>
        </w:rPr>
      </w:pPr>
    </w:p>
    <w:p w14:paraId="59AA11AE" w14:textId="77777777" w:rsidR="00612140" w:rsidRDefault="00612140" w:rsidP="00612140">
      <w:pPr>
        <w:pStyle w:val="Heading2"/>
        <w:rPr>
          <w:lang w:val="en-US"/>
        </w:rPr>
      </w:pPr>
      <w:r w:rsidRPr="00640666">
        <w:rPr>
          <w:lang w:val="en-US"/>
        </w:rPr>
        <w:t>2.</w:t>
      </w:r>
      <w:r>
        <w:rPr>
          <w:lang w:val="en-US"/>
        </w:rPr>
        <w:t>4</w:t>
      </w:r>
      <w:r w:rsidRPr="00640666">
        <w:rPr>
          <w:lang w:val="en-US"/>
        </w:rPr>
        <w:t xml:space="preserve"> </w:t>
      </w:r>
      <w:r>
        <w:rPr>
          <w:lang w:val="en-US"/>
        </w:rPr>
        <w:t>Summary of s</w:t>
      </w:r>
      <w:r w:rsidRPr="00640666">
        <w:rPr>
          <w:lang w:val="en-US"/>
        </w:rPr>
        <w:t xml:space="preserve">econd round of email discussions </w:t>
      </w:r>
    </w:p>
    <w:p w14:paraId="6C751314" w14:textId="77777777" w:rsidR="00612140" w:rsidRDefault="00612140"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lastRenderedPageBreak/>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w:t>
      </w:r>
      <w:proofErr w:type="gramStart"/>
      <w:r>
        <w:rPr>
          <w:color w:val="000000" w:themeColor="text1"/>
          <w:sz w:val="22"/>
          <w:szCs w:val="22"/>
        </w:rPr>
        <w:t>other</w:t>
      </w:r>
      <w:proofErr w:type="gramEnd"/>
      <w:r>
        <w:rPr>
          <w:color w:val="000000" w:themeColor="text1"/>
          <w:sz w:val="22"/>
          <w:szCs w:val="22"/>
        </w:rPr>
        <w:t xml:space="preserve">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7777777" w:rsidR="00612140" w:rsidRPr="00D1575A" w:rsidRDefault="00612140" w:rsidP="00612140">
      <w:pPr>
        <w:pStyle w:val="ListParagraph"/>
        <w:numPr>
          <w:ilvl w:val="1"/>
          <w:numId w:val="64"/>
        </w:numPr>
        <w:rPr>
          <w:sz w:val="22"/>
          <w:szCs w:val="22"/>
        </w:rPr>
      </w:pPr>
      <w:r>
        <w:rPr>
          <w:color w:val="000000" w:themeColor="text1"/>
          <w:sz w:val="22"/>
          <w:szCs w:val="22"/>
        </w:rPr>
        <w:t>Therefore, the following updated wording is suggested here:</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77777777" w:rsidR="00612140" w:rsidRPr="00A0385F" w:rsidRDefault="00612140" w:rsidP="00612140">
      <w:pPr>
        <w:pStyle w:val="ListParagraph"/>
        <w:numPr>
          <w:ilvl w:val="1"/>
          <w:numId w:val="64"/>
        </w:numPr>
        <w:rPr>
          <w:sz w:val="22"/>
          <w:szCs w:val="22"/>
        </w:rPr>
      </w:pPr>
      <w:r>
        <w:rPr>
          <w:color w:val="000000" w:themeColor="text1"/>
          <w:sz w:val="22"/>
          <w:szCs w:val="22"/>
        </w:rPr>
        <w:t xml:space="preserve">It was discussed, that this could also be also applicable to HP HARQ.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5759A0F8" w14:textId="77777777" w:rsidR="00612140"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other companies think this is not needed (as a focus item). </w:t>
      </w:r>
    </w:p>
    <w:p w14:paraId="248125CF" w14:textId="77777777" w:rsidR="00612140" w:rsidRPr="00A0385F" w:rsidRDefault="00612140" w:rsidP="00612140">
      <w:pPr>
        <w:pStyle w:val="ListParagraph"/>
        <w:numPr>
          <w:ilvl w:val="1"/>
          <w:numId w:val="64"/>
        </w:numPr>
        <w:rPr>
          <w:sz w:val="22"/>
          <w:szCs w:val="22"/>
          <w:lang w:val="en-US"/>
        </w:rPr>
      </w:pPr>
      <w:r>
        <w:rPr>
          <w:sz w:val="22"/>
          <w:szCs w:val="22"/>
          <w:lang w:val="en-US"/>
        </w:rPr>
        <w:t xml:space="preserve">If this is to be kept as a separate bullet, it should be clarified that this is related to ‘received’ SPS PDSCH to distinguish this from the ‘skipped’ SPS PDSCH in the first bullet 1.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15F28DCC" w14:textId="77777777" w:rsidR="00612140" w:rsidRPr="00642784" w:rsidRDefault="00612140" w:rsidP="00612140">
      <w:pPr>
        <w:pStyle w:val="ListParagraph"/>
        <w:numPr>
          <w:ilvl w:val="1"/>
          <w:numId w:val="64"/>
        </w:numPr>
        <w:rPr>
          <w:sz w:val="22"/>
          <w:szCs w:val="22"/>
          <w:lang w:val="en-US"/>
        </w:rPr>
      </w:pPr>
      <w:r>
        <w:rPr>
          <w:sz w:val="22"/>
          <w:szCs w:val="22"/>
          <w:lang w:val="en-US"/>
        </w:rPr>
        <w:t xml:space="preserve">Seems to be agreeable (no negative feedback received)– the Rel-16 status is still open. </w:t>
      </w:r>
    </w:p>
    <w:p w14:paraId="15367C57" w14:textId="77777777" w:rsidR="00612140" w:rsidRDefault="00612140" w:rsidP="00612140">
      <w:pPr>
        <w:jc w:val="both"/>
        <w:rPr>
          <w:sz w:val="22"/>
          <w:szCs w:val="22"/>
          <w:lang w:val="en-US" w:eastAsia="zh-CN"/>
        </w:rPr>
      </w:pPr>
    </w:p>
    <w:p w14:paraId="664CD60B" w14:textId="77777777" w:rsidR="00612140" w:rsidRDefault="00612140" w:rsidP="00612140">
      <w:pPr>
        <w:jc w:val="both"/>
        <w:rPr>
          <w:sz w:val="22"/>
          <w:szCs w:val="22"/>
          <w:lang w:val="en-US" w:eastAsia="zh-CN"/>
        </w:rPr>
      </w:pPr>
      <w:r>
        <w:rPr>
          <w:sz w:val="22"/>
          <w:szCs w:val="22"/>
          <w:lang w:val="en-US" w:eastAsia="zh-CN"/>
        </w:rPr>
        <w:t xml:space="preserve">Therefore, the following is proposed on top of the chairman’s notes: </w:t>
      </w:r>
    </w:p>
    <w:p w14:paraId="2CBC45EE" w14:textId="77777777" w:rsidR="00612140" w:rsidRPr="00566BAF" w:rsidRDefault="00612140" w:rsidP="00612140">
      <w:pPr>
        <w:pStyle w:val="ListParagraph"/>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ListParagraph"/>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7777777" w:rsidR="00612140" w:rsidRPr="00566BAF" w:rsidRDefault="00612140" w:rsidP="00612140">
      <w:pPr>
        <w:pStyle w:val="ListParagraph"/>
        <w:numPr>
          <w:ilvl w:val="0"/>
          <w:numId w:val="46"/>
        </w:numPr>
        <w:rPr>
          <w:sz w:val="22"/>
          <w:szCs w:val="22"/>
        </w:rPr>
      </w:pPr>
      <w:r w:rsidRPr="00566BAF">
        <w:rPr>
          <w:sz w:val="22"/>
          <w:szCs w:val="22"/>
        </w:rPr>
        <w:t>Type 1 HARQ codebook based on sub-slot PUCCH config (if not supported in Rel-16)</w:t>
      </w:r>
    </w:p>
    <w:p w14:paraId="78133DBA" w14:textId="77777777" w:rsidR="00612140" w:rsidRPr="00566BAF" w:rsidRDefault="00612140" w:rsidP="00612140">
      <w:pPr>
        <w:pStyle w:val="ListParagraph"/>
        <w:numPr>
          <w:ilvl w:val="0"/>
          <w:numId w:val="46"/>
        </w:numPr>
        <w:rPr>
          <w:sz w:val="22"/>
          <w:szCs w:val="22"/>
        </w:rPr>
      </w:pPr>
      <w:r w:rsidRPr="00566BAF">
        <w:rPr>
          <w:sz w:val="22"/>
          <w:szCs w:val="22"/>
        </w:rPr>
        <w:t>….</w:t>
      </w:r>
    </w:p>
    <w:p w14:paraId="15340A0D" w14:textId="77777777" w:rsidR="00612140" w:rsidRPr="00566BAF" w:rsidRDefault="00612140" w:rsidP="00612140">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08724368" w14:textId="77777777" w:rsidR="00612140" w:rsidRDefault="00612140" w:rsidP="00612140">
      <w:pPr>
        <w:jc w:val="both"/>
        <w:rPr>
          <w:sz w:val="22"/>
          <w:szCs w:val="22"/>
          <w:lang w:val="en-US" w:eastAsia="zh-CN"/>
        </w:rPr>
      </w:pPr>
    </w:p>
    <w:p w14:paraId="2290A67A" w14:textId="77777777" w:rsidR="00612140" w:rsidRDefault="00612140" w:rsidP="00612140">
      <w:pPr>
        <w:pStyle w:val="Heading4"/>
      </w:pPr>
      <w:r w:rsidRPr="00566BAF">
        <w:rPr>
          <w:highlight w:val="yellow"/>
        </w:rPr>
        <w:t>Updated FL Proposal</w:t>
      </w:r>
      <w:r>
        <w:rPr>
          <w:highlight w:val="yellow"/>
        </w:rPr>
        <w:t xml:space="preserve"> 1</w:t>
      </w:r>
    </w:p>
    <w:p w14:paraId="224F6AEB" w14:textId="77777777" w:rsidR="00612140" w:rsidRPr="003434B4" w:rsidRDefault="00612140" w:rsidP="00612140">
      <w:pPr>
        <w:spacing w:after="0"/>
        <w:rPr>
          <w:sz w:val="22"/>
          <w:szCs w:val="22"/>
        </w:rPr>
      </w:pPr>
      <w:r w:rsidRPr="003434B4">
        <w:rPr>
          <w:sz w:val="22"/>
          <w:szCs w:val="22"/>
        </w:rPr>
        <w:t>Study further at least the following schemes:</w:t>
      </w:r>
    </w:p>
    <w:p w14:paraId="5BC56F9E" w14:textId="77777777" w:rsidR="00612140" w:rsidRPr="003434B4" w:rsidRDefault="00612140" w:rsidP="00612140">
      <w:pPr>
        <w:pStyle w:val="ListParagraph"/>
        <w:numPr>
          <w:ilvl w:val="0"/>
          <w:numId w:val="46"/>
        </w:numPr>
        <w:rPr>
          <w:sz w:val="22"/>
          <w:szCs w:val="22"/>
        </w:rPr>
      </w:pPr>
      <w:r w:rsidRPr="00566BAF">
        <w:rPr>
          <w:sz w:val="22"/>
          <w:szCs w:val="22"/>
        </w:rPr>
        <w:t xml:space="preserve">SPS </w:t>
      </w:r>
      <w:r w:rsidRPr="003434B4">
        <w:rPr>
          <w:sz w:val="22"/>
          <w:szCs w:val="22"/>
        </w:rPr>
        <w:t>HARQ skipping for ‘skipped’ SPS PDSCH</w:t>
      </w:r>
    </w:p>
    <w:p w14:paraId="4057EDB8" w14:textId="77777777" w:rsidR="00612140" w:rsidRPr="003434B4" w:rsidRDefault="00612140" w:rsidP="00612140">
      <w:pPr>
        <w:pStyle w:val="ListParagraph"/>
        <w:numPr>
          <w:ilvl w:val="0"/>
          <w:numId w:val="46"/>
        </w:numPr>
        <w:rPr>
          <w:sz w:val="22"/>
          <w:szCs w:val="22"/>
        </w:rPr>
      </w:pPr>
      <w:r w:rsidRPr="003434B4">
        <w:rPr>
          <w:sz w:val="22"/>
          <w:szCs w:val="22"/>
        </w:rPr>
        <w:t>PUCCH repetition enhancements (at least for HARQ-ACK)</w:t>
      </w:r>
    </w:p>
    <w:p w14:paraId="08478636" w14:textId="77777777" w:rsidR="00612140" w:rsidRPr="003434B4" w:rsidRDefault="00612140" w:rsidP="00612140">
      <w:pPr>
        <w:pStyle w:val="ListParagraph"/>
        <w:numPr>
          <w:ilvl w:val="1"/>
          <w:numId w:val="46"/>
        </w:numPr>
        <w:rPr>
          <w:sz w:val="22"/>
          <w:szCs w:val="22"/>
        </w:rPr>
      </w:pPr>
      <w:r w:rsidRPr="003434B4">
        <w:rPr>
          <w:sz w:val="22"/>
          <w:szCs w:val="22"/>
        </w:rPr>
        <w:t>Including at least sub-slot PUCCH repetition and handling of different priority levels for PUCCH repetition</w:t>
      </w:r>
    </w:p>
    <w:p w14:paraId="3AF47B57" w14:textId="77777777" w:rsidR="00612140" w:rsidRPr="00566BAF" w:rsidRDefault="00612140" w:rsidP="00612140">
      <w:pPr>
        <w:pStyle w:val="ListParagraph"/>
        <w:numPr>
          <w:ilvl w:val="0"/>
          <w:numId w:val="46"/>
        </w:numPr>
        <w:rPr>
          <w:sz w:val="22"/>
          <w:szCs w:val="22"/>
        </w:rPr>
      </w:pPr>
      <w:r w:rsidRPr="003434B4">
        <w:rPr>
          <w:sz w:val="22"/>
          <w:szCs w:val="22"/>
        </w:rPr>
        <w:t xml:space="preserve">Retransmission of cancelled </w:t>
      </w:r>
      <w:r w:rsidRPr="00566BAF">
        <w:rPr>
          <w:sz w:val="22"/>
          <w:szCs w:val="22"/>
        </w:rPr>
        <w:t>/ dropped HARQ</w:t>
      </w:r>
    </w:p>
    <w:p w14:paraId="502C9B83" w14:textId="77777777" w:rsidR="00612140" w:rsidRPr="00566BAF" w:rsidRDefault="00612140" w:rsidP="00612140">
      <w:pPr>
        <w:pStyle w:val="ListParagraph"/>
        <w:numPr>
          <w:ilvl w:val="0"/>
          <w:numId w:val="46"/>
        </w:numPr>
        <w:rPr>
          <w:sz w:val="22"/>
          <w:szCs w:val="22"/>
        </w:rPr>
      </w:pPr>
      <w:r w:rsidRPr="00566BAF">
        <w:rPr>
          <w:sz w:val="22"/>
          <w:szCs w:val="22"/>
        </w:rPr>
        <w:t xml:space="preserve">SPS HARQ payload size reduction </w:t>
      </w:r>
      <w:r w:rsidRPr="003434B4">
        <w:rPr>
          <w:sz w:val="22"/>
          <w:szCs w:val="22"/>
        </w:rPr>
        <w:t xml:space="preserve">and / or </w:t>
      </w:r>
      <w:r>
        <w:rPr>
          <w:sz w:val="22"/>
          <w:szCs w:val="22"/>
        </w:rPr>
        <w:t xml:space="preserve">HARQ </w:t>
      </w:r>
      <w:r w:rsidRPr="003434B4">
        <w:rPr>
          <w:sz w:val="22"/>
          <w:szCs w:val="22"/>
        </w:rPr>
        <w:t>skipping for ‘non-skipped’ SPS PDSCH</w:t>
      </w:r>
    </w:p>
    <w:p w14:paraId="5A56C170" w14:textId="77777777" w:rsidR="00612140" w:rsidRPr="00566BAF" w:rsidRDefault="00612140" w:rsidP="00612140">
      <w:pPr>
        <w:pStyle w:val="ListParagraph"/>
        <w:numPr>
          <w:ilvl w:val="0"/>
          <w:numId w:val="46"/>
        </w:numPr>
        <w:rPr>
          <w:sz w:val="22"/>
          <w:szCs w:val="22"/>
        </w:rPr>
      </w:pPr>
      <w:r w:rsidRPr="00566BAF">
        <w:rPr>
          <w:sz w:val="22"/>
          <w:szCs w:val="22"/>
        </w:rPr>
        <w:t>Type 1 HARQ codebook based on sub-slot PUCCH config (if not supported in Rel-16)</w:t>
      </w:r>
    </w:p>
    <w:p w14:paraId="4D47BF27" w14:textId="77777777" w:rsidR="00612140" w:rsidRPr="00566BAF" w:rsidRDefault="00612140" w:rsidP="00612140">
      <w:pPr>
        <w:pStyle w:val="ListParagraph"/>
        <w:numPr>
          <w:ilvl w:val="0"/>
          <w:numId w:val="46"/>
        </w:numPr>
        <w:rPr>
          <w:sz w:val="22"/>
          <w:szCs w:val="22"/>
        </w:rPr>
      </w:pPr>
      <w:r w:rsidRPr="00566BAF">
        <w:rPr>
          <w:sz w:val="22"/>
          <w:szCs w:val="22"/>
        </w:rPr>
        <w:t>….</w:t>
      </w:r>
    </w:p>
    <w:p w14:paraId="547D105C" w14:textId="77777777" w:rsidR="00612140" w:rsidRPr="00505DFC" w:rsidRDefault="00612140" w:rsidP="00612140">
      <w:pPr>
        <w:rPr>
          <w:sz w:val="22"/>
          <w:szCs w:val="22"/>
        </w:rPr>
      </w:pPr>
      <w:r w:rsidRPr="00505DFC">
        <w:rPr>
          <w:sz w:val="22"/>
          <w:szCs w:val="22"/>
        </w:rPr>
        <w:t xml:space="preserve">Companies are encouraged to </w:t>
      </w:r>
      <w:proofErr w:type="spellStart"/>
      <w:r w:rsidRPr="00505DFC">
        <w:rPr>
          <w:sz w:val="22"/>
          <w:szCs w:val="22"/>
        </w:rPr>
        <w:t>provided</w:t>
      </w:r>
      <w:proofErr w:type="spellEnd"/>
      <w:r w:rsidRPr="00505DFC">
        <w:rPr>
          <w:sz w:val="22"/>
          <w:szCs w:val="22"/>
        </w:rPr>
        <w:t xml:space="preserve"> detailed analysis and comparison accordingly</w:t>
      </w:r>
    </w:p>
    <w:p w14:paraId="5CE9876A" w14:textId="77777777" w:rsidR="00612140" w:rsidRDefault="00612140" w:rsidP="00612140">
      <w:pPr>
        <w:jc w:val="both"/>
        <w:rPr>
          <w:sz w:val="22"/>
          <w:szCs w:val="22"/>
          <w:lang w:val="en-US" w:eastAsia="zh-CN"/>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77777777" w:rsidR="00612140" w:rsidRPr="003D55B9" w:rsidRDefault="00612140" w:rsidP="00612140">
      <w:pPr>
        <w:pStyle w:val="Heading4"/>
        <w:rPr>
          <w:lang w:eastAsia="zh-CN"/>
        </w:rPr>
      </w:pPr>
      <w:r w:rsidRPr="003D55B9">
        <w:rPr>
          <w:highlight w:val="yellow"/>
          <w:lang w:eastAsia="zh-CN"/>
        </w:rPr>
        <w:t>Proposed FL conclusion</w:t>
      </w:r>
      <w:r>
        <w:rPr>
          <w:highlight w:val="yellow"/>
          <w:lang w:eastAsia="zh-CN"/>
        </w:rPr>
        <w:t xml:space="preserve"> 1</w:t>
      </w:r>
      <w:r w:rsidRPr="003D55B9">
        <w:rPr>
          <w:highlight w:val="yellow"/>
          <w:lang w:eastAsia="zh-CN"/>
        </w:rPr>
        <w:t>:</w:t>
      </w:r>
    </w:p>
    <w:p w14:paraId="401F2BDD" w14:textId="77777777" w:rsidR="00612140" w:rsidRPr="00A0385F" w:rsidRDefault="00612140" w:rsidP="00612140">
      <w:pPr>
        <w:jc w:val="both"/>
        <w:rPr>
          <w:b/>
          <w:bCs/>
          <w:i/>
          <w:iCs/>
          <w:sz w:val="22"/>
          <w:szCs w:val="22"/>
          <w:lang w:val="en-US" w:eastAsia="zh-CN"/>
        </w:rPr>
      </w:pPr>
      <w:r w:rsidRPr="00A0385F">
        <w:rPr>
          <w:b/>
          <w:bCs/>
          <w:i/>
          <w:iCs/>
          <w:sz w:val="22"/>
          <w:szCs w:val="22"/>
          <w:lang w:val="en-US" w:eastAsia="zh-CN"/>
        </w:rPr>
        <w:t xml:space="preserve">The support of simultaneous PUSCH / PUCCH within a cell group (of Sec. 6.13 </w:t>
      </w:r>
      <w:bookmarkStart w:id="13" w:name="_Hlk49226048"/>
      <w:r w:rsidRPr="00A0385F">
        <w:rPr>
          <w:b/>
          <w:bCs/>
          <w:i/>
          <w:iCs/>
          <w:sz w:val="22"/>
          <w:szCs w:val="22"/>
          <w:lang w:val="en-US" w:eastAsia="zh-CN"/>
        </w:rPr>
        <w:t>of R1-2007216</w:t>
      </w:r>
      <w:bookmarkEnd w:id="13"/>
      <w:r w:rsidRPr="00A0385F">
        <w:rPr>
          <w:b/>
          <w:bCs/>
          <w:i/>
          <w:iCs/>
          <w:sz w:val="22"/>
          <w:szCs w:val="22"/>
          <w:lang w:val="en-US" w:eastAsia="zh-CN"/>
        </w:rPr>
        <w:t xml:space="preserve">) and enhanced (sub-slot) HARQ-ACK multiplexing on PUSCH (of Sec. 6.13 of R1-2007216) is to be discussed as part of AI 8.3.3 in this WI (and not part of AI 8.3.1.1).   </w:t>
      </w:r>
    </w:p>
    <w:p w14:paraId="06E2A357" w14:textId="77777777" w:rsidR="00612140" w:rsidRDefault="00612140"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688B0F9" w14:textId="77777777" w:rsidR="00612140" w:rsidRDefault="00612140" w:rsidP="00612140">
      <w:pPr>
        <w:jc w:val="both"/>
        <w:rPr>
          <w:sz w:val="22"/>
          <w:szCs w:val="22"/>
          <w:lang w:val="en-US" w:eastAsia="zh-CN"/>
        </w:rPr>
      </w:pPr>
      <w:r>
        <w:rPr>
          <w:sz w:val="22"/>
          <w:szCs w:val="22"/>
          <w:lang w:val="en-US" w:eastAsia="zh-CN"/>
        </w:rPr>
        <w:t xml:space="preserve">The arguments for further discussing this enhancement include that this would be beneficial for URLLC (2 replies), that this can save UL overhead compared to gNB based implementation (1 reply) and that this should be continued to be studied with low priority (1 reply). </w:t>
      </w:r>
    </w:p>
    <w:p w14:paraId="14F9F762" w14:textId="77777777" w:rsidR="00612140" w:rsidRDefault="00612140" w:rsidP="00612140">
      <w:pPr>
        <w:jc w:val="both"/>
        <w:rPr>
          <w:b/>
          <w:bCs/>
          <w:sz w:val="22"/>
          <w:szCs w:val="22"/>
          <w:lang w:val="en-US" w:eastAsia="zh-CN"/>
        </w:rPr>
      </w:pPr>
    </w:p>
    <w:p w14:paraId="5494238C" w14:textId="77777777" w:rsidR="00612140" w:rsidRDefault="00612140" w:rsidP="00612140">
      <w:pPr>
        <w:pStyle w:val="Heading4"/>
        <w:rPr>
          <w:lang w:eastAsia="zh-CN"/>
        </w:rPr>
      </w:pPr>
      <w:r w:rsidRPr="004900B1">
        <w:rPr>
          <w:highlight w:val="yellow"/>
          <w:lang w:eastAsia="zh-CN"/>
        </w:rPr>
        <w:t>FL recommendation:</w:t>
      </w:r>
      <w:r>
        <w:rPr>
          <w:lang w:eastAsia="zh-CN"/>
        </w:rPr>
        <w:t xml:space="preserve"> </w:t>
      </w:r>
    </w:p>
    <w:p w14:paraId="52248D7F" w14:textId="77777777" w:rsidR="00612140" w:rsidRDefault="00612140" w:rsidP="00612140">
      <w:pPr>
        <w:jc w:val="both"/>
        <w:rPr>
          <w:b/>
          <w:bCs/>
          <w:sz w:val="22"/>
          <w:szCs w:val="22"/>
          <w:lang w:val="en-US" w:eastAsia="zh-CN"/>
        </w:rPr>
      </w:pPr>
      <w:r>
        <w:rPr>
          <w:b/>
          <w:bCs/>
          <w:sz w:val="22"/>
          <w:szCs w:val="22"/>
          <w:lang w:val="en-US" w:eastAsia="zh-CN"/>
        </w:rPr>
        <w:t xml:space="preserve">Do not focus the discussions in AI 8.3.1.1 on Dynamic PUCCH carrier switching (at least during the rest of RAN1 #102-e). </w:t>
      </w: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7777777" w:rsidR="00612140" w:rsidRPr="00642784" w:rsidRDefault="00612140" w:rsidP="00612140">
      <w:pPr>
        <w:pStyle w:val="Heading4"/>
        <w:rPr>
          <w:lang w:eastAsia="zh-CN"/>
        </w:rPr>
      </w:pPr>
      <w:r w:rsidRPr="00642784">
        <w:rPr>
          <w:highlight w:val="yellow"/>
          <w:lang w:eastAsia="zh-CN"/>
        </w:rPr>
        <w:t>Proposed FL conclusion</w:t>
      </w:r>
      <w:r>
        <w:rPr>
          <w:highlight w:val="yellow"/>
          <w:lang w:eastAsia="zh-CN"/>
        </w:rPr>
        <w:t xml:space="preserve"> 2</w:t>
      </w:r>
      <w:r w:rsidRPr="00642784">
        <w:rPr>
          <w:highlight w:val="yellow"/>
          <w:lang w:eastAsia="zh-CN"/>
        </w:rPr>
        <w:t>:</w:t>
      </w:r>
      <w:r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7777777" w:rsidR="00612140" w:rsidRPr="004900B1" w:rsidRDefault="00612140"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77777777" w:rsidR="00612140" w:rsidRPr="00A0385F" w:rsidRDefault="00612140" w:rsidP="00612140">
      <w:pPr>
        <w:pStyle w:val="Heading4"/>
        <w:rPr>
          <w:lang w:eastAsia="zh-CN"/>
        </w:rPr>
      </w:pPr>
      <w:r w:rsidRPr="00A0385F">
        <w:rPr>
          <w:highlight w:val="yellow"/>
          <w:lang w:eastAsia="zh-CN"/>
        </w:rPr>
        <w:t>Proposed FL conclusion</w:t>
      </w:r>
      <w:r>
        <w:rPr>
          <w:highlight w:val="yellow"/>
          <w:lang w:eastAsia="zh-CN"/>
        </w:rPr>
        <w:t xml:space="preserve"> 3</w:t>
      </w:r>
      <w:r w:rsidRPr="00A0385F">
        <w:rPr>
          <w:highlight w:val="yellow"/>
          <w:lang w:eastAsia="zh-CN"/>
        </w:rPr>
        <w:t>:</w:t>
      </w:r>
      <w:r w:rsidRPr="00A0385F">
        <w:rPr>
          <w:lang w:eastAsia="zh-CN"/>
        </w:rPr>
        <w:t xml:space="preserve"> </w:t>
      </w:r>
    </w:p>
    <w:p w14:paraId="0F82E714" w14:textId="77777777" w:rsidR="00612140" w:rsidRPr="00A0385F"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2BE7AC94" w14:textId="77777777" w:rsidR="00612140" w:rsidRPr="006B6796" w:rsidRDefault="00612140" w:rsidP="00612140">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lastRenderedPageBreak/>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lastRenderedPageBreak/>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lastRenderedPageBreak/>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w:t>
      </w:r>
      <w:r w:rsidRPr="00DF6DC9">
        <w:rPr>
          <w:sz w:val="22"/>
          <w:lang w:val="en-US" w:eastAsia="zh-CN"/>
        </w:rPr>
        <w:lastRenderedPageBreak/>
        <w:t xml:space="preserve">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lastRenderedPageBreak/>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lastRenderedPageBreak/>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lastRenderedPageBreak/>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msec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 xml:space="preserve">This issue can be avoided by configuring a value of K1 that is short enough with </w:t>
            </w:r>
            <w:r>
              <w:rPr>
                <w:iCs/>
                <w:kern w:val="2"/>
                <w:lang w:eastAsia="zh-CN"/>
              </w:rPr>
              <w:lastRenderedPageBreak/>
              <w:t>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lastRenderedPageBreak/>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w:t>
      </w:r>
      <w:r w:rsidR="0081786E" w:rsidRPr="009D50E0">
        <w:rPr>
          <w:sz w:val="22"/>
          <w:szCs w:val="22"/>
          <w:lang w:val="en-US"/>
        </w:rPr>
        <w:lastRenderedPageBreak/>
        <w:t xml:space="preserve">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lastRenderedPageBreak/>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 xml:space="preserve">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CF1715"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CF1715"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CF1715"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CF1715"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CF1715"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CF1715"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CF1715"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CF1715"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w:t>
      </w:r>
      <w:proofErr w:type="gramStart"/>
      <w:r>
        <w:rPr>
          <w:b/>
          <w:i/>
        </w:rPr>
        <w:t>mini-slots</w:t>
      </w:r>
      <w:proofErr w:type="gramEnd"/>
      <w:r>
        <w:rPr>
          <w:b/>
          <w:i/>
        </w:rPr>
        <w:t xml:space="preserve">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6" w:name="_Toc4685930"/>
      <w:bookmarkEnd w:id="15"/>
      <w:r>
        <w:rPr>
          <w:lang w:eastAsia="zh-TW"/>
        </w:rPr>
        <w:t>Observation 2</w:t>
      </w:r>
      <w:r>
        <w:rPr>
          <w:lang w:eastAsia="zh-TW"/>
        </w:rPr>
        <w:tab/>
      </w:r>
      <w:bookmarkStart w:id="17" w:name="_Hlk32550844"/>
      <w:bookmarkEnd w:id="16"/>
      <w:r>
        <w:rPr>
          <w:lang w:eastAsia="zh-TW"/>
        </w:rPr>
        <w:t>It is beneficial to allow gNB to trigger a Type-3 HARQ-ACK codebook by a DCI indicating low priority or indicating high priority</w:t>
      </w:r>
      <w:r>
        <w:rPr>
          <w:rFonts w:ascii="Calibri" w:hAnsi="Calibri" w:cs="Calibri"/>
          <w:lang w:eastAsia="zh-TW"/>
        </w:rPr>
        <w:t>.</w:t>
      </w:r>
      <w:bookmarkEnd w:id="1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FA461" w14:textId="77777777" w:rsidR="00CF1715" w:rsidRDefault="00CF1715">
      <w:r>
        <w:separator/>
      </w:r>
    </w:p>
  </w:endnote>
  <w:endnote w:type="continuationSeparator" w:id="0">
    <w:p w14:paraId="17792126" w14:textId="77777777" w:rsidR="00CF1715" w:rsidRDefault="00CF1715">
      <w:r>
        <w:continuationSeparator/>
      </w:r>
    </w:p>
  </w:endnote>
  <w:endnote w:type="continuationNotice" w:id="1">
    <w:p w14:paraId="29B74DBD" w14:textId="77777777" w:rsidR="00CF1715" w:rsidRDefault="00CF17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3A596660" w:rsidR="00646F0E" w:rsidRDefault="00646F0E">
        <w:pPr>
          <w:pStyle w:val="Footer"/>
        </w:pPr>
        <w:r>
          <w:fldChar w:fldCharType="begin"/>
        </w:r>
        <w:r>
          <w:instrText>PAGE   \* MERGEFORMAT</w:instrText>
        </w:r>
        <w:r>
          <w:fldChar w:fldCharType="separate"/>
        </w:r>
        <w:r w:rsidRPr="004A5691">
          <w:rPr>
            <w:lang w:val="zh-CN" w:eastAsia="zh-CN"/>
          </w:rPr>
          <w:t>33</w:t>
        </w:r>
        <w:r>
          <w:fldChar w:fldCharType="end"/>
        </w:r>
      </w:p>
    </w:sdtContent>
  </w:sdt>
  <w:p w14:paraId="00A820FC" w14:textId="77777777" w:rsidR="00646F0E" w:rsidRDefault="00646F0E">
    <w:pPr>
      <w:pStyle w:val="Footer"/>
    </w:pPr>
  </w:p>
  <w:p w14:paraId="4A48D3F3" w14:textId="77777777" w:rsidR="00646F0E" w:rsidRDefault="00646F0E"/>
  <w:p w14:paraId="46E31D82" w14:textId="77777777" w:rsidR="00646F0E" w:rsidRDefault="00646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BD5FD" w14:textId="77777777" w:rsidR="00CF1715" w:rsidRDefault="00CF1715">
      <w:r>
        <w:separator/>
      </w:r>
    </w:p>
  </w:footnote>
  <w:footnote w:type="continuationSeparator" w:id="0">
    <w:p w14:paraId="58CC1722" w14:textId="77777777" w:rsidR="00CF1715" w:rsidRDefault="00CF1715">
      <w:r>
        <w:continuationSeparator/>
      </w:r>
    </w:p>
  </w:footnote>
  <w:footnote w:type="continuationNotice" w:id="1">
    <w:p w14:paraId="2A730ED1" w14:textId="77777777" w:rsidR="00CF1715" w:rsidRDefault="00CF17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646F0E" w:rsidRDefault="00646F0E">
    <w:pPr>
      <w:pStyle w:val="Header"/>
      <w:tabs>
        <w:tab w:val="right" w:pos="9639"/>
      </w:tabs>
    </w:pPr>
    <w:r>
      <w:tab/>
    </w:r>
  </w:p>
  <w:p w14:paraId="246D48EC" w14:textId="77777777" w:rsidR="00646F0E" w:rsidRDefault="00646F0E"/>
  <w:p w14:paraId="4F6F578E" w14:textId="77777777" w:rsidR="00646F0E" w:rsidRDefault="00646F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8"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0"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5"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8"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2"/>
  </w:num>
  <w:num w:numId="2">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num>
  <w:num w:numId="4">
    <w:abstractNumId w:val="4"/>
  </w:num>
  <w:num w:numId="5">
    <w:abstractNumId w:val="46"/>
  </w:num>
  <w:num w:numId="6">
    <w:abstractNumId w:val="56"/>
  </w:num>
  <w:num w:numId="7">
    <w:abstractNumId w:val="18"/>
  </w:num>
  <w:num w:numId="8">
    <w:abstractNumId w:val="51"/>
  </w:num>
  <w:num w:numId="9">
    <w:abstractNumId w:val="11"/>
  </w:num>
  <w:num w:numId="10">
    <w:abstractNumId w:val="21"/>
  </w:num>
  <w:num w:numId="11">
    <w:abstractNumId w:val="53"/>
  </w:num>
  <w:num w:numId="12">
    <w:abstractNumId w:val="1"/>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6"/>
  </w:num>
  <w:num w:numId="17">
    <w:abstractNumId w:val="6"/>
  </w:num>
  <w:num w:numId="18">
    <w:abstractNumId w:val="23"/>
  </w:num>
  <w:num w:numId="19">
    <w:abstractNumId w:val="40"/>
  </w:num>
  <w:num w:numId="20">
    <w:abstractNumId w:val="42"/>
  </w:num>
  <w:num w:numId="21">
    <w:abstractNumId w:val="22"/>
  </w:num>
  <w:num w:numId="22">
    <w:abstractNumId w:val="9"/>
  </w:num>
  <w:num w:numId="23">
    <w:abstractNumId w:val="48"/>
  </w:num>
  <w:num w:numId="24">
    <w:abstractNumId w:val="41"/>
  </w:num>
  <w:num w:numId="25">
    <w:abstractNumId w:val="32"/>
  </w:num>
  <w:num w:numId="26">
    <w:abstractNumId w:val="15"/>
  </w:num>
  <w:num w:numId="27">
    <w:abstractNumId w:val="35"/>
  </w:num>
  <w:num w:numId="28">
    <w:abstractNumId w:val="43"/>
  </w:num>
  <w:num w:numId="29">
    <w:abstractNumId w:val="25"/>
  </w:num>
  <w:num w:numId="30">
    <w:abstractNumId w:val="31"/>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60"/>
  </w:num>
  <w:num w:numId="34">
    <w:abstractNumId w:val="27"/>
  </w:num>
  <w:num w:numId="35">
    <w:abstractNumId w:val="10"/>
  </w:num>
  <w:num w:numId="36">
    <w:abstractNumId w:val="57"/>
  </w:num>
  <w:num w:numId="37">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4"/>
  </w:num>
  <w:num w:numId="40">
    <w:abstractNumId w:val="3"/>
  </w:num>
  <w:num w:numId="41">
    <w:abstractNumId w:val="16"/>
  </w:num>
  <w:num w:numId="42">
    <w:abstractNumId w:val="24"/>
  </w:num>
  <w:num w:numId="43">
    <w:abstractNumId w:val="33"/>
  </w:num>
  <w:num w:numId="44">
    <w:abstractNumId w:val="20"/>
  </w:num>
  <w:num w:numId="45">
    <w:abstractNumId w:val="28"/>
  </w:num>
  <w:num w:numId="46">
    <w:abstractNumId w:val="2"/>
  </w:num>
  <w:num w:numId="47">
    <w:abstractNumId w:val="13"/>
  </w:num>
  <w:num w:numId="48">
    <w:abstractNumId w:val="44"/>
  </w:num>
  <w:num w:numId="49">
    <w:abstractNumId w:val="58"/>
  </w:num>
  <w:num w:numId="50">
    <w:abstractNumId w:val="2"/>
  </w:num>
  <w:num w:numId="51">
    <w:abstractNumId w:val="19"/>
  </w:num>
  <w:num w:numId="52">
    <w:abstractNumId w:val="59"/>
  </w:num>
  <w:num w:numId="53">
    <w:abstractNumId w:val="34"/>
  </w:num>
  <w:num w:numId="54">
    <w:abstractNumId w:val="39"/>
  </w:num>
  <w:num w:numId="55">
    <w:abstractNumId w:val="0"/>
  </w:num>
  <w:num w:numId="56">
    <w:abstractNumId w:val="8"/>
  </w:num>
  <w:num w:numId="57">
    <w:abstractNumId w:val="30"/>
  </w:num>
  <w:num w:numId="58">
    <w:abstractNumId w:val="38"/>
  </w:num>
  <w:num w:numId="59">
    <w:abstractNumId w:val="37"/>
  </w:num>
  <w:num w:numId="60">
    <w:abstractNumId w:val="47"/>
  </w:num>
  <w:num w:numId="61">
    <w:abstractNumId w:val="12"/>
  </w:num>
  <w:num w:numId="62">
    <w:abstractNumId w:val="17"/>
  </w:num>
  <w:num w:numId="63">
    <w:abstractNumId w:val="26"/>
  </w:num>
  <w:num w:numId="64">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4C4"/>
    <w:rsid w:val="00E9091A"/>
    <w:rsid w:val="00E913F0"/>
    <w:rsid w:val="00E9141E"/>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2DB3B887-9320-4AC5-8896-EEA71FA6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101</Pages>
  <Words>30234</Words>
  <Characters>172334</Characters>
  <Application>Microsoft Office Word</Application>
  <DocSecurity>0</DocSecurity>
  <Lines>1436</Lines>
  <Paragraphs>404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202164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Editor - RRC parameter Alignment</cp:lastModifiedBy>
  <cp:revision>3</cp:revision>
  <cp:lastPrinted>1900-12-31T16:00:00Z</cp:lastPrinted>
  <dcterms:created xsi:type="dcterms:W3CDTF">2020-08-25T04:43:00Z</dcterms:created>
  <dcterms:modified xsi:type="dcterms:W3CDTF">2020-08-25T04:46:00Z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