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480056" w14:paraId="6099FB4E" w14:textId="77777777" w:rsidTr="00205102">
        <w:tc>
          <w:tcPr>
            <w:tcW w:w="1587" w:type="dxa"/>
          </w:tcPr>
          <w:p w14:paraId="61E464F8" w14:textId="4D7E79BD" w:rsidR="00480056" w:rsidRDefault="00EA764F" w:rsidP="00C32EDF">
            <w:pPr>
              <w:spacing w:beforeLines="50" w:before="120"/>
              <w:rPr>
                <w:iCs/>
                <w:kern w:val="2"/>
                <w:lang w:eastAsia="zh-CN"/>
              </w:rPr>
            </w:pPr>
            <w:r>
              <w:rPr>
                <w:iCs/>
                <w:kern w:val="2"/>
                <w:lang w:eastAsia="zh-CN"/>
              </w:rPr>
              <w:t>QC</w:t>
            </w:r>
          </w:p>
        </w:tc>
        <w:tc>
          <w:tcPr>
            <w:tcW w:w="818" w:type="dxa"/>
          </w:tcPr>
          <w:p w14:paraId="1202742F" w14:textId="7F2EBE28" w:rsidR="00480056" w:rsidRDefault="00EA764F" w:rsidP="00C32EDF">
            <w:pPr>
              <w:spacing w:beforeLines="50" w:before="120"/>
              <w:rPr>
                <w:iCs/>
                <w:kern w:val="2"/>
                <w:lang w:eastAsia="zh-CN"/>
              </w:rPr>
            </w:pPr>
            <w:r>
              <w:rPr>
                <w:iCs/>
                <w:kern w:val="2"/>
                <w:lang w:eastAsia="zh-CN"/>
              </w:rPr>
              <w:t>Yes</w:t>
            </w:r>
          </w:p>
        </w:tc>
        <w:tc>
          <w:tcPr>
            <w:tcW w:w="7224" w:type="dxa"/>
          </w:tcPr>
          <w:p w14:paraId="032FECBF" w14:textId="77777777" w:rsidR="00480056" w:rsidRDefault="00480056" w:rsidP="00C32EDF">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w:t>
            </w:r>
            <w:r>
              <w:rPr>
                <w:kern w:val="2"/>
                <w:lang w:eastAsia="zh-CN"/>
              </w:rPr>
              <w:lastRenderedPageBreak/>
              <w:t xml:space="preserve">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77777777" w:rsidR="00292ED0" w:rsidRDefault="009A417E" w:rsidP="00C32EDF">
            <w:pPr>
              <w:spacing w:beforeLines="50" w:before="120"/>
              <w:rPr>
                <w:sz w:val="22"/>
                <w:lang w:val="en-US" w:eastAsia="zh-CN"/>
              </w:rPr>
            </w:pPr>
            <w:r>
              <w:rPr>
                <w:sz w:val="22"/>
                <w:lang w:val="en-US" w:eastAsia="zh-CN"/>
              </w:rPr>
              <w:t>Low priority for 3.2</w:t>
            </w:r>
          </w:p>
          <w:p w14:paraId="75B969FD" w14:textId="77777777" w:rsidR="00A31E6C" w:rsidRDefault="00A31E6C" w:rsidP="00A31E6C">
            <w:pPr>
              <w:jc w:val="both"/>
              <w:rPr>
                <w:sz w:val="22"/>
                <w:lang w:val="en-US" w:eastAsia="zh-CN"/>
              </w:rPr>
            </w:pPr>
            <w:r>
              <w:rPr>
                <w:sz w:val="22"/>
                <w:lang w:val="en-US" w:eastAsia="zh-CN"/>
              </w:rPr>
              <w:t>High priority for 3.3</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lastRenderedPageBreak/>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lastRenderedPageBreak/>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0D3ADA9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lastRenderedPageBreak/>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w:t>
            </w:r>
            <w:r>
              <w:rPr>
                <w:rFonts w:eastAsia="Malgun Gothic"/>
                <w:bCs/>
                <w:iCs/>
                <w:kern w:val="2"/>
                <w:lang w:eastAsia="ko-KR"/>
              </w:rPr>
              <w:lastRenderedPageBreak/>
              <w:t xml:space="preserve">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lastRenderedPageBreak/>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lastRenderedPageBreak/>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lastRenderedPageBreak/>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lastRenderedPageBreak/>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lastRenderedPageBreak/>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lastRenderedPageBreak/>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lastRenderedPageBreak/>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lastRenderedPageBreak/>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For the third sub-bullet, we also suggest discussing it in 8.3.1.1, as this issue mainly talks about the dropping HARQ to be retransmitted, but agenda 8.3.3 focus 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 xml:space="preserve">low-priority </w:t>
            </w:r>
            <w:r w:rsidRPr="00423E47">
              <w:rPr>
                <w:iCs/>
                <w:kern w:val="2"/>
                <w:sz w:val="22"/>
                <w:szCs w:val="22"/>
                <w:lang w:eastAsia="zh-CN"/>
              </w:rPr>
              <w:lastRenderedPageBreak/>
              <w:t>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lastRenderedPageBreak/>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our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lastRenderedPageBreak/>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And  PUCCH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inclind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bulletpoint,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samsung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it is true that the necesity could be minimized if it is supported to multiplex low priority HARQ-ACK from AI 8.3.3. Given that, we think it need to wait the decesion of AI 8.3.3 to discuss re-transmssion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lastRenderedPageBreak/>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4"/>
        <w:gridCol w:w="1353"/>
        <w:gridCol w:w="6722"/>
      </w:tblGrid>
      <w:tr w:rsidR="00566BAF" w:rsidRPr="00566BAF" w14:paraId="2E72AC65" w14:textId="77777777" w:rsidTr="004A5691">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35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4A5691">
        <w:tc>
          <w:tcPr>
            <w:tcW w:w="1544"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353"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4A5691">
        <w:tc>
          <w:tcPr>
            <w:tcW w:w="1544"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353"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4A5691">
        <w:tc>
          <w:tcPr>
            <w:tcW w:w="1544"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353"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4A5691">
        <w:tc>
          <w:tcPr>
            <w:tcW w:w="1544"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353"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4A5691">
        <w:tc>
          <w:tcPr>
            <w:tcW w:w="1544"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353"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4A5691">
        <w:tc>
          <w:tcPr>
            <w:tcW w:w="1544"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353"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4A5691">
        <w:tc>
          <w:tcPr>
            <w:tcW w:w="1544"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353"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4A5691">
        <w:tc>
          <w:tcPr>
            <w:tcW w:w="1544"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353"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4A5691">
        <w:tc>
          <w:tcPr>
            <w:tcW w:w="1544"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353"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722"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4A5691">
        <w:tc>
          <w:tcPr>
            <w:tcW w:w="1544"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353"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4A5691">
        <w:tc>
          <w:tcPr>
            <w:tcW w:w="1544"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353"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4A5691">
        <w:tc>
          <w:tcPr>
            <w:tcW w:w="1544"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353"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4A5691">
        <w:tc>
          <w:tcPr>
            <w:tcW w:w="1544"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353"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722"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lastRenderedPageBreak/>
              <w:br/>
              <w:t xml:space="preserve">Moreover, looking at HARQ-ACK, a potential prioritization issue there (when considering the CA scenario) can be handled by Rel-16 already: Just simply schedule a LP PUSCH on an SCell and the LP HARQ-ACK will be transmitted there (i.e. not dropped). So from HARQ-ACK perspective we think there is already a solution available. Therefore, the discussions may need to more focus on the issue of SR &amp; CSI, which cannot be carried by LP DG PUSCH on an SCell. Therefore, we suggest to cover this as part of AI 8.3.3. </w:t>
            </w:r>
          </w:p>
        </w:tc>
      </w:tr>
      <w:tr w:rsidR="004A5691" w:rsidRPr="00566BAF" w14:paraId="250754FA" w14:textId="77777777" w:rsidTr="004A5691">
        <w:tc>
          <w:tcPr>
            <w:tcW w:w="1544"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lastRenderedPageBreak/>
              <w:t>LG</w:t>
            </w:r>
          </w:p>
        </w:tc>
        <w:tc>
          <w:tcPr>
            <w:tcW w:w="1353"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722"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A22521">
        <w:tc>
          <w:tcPr>
            <w:tcW w:w="1544"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353"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A22521">
        <w:tc>
          <w:tcPr>
            <w:tcW w:w="1544"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353"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lastRenderedPageBreak/>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2F978E7"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 xml:space="preserve">it would be beneficial from URLLC </w:t>
            </w:r>
            <w:r>
              <w:rPr>
                <w:rFonts w:eastAsia="MS Mincho"/>
                <w:iCs/>
                <w:kern w:val="2"/>
                <w:sz w:val="22"/>
                <w:szCs w:val="22"/>
                <w:lang w:eastAsia="ja-JP"/>
              </w:rPr>
              <w:lastRenderedPageBreak/>
              <w:t>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hint="eastAsia"/>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hint="eastAsia"/>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hint="eastAsia"/>
                <w:iCs/>
                <w:kern w:val="2"/>
                <w:sz w:val="22"/>
                <w:szCs w:val="22"/>
                <w:lang w:eastAsia="ko-KR"/>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lastRenderedPageBreak/>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hint="eastAsia"/>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lastRenderedPageBreak/>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071C2F0E"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606907FD" w:rsidR="00B961ED" w:rsidRPr="00566BAF" w:rsidRDefault="008E5D6B" w:rsidP="00B961ED">
            <w:pPr>
              <w:widowControl w:val="0"/>
              <w:spacing w:beforeLines="50" w:before="120"/>
              <w:rPr>
                <w:iCs/>
                <w:kern w:val="2"/>
                <w:sz w:val="22"/>
                <w:szCs w:val="22"/>
                <w:lang w:eastAsia="zh-CN"/>
              </w:rPr>
            </w:pPr>
            <w:r>
              <w:rPr>
                <w:iCs/>
                <w:kern w:val="2"/>
                <w:lang w:eastAsia="zh-CN"/>
              </w:rPr>
              <w:t>To support URLLC in case of CA, proper UL-DL configuration should be configured by gNB.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beneficial from URLLC perspective and can be further 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77777777"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SCell.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hint="eastAsia"/>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hint="eastAsia"/>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bl>
    <w:p w14:paraId="23A57258" w14:textId="77777777" w:rsidR="00566BAF" w:rsidRPr="00566BAF" w:rsidRDefault="00566BAF" w:rsidP="00566BAF">
      <w:pPr>
        <w:jc w:val="both"/>
        <w:rPr>
          <w:sz w:val="22"/>
          <w:szCs w:val="22"/>
          <w:lang w:val="en-US"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lastRenderedPageBreak/>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1</w:t>
            </w: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hint="eastAsia"/>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hint="eastAsia"/>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 xml:space="preserve">one or multiple PDSCH(s) required to be received according to this </w:t>
            </w:r>
            <w:r w:rsidRPr="00566BAF">
              <w:rPr>
                <w:color w:val="000000"/>
                <w:kern w:val="2"/>
                <w:sz w:val="22"/>
                <w:szCs w:val="22"/>
                <w:highlight w:val="yellow"/>
                <w:lang w:eastAsia="zh-CN"/>
              </w:rPr>
              <w:lastRenderedPageBreak/>
              <w:t>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w:t>
      </w:r>
      <w:r w:rsidR="001712BA">
        <w:rPr>
          <w:b/>
          <w:bCs/>
          <w:sz w:val="22"/>
          <w:szCs w:val="22"/>
          <w:highlight w:val="yellow"/>
          <w:lang w:val="en-US" w:eastAsia="zh-CN"/>
        </w:rPr>
        <w:t>3</w:t>
      </w:r>
      <w:r w:rsidRPr="00566BAF">
        <w:rPr>
          <w:b/>
          <w:bCs/>
          <w:sz w:val="22"/>
          <w:szCs w:val="22"/>
          <w:highlight w:val="yellow"/>
          <w:lang w:val="en-US" w:eastAsia="zh-CN"/>
        </w:rPr>
        <w:t>.</w:t>
      </w:r>
      <w:r w:rsidR="001712BA">
        <w:rPr>
          <w:b/>
          <w:bCs/>
          <w:sz w:val="22"/>
          <w:szCs w:val="22"/>
          <w:highlight w:val="yellow"/>
          <w:lang w:val="en-US" w:eastAsia="zh-CN"/>
        </w:rPr>
        <w:t>5</w:t>
      </w:r>
      <w:r w:rsidRPr="00566BAF">
        <w:rPr>
          <w:b/>
          <w:bCs/>
          <w:sz w:val="22"/>
          <w:szCs w:val="22"/>
          <w:highlight w:val="yellow"/>
          <w:lang w:val="en-US" w:eastAsia="zh-CN"/>
        </w:rPr>
        <w:t>A:</w:t>
      </w:r>
      <w:r w:rsidRPr="00566BAF">
        <w:rPr>
          <w:sz w:val="22"/>
          <w:szCs w:val="22"/>
          <w:lang w:val="en-US" w:eastAsia="zh-CN"/>
        </w:rPr>
        <w:t xml:space="preserve"> </w:t>
      </w:r>
      <w:r w:rsidRPr="00566BAF">
        <w:rPr>
          <w:b/>
          <w:bCs/>
          <w:sz w:val="22"/>
          <w:szCs w:val="22"/>
          <w:lang w:val="en-US" w:eastAsia="zh-CN"/>
        </w:rPr>
        <w:t xml:space="preserve">Do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lastRenderedPageBreak/>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r w:rsidRPr="000C1A21">
              <w:rPr>
                <w:rFonts w:asciiTheme="minorHAnsi" w:hAnsiTheme="minorHAnsi" w:cstheme="minorHAnsi"/>
                <w:i/>
                <w:iCs/>
                <w:sz w:val="22"/>
                <w:szCs w:val="22"/>
              </w:rPr>
              <w:t>pdsch-AggregationFactor</w:t>
            </w:r>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we have multiple SPS configurations, “multiple” in the spec mentioned by FL should refer to multiple configurations instead of 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42872A1B"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schedling PDCCH, UE doesn’t expect to receive another PDSCH corresponding to a HARQ process before the transmission of HARQ-ACK for a PDSCH corresponding to the same HARQ process. (Thus, overiding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4DF4443"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w:t>
      </w:r>
      <w:r w:rsidR="001712BA">
        <w:rPr>
          <w:b/>
          <w:bCs/>
          <w:sz w:val="22"/>
          <w:szCs w:val="22"/>
          <w:highlight w:val="yellow"/>
          <w:lang w:val="en-US" w:eastAsia="zh-CN"/>
        </w:rPr>
        <w:t>3</w:t>
      </w:r>
      <w:r w:rsidRPr="00566BAF">
        <w:rPr>
          <w:b/>
          <w:bCs/>
          <w:sz w:val="22"/>
          <w:szCs w:val="22"/>
          <w:highlight w:val="yellow"/>
          <w:lang w:val="en-US" w:eastAsia="zh-CN"/>
        </w:rPr>
        <w:t>.</w:t>
      </w:r>
      <w:r w:rsidR="001712BA">
        <w:rPr>
          <w:b/>
          <w:bCs/>
          <w:sz w:val="22"/>
          <w:szCs w:val="22"/>
          <w:highlight w:val="yellow"/>
          <w:lang w:val="en-US" w:eastAsia="zh-CN"/>
        </w:rPr>
        <w:t>5B</w:t>
      </w:r>
      <w:r w:rsidRPr="00566BAF">
        <w:rPr>
          <w:b/>
          <w:bCs/>
          <w:sz w:val="22"/>
          <w:szCs w:val="22"/>
          <w:highlight w:val="yellow"/>
          <w:lang w:val="en-US" w:eastAsia="zh-CN"/>
        </w:rPr>
        <w:t>:</w:t>
      </w:r>
      <w:r w:rsidRPr="00566BAF">
        <w:rPr>
          <w:sz w:val="22"/>
          <w:szCs w:val="22"/>
          <w:lang w:val="en-US" w:eastAsia="zh-CN"/>
        </w:rPr>
        <w:t xml:space="preserve"> </w:t>
      </w:r>
      <w:r w:rsidRPr="00566BAF">
        <w:rPr>
          <w:b/>
          <w:bCs/>
          <w:sz w:val="22"/>
          <w:szCs w:val="22"/>
          <w:lang w:val="en-US" w:eastAsia="zh-CN"/>
        </w:rPr>
        <w:t>Do you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203381AE"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lastRenderedPageBreak/>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lastRenderedPageBreak/>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 xml:space="preserve">This is a strong alternative to the other mechanisms for postponing </w:t>
            </w:r>
            <w:r>
              <w:rPr>
                <w:iCs/>
                <w:kern w:val="2"/>
                <w:sz w:val="22"/>
                <w:szCs w:val="22"/>
                <w:lang w:eastAsia="zh-CN"/>
              </w:rPr>
              <w:lastRenderedPageBreak/>
              <w:t>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bookmarkStart w:id="3" w:name="_GoBack"/>
            <w:bookmarkEnd w:id="3"/>
          </w:p>
        </w:tc>
      </w:tr>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lastRenderedPageBreak/>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lastRenderedPageBreak/>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lastRenderedPageBreak/>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w:t>
            </w:r>
            <w:r>
              <w:rPr>
                <w:kern w:val="2"/>
                <w:lang w:eastAsia="zh-CN"/>
              </w:rPr>
              <w:lastRenderedPageBreak/>
              <w:t xml:space="preserve">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lastRenderedPageBreak/>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lastRenderedPageBreak/>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lastRenderedPageBreak/>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lastRenderedPageBreak/>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 xml:space="preserve">igh priority. The shrink of k1 indication for sub slot is a valid issue which ever raised by CMCC. We are open to the solutions. Just mention that, the solution k1=0 is very similar to the ‘defer’ solution in issue 3.1 which the only difference is issue 4.2 is for </w:t>
            </w:r>
            <w:r>
              <w:rPr>
                <w:iCs/>
                <w:kern w:val="2"/>
                <w:lang w:eastAsia="zh-CN"/>
              </w:rPr>
              <w:lastRenderedPageBreak/>
              <w:t>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lastRenderedPageBreak/>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 xml:space="preserve">We understand the intention of the proposal to increase reliability of sub-slot PUCCH. However, there are other solutions which fulfil the same goal based on some existing </w:t>
            </w:r>
            <w:r w:rsidRPr="00945041">
              <w:rPr>
                <w:iCs/>
                <w:kern w:val="2"/>
                <w:lang w:eastAsia="zh-CN"/>
              </w:rPr>
              <w:lastRenderedPageBreak/>
              <w:t>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lastRenderedPageBreak/>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lastRenderedPageBreak/>
        <w:t>6</w:t>
      </w:r>
      <w:r w:rsidR="009B2D45">
        <w:rPr>
          <w:lang w:val="en-US"/>
        </w:rPr>
        <w:t xml:space="preserve">.1 </w:t>
      </w:r>
      <w:bookmarkStart w:id="4"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4"/>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w:t>
      </w:r>
      <w:r w:rsidR="00995BEE" w:rsidRPr="00995BEE">
        <w:rPr>
          <w:sz w:val="22"/>
          <w:szCs w:val="22"/>
          <w:lang w:val="en-US"/>
        </w:rPr>
        <w:lastRenderedPageBreak/>
        <w:t>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 xml:space="preserve">Also, it should not be restricted that high priority HARQ-ACK codebook can only support one codeword/MIMO layer. Note that high priority HARQ-ACK is supported </w:t>
            </w:r>
            <w:r w:rsidRPr="00776D8F">
              <w:rPr>
                <w:iCs/>
                <w:kern w:val="2"/>
                <w:lang w:eastAsia="zh-CN"/>
              </w:rPr>
              <w:lastRenderedPageBreak/>
              <w:t>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lastRenderedPageBreak/>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 xml:space="preserve">Unclear why a UE would transmit ACK at all then. This is essentially single-PDSCH </w:t>
            </w:r>
            <w:r>
              <w:rPr>
                <w:kern w:val="2"/>
                <w:lang w:eastAsia="zh-CN"/>
              </w:rPr>
              <w:lastRenderedPageBreak/>
              <w:t>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lastRenderedPageBreak/>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lastRenderedPageBreak/>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lastRenderedPageBreak/>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 xml:space="preserve">This can be viewed as an alternative to drop the low priority HARQ-ACK codebook specified in Rel-16. So instead of dropping, the low priority HARQ-ACK codebook </w:t>
            </w:r>
            <w:r>
              <w:rPr>
                <w:kern w:val="2"/>
                <w:lang w:eastAsia="zh-CN"/>
              </w:rPr>
              <w:lastRenderedPageBreak/>
              <w:t>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w:t>
            </w:r>
            <w:r>
              <w:rPr>
                <w:iCs/>
                <w:kern w:val="2"/>
                <w:lang w:eastAsia="zh-CN"/>
              </w:rPr>
              <w:lastRenderedPageBreak/>
              <w:t xml:space="preserve">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lastRenderedPageBreak/>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2"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8B22AC" w:rsidP="001B4F9F">
      <w:pPr>
        <w:pStyle w:val="TableofFigures"/>
        <w:tabs>
          <w:tab w:val="right" w:leader="dot" w:pos="9629"/>
        </w:tabs>
        <w:rPr>
          <w:rFonts w:asciiTheme="minorHAnsi" w:hAnsiTheme="minorHAnsi"/>
          <w:b w:val="0"/>
          <w:noProof/>
          <w:lang w:eastAsia="en-US"/>
        </w:rPr>
      </w:pPr>
      <w:hyperlink r:id="rId13"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8B22AC" w:rsidP="001B4F9F">
      <w:pPr>
        <w:pStyle w:val="TableofFigures"/>
        <w:tabs>
          <w:tab w:val="right" w:leader="dot" w:pos="9629"/>
        </w:tabs>
        <w:rPr>
          <w:rFonts w:asciiTheme="minorHAnsi" w:hAnsiTheme="minorHAnsi"/>
          <w:b w:val="0"/>
          <w:noProof/>
          <w:lang w:eastAsia="en-US"/>
        </w:rPr>
      </w:pPr>
      <w:hyperlink r:id="rId14"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8B22AC" w:rsidP="001B4F9F">
      <w:pPr>
        <w:pStyle w:val="TableofFigures"/>
        <w:tabs>
          <w:tab w:val="right" w:leader="dot" w:pos="9629"/>
        </w:tabs>
        <w:rPr>
          <w:rFonts w:asciiTheme="minorHAnsi" w:hAnsiTheme="minorHAnsi"/>
          <w:b w:val="0"/>
          <w:noProof/>
          <w:lang w:eastAsia="en-US"/>
        </w:rPr>
      </w:pPr>
      <w:hyperlink r:id="rId15"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6"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8B22AC" w:rsidP="001B4F9F">
      <w:pPr>
        <w:pStyle w:val="TableofFigures"/>
        <w:tabs>
          <w:tab w:val="right" w:leader="dot" w:pos="9629"/>
        </w:tabs>
        <w:rPr>
          <w:rFonts w:asciiTheme="minorHAnsi" w:hAnsiTheme="minorHAnsi"/>
          <w:b w:val="0"/>
          <w:noProof/>
          <w:lang w:eastAsia="en-US"/>
        </w:rPr>
      </w:pPr>
      <w:hyperlink r:id="rId17"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8B22AC" w:rsidP="001B4F9F">
      <w:pPr>
        <w:pStyle w:val="TableofFigures"/>
        <w:tabs>
          <w:tab w:val="right" w:leader="dot" w:pos="9629"/>
        </w:tabs>
        <w:rPr>
          <w:rFonts w:asciiTheme="minorHAnsi" w:hAnsiTheme="minorHAnsi"/>
          <w:b w:val="0"/>
          <w:noProof/>
          <w:lang w:eastAsia="en-US"/>
        </w:rPr>
      </w:pPr>
      <w:hyperlink r:id="rId18"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8B22AC" w:rsidP="001B4F9F">
      <w:pPr>
        <w:pStyle w:val="TableofFigures"/>
        <w:tabs>
          <w:tab w:val="right" w:leader="dot" w:pos="9629"/>
        </w:tabs>
        <w:rPr>
          <w:rFonts w:asciiTheme="minorHAnsi" w:hAnsiTheme="minorHAnsi"/>
          <w:b w:val="0"/>
          <w:noProof/>
          <w:lang w:eastAsia="en-US"/>
        </w:rPr>
      </w:pPr>
      <w:hyperlink r:id="rId19"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8B22AC" w:rsidP="001B4F9F">
      <w:pPr>
        <w:pStyle w:val="TableofFigures"/>
        <w:tabs>
          <w:tab w:val="right" w:leader="dot" w:pos="9629"/>
        </w:tabs>
        <w:rPr>
          <w:rFonts w:asciiTheme="minorHAnsi" w:hAnsiTheme="minorHAnsi"/>
          <w:b w:val="0"/>
          <w:noProof/>
          <w:lang w:eastAsia="en-US"/>
        </w:rPr>
      </w:pPr>
      <w:hyperlink r:id="rId20"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8B22AC" w:rsidP="001B4F9F">
      <w:pPr>
        <w:pStyle w:val="TableofFigures"/>
        <w:tabs>
          <w:tab w:val="right" w:leader="dot" w:pos="9629"/>
        </w:tabs>
        <w:rPr>
          <w:rFonts w:asciiTheme="minorHAnsi" w:hAnsiTheme="minorHAnsi"/>
          <w:b w:val="0"/>
          <w:noProof/>
          <w:lang w:eastAsia="en-US"/>
        </w:rPr>
      </w:pPr>
      <w:hyperlink r:id="rId21"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Sub-slot based type-1 HARQ-ACK codebook should be supported in Rel-17.</w:t>
      </w:r>
    </w:p>
    <w:p w14:paraId="115A0D29" w14:textId="77777777" w:rsidR="008C5FD0" w:rsidRDefault="008C5FD0" w:rsidP="008C5FD0">
      <w:pPr>
        <w:pStyle w:val="BodyText"/>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5"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6" w:name="_Toc4685930"/>
      <w:bookmarkEnd w:id="5"/>
      <w:r>
        <w:rPr>
          <w:lang w:eastAsia="zh-TW"/>
        </w:rPr>
        <w:t>Observation 2</w:t>
      </w:r>
      <w:r>
        <w:rPr>
          <w:lang w:eastAsia="zh-TW"/>
        </w:rPr>
        <w:tab/>
      </w:r>
      <w:bookmarkStart w:id="7" w:name="_Hlk32550844"/>
      <w:bookmarkEnd w:id="6"/>
      <w:r>
        <w:rPr>
          <w:lang w:eastAsia="zh-TW"/>
        </w:rPr>
        <w:t>It is beneficial to allow gNB to trigger a Type-3 HARQ-ACK codebook by a DCI indicating low priority or indicating high priority</w:t>
      </w:r>
      <w:r>
        <w:rPr>
          <w:rFonts w:ascii="Calibri" w:hAnsi="Calibri" w:cs="Calibri"/>
          <w:lang w:eastAsia="zh-TW"/>
        </w:rPr>
        <w:t>.</w:t>
      </w:r>
      <w:bookmarkEnd w:id="7"/>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2"/>
      <w:foot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B7B3D" w14:textId="77777777" w:rsidR="00B57FC9" w:rsidRDefault="00B57FC9">
      <w:r>
        <w:separator/>
      </w:r>
    </w:p>
  </w:endnote>
  <w:endnote w:type="continuationSeparator" w:id="0">
    <w:p w14:paraId="4F5C090C" w14:textId="77777777" w:rsidR="00B57FC9" w:rsidRDefault="00B57FC9">
      <w:r>
        <w:continuationSeparator/>
      </w:r>
    </w:p>
  </w:endnote>
  <w:endnote w:type="continuationNotice" w:id="1">
    <w:p w14:paraId="15491153" w14:textId="77777777" w:rsidR="00B57FC9" w:rsidRDefault="00B57F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3A596660" w:rsidR="008B22AC" w:rsidRDefault="008B22AC">
        <w:pPr>
          <w:pStyle w:val="Footer"/>
        </w:pPr>
        <w:r>
          <w:fldChar w:fldCharType="begin"/>
        </w:r>
        <w:r>
          <w:instrText>PAGE   \* MERGEFORMAT</w:instrText>
        </w:r>
        <w:r>
          <w:fldChar w:fldCharType="separate"/>
        </w:r>
        <w:r w:rsidRPr="004A5691">
          <w:rPr>
            <w:lang w:val="zh-CN" w:eastAsia="zh-CN"/>
          </w:rPr>
          <w:t>33</w:t>
        </w:r>
        <w:r>
          <w:fldChar w:fldCharType="end"/>
        </w:r>
      </w:p>
    </w:sdtContent>
  </w:sdt>
  <w:p w14:paraId="00A820FC" w14:textId="77777777" w:rsidR="008B22AC" w:rsidRDefault="008B22AC">
    <w:pPr>
      <w:pStyle w:val="Footer"/>
    </w:pPr>
  </w:p>
  <w:p w14:paraId="4A48D3F3" w14:textId="77777777" w:rsidR="008B22AC" w:rsidRDefault="008B22AC"/>
  <w:p w14:paraId="46E31D82" w14:textId="77777777" w:rsidR="008B22AC" w:rsidRDefault="008B22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16EBF" w14:textId="77777777" w:rsidR="00B57FC9" w:rsidRDefault="00B57FC9">
      <w:r>
        <w:separator/>
      </w:r>
    </w:p>
  </w:footnote>
  <w:footnote w:type="continuationSeparator" w:id="0">
    <w:p w14:paraId="3B058F2A" w14:textId="77777777" w:rsidR="00B57FC9" w:rsidRDefault="00B57FC9">
      <w:r>
        <w:continuationSeparator/>
      </w:r>
    </w:p>
  </w:footnote>
  <w:footnote w:type="continuationNotice" w:id="1">
    <w:p w14:paraId="69A19DB4" w14:textId="77777777" w:rsidR="00B57FC9" w:rsidRDefault="00B57F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8B22AC" w:rsidRDefault="008B22AC">
    <w:pPr>
      <w:pStyle w:val="Header"/>
      <w:tabs>
        <w:tab w:val="right" w:pos="9639"/>
      </w:tabs>
    </w:pPr>
    <w:r>
      <w:tab/>
    </w:r>
  </w:p>
  <w:p w14:paraId="246D48EC" w14:textId="77777777" w:rsidR="008B22AC" w:rsidRDefault="008B22AC"/>
  <w:p w14:paraId="4F6F578E" w14:textId="77777777" w:rsidR="008B22AC" w:rsidRDefault="008B22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7"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4"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9"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52"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6"/>
  </w:num>
  <w:num w:numId="2">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4"/>
  </w:num>
  <w:num w:numId="5">
    <w:abstractNumId w:val="41"/>
  </w:num>
  <w:num w:numId="6">
    <w:abstractNumId w:val="50"/>
  </w:num>
  <w:num w:numId="7">
    <w:abstractNumId w:val="17"/>
  </w:num>
  <w:num w:numId="8">
    <w:abstractNumId w:val="45"/>
  </w:num>
  <w:num w:numId="9">
    <w:abstractNumId w:val="11"/>
  </w:num>
  <w:num w:numId="10">
    <w:abstractNumId w:val="20"/>
  </w:num>
  <w:num w:numId="11">
    <w:abstractNumId w:val="47"/>
  </w:num>
  <w:num w:numId="12">
    <w:abstractNumId w:val="1"/>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7"/>
  </w:num>
  <w:num w:numId="16">
    <w:abstractNumId w:val="34"/>
  </w:num>
  <w:num w:numId="17">
    <w:abstractNumId w:val="6"/>
  </w:num>
  <w:num w:numId="18">
    <w:abstractNumId w:val="22"/>
  </w:num>
  <w:num w:numId="19">
    <w:abstractNumId w:val="36"/>
  </w:num>
  <w:num w:numId="20">
    <w:abstractNumId w:val="38"/>
  </w:num>
  <w:num w:numId="21">
    <w:abstractNumId w:val="21"/>
  </w:num>
  <w:num w:numId="22">
    <w:abstractNumId w:val="9"/>
  </w:num>
  <w:num w:numId="23">
    <w:abstractNumId w:val="42"/>
  </w:num>
  <w:num w:numId="24">
    <w:abstractNumId w:val="37"/>
  </w:num>
  <w:num w:numId="25">
    <w:abstractNumId w:val="30"/>
  </w:num>
  <w:num w:numId="26">
    <w:abstractNumId w:val="14"/>
  </w:num>
  <w:num w:numId="27">
    <w:abstractNumId w:val="33"/>
  </w:num>
  <w:num w:numId="28">
    <w:abstractNumId w:val="39"/>
  </w:num>
  <w:num w:numId="29">
    <w:abstractNumId w:val="24"/>
  </w:num>
  <w:num w:numId="30">
    <w:abstractNumId w:val="29"/>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54"/>
  </w:num>
  <w:num w:numId="34">
    <w:abstractNumId w:val="26"/>
  </w:num>
  <w:num w:numId="35">
    <w:abstractNumId w:val="10"/>
  </w:num>
  <w:num w:numId="36">
    <w:abstractNumId w:val="51"/>
  </w:num>
  <w:num w:numId="37">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3"/>
  </w:num>
  <w:num w:numId="40">
    <w:abstractNumId w:val="3"/>
  </w:num>
  <w:num w:numId="41">
    <w:abstractNumId w:val="15"/>
  </w:num>
  <w:num w:numId="42">
    <w:abstractNumId w:val="23"/>
  </w:num>
  <w:num w:numId="43">
    <w:abstractNumId w:val="31"/>
  </w:num>
  <w:num w:numId="44">
    <w:abstractNumId w:val="19"/>
  </w:num>
  <w:num w:numId="45">
    <w:abstractNumId w:val="27"/>
  </w:num>
  <w:num w:numId="46">
    <w:abstractNumId w:val="2"/>
  </w:num>
  <w:num w:numId="47">
    <w:abstractNumId w:val="12"/>
  </w:num>
  <w:num w:numId="48">
    <w:abstractNumId w:val="40"/>
  </w:num>
  <w:num w:numId="49">
    <w:abstractNumId w:val="52"/>
  </w:num>
  <w:num w:numId="50">
    <w:abstractNumId w:val="2"/>
  </w:num>
  <w:num w:numId="51">
    <w:abstractNumId w:val="18"/>
  </w:num>
  <w:num w:numId="52">
    <w:abstractNumId w:val="53"/>
  </w:num>
  <w:num w:numId="53">
    <w:abstractNumId w:val="32"/>
  </w:num>
  <w:num w:numId="54">
    <w:abstractNumId w:val="35"/>
  </w:num>
  <w:num w:numId="55">
    <w:abstractNumId w:val="0"/>
  </w:num>
  <w:num w:numId="56">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0F95"/>
    <w:rsid w:val="00361DFD"/>
    <w:rsid w:val="0036231A"/>
    <w:rsid w:val="0036279C"/>
    <w:rsid w:val="00362FF9"/>
    <w:rsid w:val="00363A69"/>
    <w:rsid w:val="0036437E"/>
    <w:rsid w:val="00364DDF"/>
    <w:rsid w:val="00365177"/>
    <w:rsid w:val="00365484"/>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6B08"/>
    <w:rsid w:val="00586D53"/>
    <w:rsid w:val="005871FD"/>
    <w:rsid w:val="00587E55"/>
    <w:rsid w:val="00590622"/>
    <w:rsid w:val="0059100A"/>
    <w:rsid w:val="005910CE"/>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4C4"/>
    <w:rsid w:val="00E9091A"/>
    <w:rsid w:val="00E913F0"/>
    <w:rsid w:val="00E91591"/>
    <w:rsid w:val="00E91E23"/>
    <w:rsid w:val="00E923CF"/>
    <w:rsid w:val="00E9281A"/>
    <w:rsid w:val="00E92C75"/>
    <w:rsid w:val="00E92CA2"/>
    <w:rsid w:val="00E92E3B"/>
    <w:rsid w:val="00E92E54"/>
    <w:rsid w:val="00E931AD"/>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リスト段落,列出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khugl\AppData\Local\Temp\7zO052A3497\R1-2005513%20HARQ-ACK%20Enhancements%20for%20IIoT_URLLC.docx" TargetMode="External"/><Relationship Id="rId18"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hyperlink" Target="file:///C:\Users\khugl\AppData\Local\Temp\7zO052A3497\R1-2005513%20HARQ-ACK%20Enhancements%20for%20IIoT_URLLC.docx" TargetMode="Externa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A6931A4-94E5-4F9C-83CD-73823356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93</Pages>
  <Words>27599</Words>
  <Characters>157317</Characters>
  <Application>Microsoft Office Word</Application>
  <DocSecurity>0</DocSecurity>
  <Lines>1310</Lines>
  <Paragraphs>369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184547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Panteleev, Sergey</cp:lastModifiedBy>
  <cp:revision>7</cp:revision>
  <cp:lastPrinted>1900-12-31T16:00:00Z</cp:lastPrinted>
  <dcterms:created xsi:type="dcterms:W3CDTF">2020-08-24T13:33:00Z</dcterms:created>
  <dcterms:modified xsi:type="dcterms:W3CDTF">2020-08-24T15:06:00Z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