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bookmarkStart w:id="0" w:name="_GoBack"/>
      <w:bookmarkEnd w:id="0"/>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1" w:name="_Hlk48897564"/>
      <w:r>
        <w:rPr>
          <w:lang w:val="en-US"/>
        </w:rPr>
        <w:t>First round of email discussions</w:t>
      </w:r>
      <w:bookmarkEnd w:id="1"/>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2"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2"/>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3" w:name="_Hlk48860016"/>
      <w:r w:rsidRPr="006503E8">
        <w:rPr>
          <w:sz w:val="22"/>
          <w:lang w:val="en-US" w:eastAsia="zh-CN"/>
        </w:rPr>
        <w:t>Dynamic PUCCH carrier switching (for TDD carriers)</w:t>
      </w:r>
      <w:r>
        <w:rPr>
          <w:sz w:val="22"/>
          <w:lang w:val="en-US" w:eastAsia="zh-CN"/>
        </w:rPr>
        <w:t xml:space="preserve"> </w:t>
      </w:r>
      <w:bookmarkEnd w:id="3"/>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566BAF">
        <w:tc>
          <w:tcPr>
            <w:tcW w:w="1544"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566BAF">
        <w:tc>
          <w:tcPr>
            <w:tcW w:w="1544"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566BAF">
        <w:tc>
          <w:tcPr>
            <w:tcW w:w="1544"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566BAF">
        <w:tc>
          <w:tcPr>
            <w:tcW w:w="1544"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77777777" w:rsidR="0041002A" w:rsidRPr="00566BAF" w:rsidRDefault="0041002A" w:rsidP="0041002A">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4C72EBA" w14:textId="77777777" w:rsidR="0041002A" w:rsidRPr="00566BAF" w:rsidRDefault="0041002A" w:rsidP="0041002A">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41002A" w:rsidRPr="00566BAF" w:rsidRDefault="0041002A" w:rsidP="0041002A">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41002A" w:rsidRPr="00566BAF" w:rsidRDefault="0041002A" w:rsidP="0041002A">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41002A" w:rsidRPr="00566BAF" w:rsidRDefault="0041002A" w:rsidP="0041002A">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566BAF">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566BAF">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566BAF">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D1521E" w:rsidP="001B4F9F">
      <w:pPr>
        <w:pStyle w:val="af6"/>
        <w:tabs>
          <w:tab w:val="right" w:leader="dot" w:pos="9629"/>
        </w:tabs>
        <w:rPr>
          <w:rFonts w:asciiTheme="minorHAnsi" w:hAnsiTheme="minorHAnsi"/>
          <w:b w:val="0"/>
          <w:noProof/>
          <w:lang w:eastAsia="en-US"/>
        </w:rPr>
      </w:pPr>
      <w:hyperlink r:id="rId13"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D1521E" w:rsidP="001B4F9F">
      <w:pPr>
        <w:pStyle w:val="af6"/>
        <w:tabs>
          <w:tab w:val="right" w:leader="dot" w:pos="9629"/>
        </w:tabs>
        <w:rPr>
          <w:rFonts w:asciiTheme="minorHAnsi" w:hAnsiTheme="minorHAnsi"/>
          <w:b w:val="0"/>
          <w:noProof/>
          <w:lang w:eastAsia="en-US"/>
        </w:rPr>
      </w:pPr>
      <w:hyperlink r:id="rId14"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D1521E" w:rsidP="001B4F9F">
      <w:pPr>
        <w:pStyle w:val="af6"/>
        <w:tabs>
          <w:tab w:val="right" w:leader="dot" w:pos="9629"/>
        </w:tabs>
        <w:rPr>
          <w:rFonts w:asciiTheme="minorHAnsi" w:hAnsiTheme="minorHAnsi"/>
          <w:b w:val="0"/>
          <w:noProof/>
          <w:lang w:eastAsia="en-US"/>
        </w:rPr>
      </w:pPr>
      <w:hyperlink r:id="rId15"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D1521E" w:rsidP="001B4F9F">
      <w:pPr>
        <w:pStyle w:val="af6"/>
        <w:tabs>
          <w:tab w:val="right" w:leader="dot" w:pos="9629"/>
        </w:tabs>
        <w:rPr>
          <w:rFonts w:asciiTheme="minorHAnsi" w:hAnsiTheme="minorHAnsi"/>
          <w:b w:val="0"/>
          <w:noProof/>
          <w:lang w:eastAsia="en-US"/>
        </w:rPr>
      </w:pPr>
      <w:hyperlink r:id="rId17"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D1521E" w:rsidP="001B4F9F">
      <w:pPr>
        <w:pStyle w:val="af6"/>
        <w:tabs>
          <w:tab w:val="right" w:leader="dot" w:pos="9629"/>
        </w:tabs>
        <w:rPr>
          <w:rFonts w:asciiTheme="minorHAnsi" w:hAnsiTheme="minorHAnsi"/>
          <w:b w:val="0"/>
          <w:noProof/>
          <w:lang w:eastAsia="en-US"/>
        </w:rPr>
      </w:pPr>
      <w:hyperlink r:id="rId18"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D1521E" w:rsidP="001B4F9F">
      <w:pPr>
        <w:pStyle w:val="af6"/>
        <w:tabs>
          <w:tab w:val="right" w:leader="dot" w:pos="9629"/>
        </w:tabs>
        <w:rPr>
          <w:rFonts w:asciiTheme="minorHAnsi" w:hAnsiTheme="minorHAnsi"/>
          <w:b w:val="0"/>
          <w:noProof/>
          <w:lang w:eastAsia="en-US"/>
        </w:rPr>
      </w:pPr>
      <w:hyperlink r:id="rId19"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D1521E" w:rsidP="001B4F9F">
      <w:pPr>
        <w:pStyle w:val="af6"/>
        <w:tabs>
          <w:tab w:val="right" w:leader="dot" w:pos="9629"/>
        </w:tabs>
        <w:rPr>
          <w:rFonts w:asciiTheme="minorHAnsi" w:hAnsiTheme="minorHAnsi"/>
          <w:b w:val="0"/>
          <w:noProof/>
          <w:lang w:eastAsia="en-US"/>
        </w:rPr>
      </w:pPr>
      <w:hyperlink r:id="rId20"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D1521E" w:rsidP="001B4F9F">
      <w:pPr>
        <w:pStyle w:val="af6"/>
        <w:tabs>
          <w:tab w:val="right" w:leader="dot" w:pos="9629"/>
        </w:tabs>
        <w:rPr>
          <w:rFonts w:asciiTheme="minorHAnsi" w:hAnsiTheme="minorHAnsi"/>
          <w:b w:val="0"/>
          <w:noProof/>
          <w:lang w:eastAsia="en-US"/>
        </w:rPr>
      </w:pPr>
      <w:hyperlink r:id="rId21"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5F6F0" w14:textId="77777777" w:rsidR="00D1521E" w:rsidRDefault="00D1521E">
      <w:r>
        <w:separator/>
      </w:r>
    </w:p>
  </w:endnote>
  <w:endnote w:type="continuationSeparator" w:id="0">
    <w:p w14:paraId="5F806B94" w14:textId="77777777" w:rsidR="00D1521E" w:rsidRDefault="00D1521E">
      <w:r>
        <w:continuationSeparator/>
      </w:r>
    </w:p>
  </w:endnote>
  <w:endnote w:type="continuationNotice" w:id="1">
    <w:p w14:paraId="4DEAC9BE" w14:textId="77777777" w:rsidR="00D1521E" w:rsidRDefault="00D152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676FC77F" w:rsidR="008E5D6B" w:rsidRDefault="008E5D6B">
        <w:pPr>
          <w:pStyle w:val="a9"/>
        </w:pPr>
        <w:r>
          <w:fldChar w:fldCharType="begin"/>
        </w:r>
        <w:r>
          <w:instrText>PAGE   \* MERGEFORMAT</w:instrText>
        </w:r>
        <w:r>
          <w:fldChar w:fldCharType="separate"/>
        </w:r>
        <w:r w:rsidR="002176B8" w:rsidRPr="002176B8">
          <w:rPr>
            <w:lang w:val="zh-CN" w:eastAsia="zh-CN"/>
          </w:rPr>
          <w:t>1</w:t>
        </w:r>
        <w:r>
          <w:fldChar w:fldCharType="end"/>
        </w:r>
      </w:p>
    </w:sdtContent>
  </w:sdt>
  <w:p w14:paraId="00A820FC" w14:textId="77777777" w:rsidR="008E5D6B" w:rsidRDefault="008E5D6B">
    <w:pPr>
      <w:pStyle w:val="a9"/>
    </w:pPr>
  </w:p>
  <w:p w14:paraId="4A48D3F3" w14:textId="77777777" w:rsidR="008E5D6B" w:rsidRDefault="008E5D6B"/>
  <w:p w14:paraId="46E31D82" w14:textId="77777777" w:rsidR="008E5D6B" w:rsidRDefault="008E5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4A78F" w14:textId="77777777" w:rsidR="00D1521E" w:rsidRDefault="00D1521E">
      <w:r>
        <w:separator/>
      </w:r>
    </w:p>
  </w:footnote>
  <w:footnote w:type="continuationSeparator" w:id="0">
    <w:p w14:paraId="6DFE6374" w14:textId="77777777" w:rsidR="00D1521E" w:rsidRDefault="00D1521E">
      <w:r>
        <w:continuationSeparator/>
      </w:r>
    </w:p>
  </w:footnote>
  <w:footnote w:type="continuationNotice" w:id="1">
    <w:p w14:paraId="7DFE73AE" w14:textId="77777777" w:rsidR="00D1521E" w:rsidRDefault="00D1521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8E5D6B" w:rsidRDefault="008E5D6B">
    <w:pPr>
      <w:pStyle w:val="a4"/>
      <w:tabs>
        <w:tab w:val="right" w:pos="9639"/>
      </w:tabs>
    </w:pPr>
    <w:r>
      <w:tab/>
    </w:r>
  </w:p>
  <w:p w14:paraId="246D48EC" w14:textId="77777777" w:rsidR="008E5D6B" w:rsidRDefault="008E5D6B"/>
  <w:p w14:paraId="4F6F578E" w14:textId="77777777" w:rsidR="008E5D6B" w:rsidRDefault="008E5D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3"/>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
  </w:num>
  <w:num w:numId="5">
    <w:abstractNumId w:val="38"/>
  </w:num>
  <w:num w:numId="6">
    <w:abstractNumId w:val="47"/>
  </w:num>
  <w:num w:numId="7">
    <w:abstractNumId w:val="15"/>
  </w:num>
  <w:num w:numId="8">
    <w:abstractNumId w:val="42"/>
  </w:num>
  <w:num w:numId="9">
    <w:abstractNumId w:val="9"/>
  </w:num>
  <w:num w:numId="10">
    <w:abstractNumId w:val="18"/>
  </w:num>
  <w:num w:numId="11">
    <w:abstractNumId w:val="44"/>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2"/>
  </w:num>
  <w:num w:numId="17">
    <w:abstractNumId w:val="5"/>
  </w:num>
  <w:num w:numId="18">
    <w:abstractNumId w:val="20"/>
  </w:num>
  <w:num w:numId="19">
    <w:abstractNumId w:val="33"/>
  </w:num>
  <w:num w:numId="20">
    <w:abstractNumId w:val="35"/>
  </w:num>
  <w:num w:numId="21">
    <w:abstractNumId w:val="19"/>
  </w:num>
  <w:num w:numId="22">
    <w:abstractNumId w:val="7"/>
  </w:num>
  <w:num w:numId="23">
    <w:abstractNumId w:val="39"/>
  </w:num>
  <w:num w:numId="24">
    <w:abstractNumId w:val="34"/>
  </w:num>
  <w:num w:numId="25">
    <w:abstractNumId w:val="28"/>
  </w:num>
  <w:num w:numId="26">
    <w:abstractNumId w:val="12"/>
  </w:num>
  <w:num w:numId="27">
    <w:abstractNumId w:val="31"/>
  </w:num>
  <w:num w:numId="28">
    <w:abstractNumId w:val="36"/>
  </w:num>
  <w:num w:numId="29">
    <w:abstractNumId w:val="22"/>
  </w:num>
  <w:num w:numId="30">
    <w:abstractNumId w:val="2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51"/>
  </w:num>
  <w:num w:numId="34">
    <w:abstractNumId w:val="24"/>
  </w:num>
  <w:num w:numId="35">
    <w:abstractNumId w:val="8"/>
  </w:num>
  <w:num w:numId="36">
    <w:abstractNumId w:val="48"/>
  </w:num>
  <w:num w:numId="3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7"/>
  </w:num>
  <w:num w:numId="49">
    <w:abstractNumId w:val="49"/>
  </w:num>
  <w:num w:numId="50">
    <w:abstractNumId w:val="1"/>
  </w:num>
  <w:num w:numId="51">
    <w:abstractNumId w:val="16"/>
  </w:num>
  <w:num w:numId="52">
    <w:abstractNumId w:val="50"/>
  </w:num>
  <w:num w:numId="53">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176B8"/>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21E"/>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列"/>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B706CFF-9A93-4172-85BB-6E5A89DD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25671</Words>
  <Characters>146329</Characters>
  <Application>Microsoft Office Word</Application>
  <DocSecurity>0</DocSecurity>
  <Lines>1219</Lines>
  <Paragraphs>343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171657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80205318</cp:lastModifiedBy>
  <cp:revision>2</cp:revision>
  <cp:lastPrinted>1900-12-31T16:00:00Z</cp:lastPrinted>
  <dcterms:created xsi:type="dcterms:W3CDTF">2020-08-24T07:49:00Z</dcterms:created>
  <dcterms:modified xsi:type="dcterms:W3CDTF">2020-08-24T07:49:00Z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