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bookmarkStart w:id="3" w:name="_GoBack"/>
      <w:bookmarkEnd w:id="3"/>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w:t>
            </w:r>
            <w:r>
              <w:rPr>
                <w:iCs/>
                <w:kern w:val="2"/>
                <w:sz w:val="22"/>
                <w:szCs w:val="22"/>
                <w:lang w:eastAsia="zh-CN"/>
              </w:rPr>
              <w:lastRenderedPageBreak/>
              <w:t>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rFonts w:hint="eastAsia"/>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B961ED" w:rsidRPr="00566BAF" w:rsidRDefault="00B961ED" w:rsidP="00B961ED">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B961ED" w:rsidRPr="00566BAF" w:rsidRDefault="00B961ED" w:rsidP="00B961ED">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B961ED" w:rsidRPr="00566BAF" w:rsidRDefault="00B961ED" w:rsidP="00B961ED">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w:t>
            </w:r>
            <w:r w:rsidRPr="00566BAF">
              <w:rPr>
                <w:color w:val="000000"/>
                <w:kern w:val="2"/>
                <w:sz w:val="22"/>
                <w:szCs w:val="22"/>
                <w:lang w:eastAsia="zh-CN"/>
              </w:rPr>
              <w:lastRenderedPageBreak/>
              <w:t>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rFonts w:hint="eastAsia"/>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hint="eastAsia"/>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hint="eastAsia"/>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 xml:space="preserve">Otherwise, DG overrides only the CG repetition overlapped with DG, </w:t>
            </w:r>
            <w:r>
              <w:lastRenderedPageBreak/>
              <w:t>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E5FDC" w:rsidRPr="00566BAF" w:rsidRDefault="005E5FDC" w:rsidP="005E5FDC">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E5FDC" w:rsidRPr="00566BAF" w:rsidRDefault="005E5FDC" w:rsidP="005E5FDC">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E5FDC" w:rsidRPr="00566BAF" w:rsidRDefault="005E5FDC" w:rsidP="005E5FDC">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lastRenderedPageBreak/>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lastRenderedPageBreak/>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lastRenderedPageBreak/>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w:t>
            </w:r>
            <w:r>
              <w:rPr>
                <w:kern w:val="2"/>
                <w:lang w:eastAsia="zh-CN"/>
              </w:rPr>
              <w:lastRenderedPageBreak/>
              <w:t xml:space="preserve">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lastRenderedPageBreak/>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w:t>
            </w:r>
            <w:r>
              <w:rPr>
                <w:kern w:val="2"/>
                <w:lang w:eastAsia="zh-CN"/>
              </w:rPr>
              <w:lastRenderedPageBreak/>
              <w:t xml:space="preserve">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lastRenderedPageBreak/>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w:t>
      </w:r>
      <w:r w:rsidR="0081786E" w:rsidRPr="009D50E0">
        <w:rPr>
          <w:sz w:val="22"/>
          <w:szCs w:val="22"/>
          <w:lang w:val="en-US"/>
        </w:rPr>
        <w:lastRenderedPageBreak/>
        <w:t xml:space="preserve">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E5D6B" w:rsidP="001B4F9F">
      <w:pPr>
        <w:pStyle w:val="afb"/>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E5D6B" w:rsidP="001B4F9F">
      <w:pPr>
        <w:pStyle w:val="afb"/>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E5D6B" w:rsidP="001B4F9F">
      <w:pPr>
        <w:pStyle w:val="afb"/>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8E5D6B" w:rsidP="001B4F9F">
      <w:pPr>
        <w:pStyle w:val="afb"/>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8E5D6B" w:rsidP="001B4F9F">
      <w:pPr>
        <w:pStyle w:val="afb"/>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8E5D6B" w:rsidP="001B4F9F">
      <w:pPr>
        <w:pStyle w:val="afb"/>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E5D6B" w:rsidP="001B4F9F">
      <w:pPr>
        <w:pStyle w:val="afb"/>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8E5D6B" w:rsidP="001B4F9F">
      <w:pPr>
        <w:pStyle w:val="afb"/>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7D04" w14:textId="77777777" w:rsidR="00E94807" w:rsidRDefault="00E94807">
      <w:r>
        <w:separator/>
      </w:r>
    </w:p>
  </w:endnote>
  <w:endnote w:type="continuationSeparator" w:id="0">
    <w:p w14:paraId="3FBFBBA3" w14:textId="77777777" w:rsidR="00E94807" w:rsidRDefault="00E94807">
      <w:r>
        <w:continuationSeparator/>
      </w:r>
    </w:p>
  </w:endnote>
  <w:endnote w:type="continuationNotice" w:id="1">
    <w:p w14:paraId="20B0DDC4" w14:textId="77777777" w:rsidR="00E94807" w:rsidRDefault="00E9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roman"/>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6C704503" w:rsidR="008E5D6B" w:rsidRDefault="008E5D6B">
        <w:pPr>
          <w:pStyle w:val="a9"/>
        </w:pPr>
        <w:r>
          <w:fldChar w:fldCharType="begin"/>
        </w:r>
        <w:r>
          <w:instrText>PAGE   \* MERGEFORMAT</w:instrText>
        </w:r>
        <w:r>
          <w:fldChar w:fldCharType="separate"/>
        </w:r>
        <w:r w:rsidR="005F0572" w:rsidRPr="005F0572">
          <w:rPr>
            <w:lang w:val="zh-CN" w:eastAsia="zh-CN"/>
          </w:rPr>
          <w:t>18</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B1BA" w14:textId="77777777" w:rsidR="00E94807" w:rsidRDefault="00E94807">
      <w:r>
        <w:separator/>
      </w:r>
    </w:p>
  </w:footnote>
  <w:footnote w:type="continuationSeparator" w:id="0">
    <w:p w14:paraId="40240DB8" w14:textId="77777777" w:rsidR="00E94807" w:rsidRDefault="00E94807">
      <w:r>
        <w:continuationSeparator/>
      </w:r>
    </w:p>
  </w:footnote>
  <w:footnote w:type="continuationNotice" w:id="1">
    <w:p w14:paraId="276089C1" w14:textId="77777777" w:rsidR="00E94807" w:rsidRDefault="00E9480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1CE113-200F-4467-B6E8-F7F6B887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84</Pages>
  <Words>25185</Words>
  <Characters>143559</Characters>
  <Application>Microsoft Office Word</Application>
  <DocSecurity>0</DocSecurity>
  <Lines>1196</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168408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Wang Lihui</cp:lastModifiedBy>
  <cp:revision>8</cp:revision>
  <cp:lastPrinted>1900-12-31T16:00:00Z</cp:lastPrinted>
  <dcterms:created xsi:type="dcterms:W3CDTF">2020-08-21T15:56:00Z</dcterms:created>
  <dcterms:modified xsi:type="dcterms:W3CDTF">2020-08-23T07:26:00Z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