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rFonts w:hint="eastAsia"/>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rFonts w:hint="eastAsia"/>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 xml:space="preserve">es, </w:t>
            </w:r>
            <w:r>
              <w:rPr>
                <w:iCs/>
                <w:kern w:val="2"/>
                <w:lang w:eastAsia="zh-CN"/>
              </w:rPr>
              <w:lastRenderedPageBreak/>
              <w:t>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lastRenderedPageBreak/>
              <w:t xml:space="preserve">In Rel.16, RAN2 agreed to support the TSC traffic with non-integer periodicity in </w:t>
            </w:r>
            <w:r>
              <w:rPr>
                <w:iCs/>
                <w:kern w:val="2"/>
                <w:lang w:eastAsia="zh-CN"/>
              </w:rPr>
              <w:lastRenderedPageBreak/>
              <w:t xml:space="preserve">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lastRenderedPageBreak/>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rFonts w:hint="eastAsia"/>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rFonts w:hint="eastAsia"/>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lastRenderedPageBreak/>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rFonts w:hint="eastAsia"/>
                <w:kern w:val="2"/>
                <w:lang w:eastAsia="zh-CN"/>
              </w:rPr>
            </w:pPr>
            <w:r>
              <w:rPr>
                <w:kern w:val="2"/>
                <w:lang w:eastAsia="zh-CN"/>
              </w:rPr>
              <w:lastRenderedPageBreak/>
              <w:t>Intel</w:t>
            </w:r>
          </w:p>
        </w:tc>
        <w:tc>
          <w:tcPr>
            <w:tcW w:w="818" w:type="dxa"/>
          </w:tcPr>
          <w:p w14:paraId="2B9DF3DE" w14:textId="14ABDE54" w:rsidR="00B30D97" w:rsidRDefault="00B30D97" w:rsidP="00B30D97">
            <w:pPr>
              <w:spacing w:beforeLines="50" w:before="120"/>
              <w:rPr>
                <w:rFonts w:hint="eastAsia"/>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B30D97">
            <w:pPr>
              <w:pStyle w:val="ListParagraph"/>
              <w:numPr>
                <w:ilvl w:val="0"/>
                <w:numId w:val="46"/>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rFonts w:hint="eastAsia"/>
                <w:iCs/>
                <w:kern w:val="2"/>
                <w:lang w:eastAsia="zh-CN"/>
              </w:rPr>
            </w:pPr>
            <w:r>
              <w:rPr>
                <w:iCs/>
                <w:kern w:val="2"/>
                <w:lang w:eastAsia="zh-CN"/>
              </w:rPr>
              <w:t>Allow per-repetition dropping, thus increasing PUCCH delivery chances e.g. when collided with UL-DL direction or HP channel</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w:t>
            </w:r>
            <w:r>
              <w:rPr>
                <w:iCs/>
                <w:kern w:val="2"/>
                <w:lang w:eastAsia="zh-CN"/>
              </w:rPr>
              <w:lastRenderedPageBreak/>
              <w:t xml:space="preserve">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rFonts w:hint="eastAsia"/>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rFonts w:hint="eastAsia"/>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rFonts w:hint="eastAsia"/>
                <w:bCs/>
                <w:iCs/>
                <w:kern w:val="2"/>
                <w:lang w:eastAsia="zh-CN"/>
              </w:rPr>
            </w:pPr>
            <w:r>
              <w:rPr>
                <w:bCs/>
                <w:iCs/>
                <w:kern w:val="2"/>
                <w:lang w:eastAsia="zh-CN"/>
              </w:rPr>
              <w:t>If the meaning is different, then we are OK to deprioritize or handle as part of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lastRenderedPageBreak/>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rFonts w:hint="eastAsia"/>
                <w:kern w:val="2"/>
                <w:lang w:eastAsia="zh-CN"/>
              </w:rPr>
            </w:pPr>
            <w:bookmarkStart w:id="1" w:name="_GoBack" w:colFirst="0" w:colLast="0"/>
            <w:r>
              <w:rPr>
                <w:kern w:val="2"/>
                <w:lang w:eastAsia="zh-CN"/>
              </w:rPr>
              <w:t>Intel</w:t>
            </w:r>
          </w:p>
        </w:tc>
        <w:tc>
          <w:tcPr>
            <w:tcW w:w="818" w:type="dxa"/>
          </w:tcPr>
          <w:p w14:paraId="1E267F9A" w14:textId="05CC1BD5" w:rsidR="00B30D97" w:rsidRDefault="00B30D97" w:rsidP="00B30D97">
            <w:pPr>
              <w:spacing w:beforeLines="50" w:before="120"/>
              <w:rPr>
                <w:rFonts w:hint="eastAsia"/>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rFonts w:hint="eastAsia"/>
                <w:iCs/>
                <w:kern w:val="2"/>
                <w:lang w:eastAsia="zh-CN"/>
              </w:rPr>
            </w:pPr>
            <w:r>
              <w:rPr>
                <w:iCs/>
                <w:kern w:val="2"/>
                <w:lang w:eastAsia="zh-CN"/>
              </w:rPr>
              <w:t>It would be great to see more analysis on the benefits of Type 1 CB vs Type 2 CB</w:t>
            </w:r>
          </w:p>
        </w:tc>
      </w:tr>
      <w:bookmarkEnd w:id="1"/>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lastRenderedPageBreak/>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lastRenderedPageBreak/>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 xml:space="preserve">Regarding implicit method, we prefer to </w:t>
            </w:r>
            <w:proofErr w:type="gramStart"/>
            <w:r>
              <w:rPr>
                <w:iCs/>
                <w:kern w:val="2"/>
                <w:lang w:eastAsia="zh-CN"/>
              </w:rPr>
              <w:t>d</w:t>
            </w:r>
            <w:r w:rsidRPr="00735B9B">
              <w:rPr>
                <w:iCs/>
                <w:kern w:val="2"/>
                <w:lang w:eastAsia="zh-CN"/>
              </w:rPr>
              <w:t>eferring</w:t>
            </w:r>
            <w:proofErr w:type="gramEnd"/>
            <w:r w:rsidRPr="00735B9B">
              <w:rPr>
                <w:iCs/>
                <w:kern w:val="2"/>
                <w:lang w:eastAsia="zh-CN"/>
              </w:rPr>
              <w:t xml:space="preserve">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lastRenderedPageBreak/>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lastRenderedPageBreak/>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2A18AC2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iCs/>
                <w:kern w:val="2"/>
                <w:lang w:eastAsia="zh-CN"/>
              </w:rPr>
            </w:pPr>
            <w:r>
              <w:rPr>
                <w:iCs/>
                <w:kern w:val="2"/>
                <w:lang w:eastAsia="zh-CN"/>
              </w:rPr>
              <w:lastRenderedPageBreak/>
              <w:t xml:space="preserve">Secondly, even if there may exist ambiguity, it will be recovered by </w:t>
            </w:r>
            <w:proofErr w:type="spellStart"/>
            <w:r>
              <w:rPr>
                <w:iCs/>
                <w:kern w:val="2"/>
                <w:lang w:eastAsia="zh-CN"/>
              </w:rPr>
              <w:t>gNB’s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2331E2ED" w:rsidR="00511F81" w:rsidRDefault="00511F81" w:rsidP="00511F81">
            <w:pPr>
              <w:widowControl w:val="0"/>
              <w:spacing w:beforeLines="50" w:before="120"/>
              <w:rPr>
                <w:kern w:val="2"/>
                <w:lang w:eastAsia="zh-CN"/>
              </w:rPr>
            </w:pPr>
            <w:r>
              <w:rPr>
                <w:iCs/>
                <w:kern w:val="2"/>
                <w:lang w:eastAsia="zh-CN"/>
              </w:rPr>
              <w:t>Overall problem is rather marginal and can be addressed by gNB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511F81" w:rsidRDefault="00511F81" w:rsidP="00511F81">
            <w:pPr>
              <w:widowControl w:val="0"/>
              <w:spacing w:beforeLines="50" w:before="120"/>
              <w:rPr>
                <w:kern w:val="2"/>
                <w:lang w:eastAsia="zh-CN"/>
              </w:rPr>
            </w:pPr>
          </w:p>
        </w:tc>
      </w:tr>
      <w:tr w:rsidR="00511F81"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511F81" w:rsidRDefault="00511F81" w:rsidP="00511F8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511F81" w:rsidRDefault="00511F81" w:rsidP="00511F81">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51B650C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0F2345A" w:rsidR="00545323" w:rsidRDefault="00545323" w:rsidP="00545323">
            <w:pPr>
              <w:spacing w:beforeLines="50" w:before="120"/>
              <w:rPr>
                <w:iCs/>
                <w:kern w:val="2"/>
                <w:lang w:eastAsia="zh-CN"/>
              </w:rPr>
            </w:pPr>
            <w:r>
              <w:rPr>
                <w:iCs/>
                <w:kern w:val="2"/>
                <w:lang w:eastAsia="zh-CN"/>
              </w:rPr>
              <w:t>Overall problem is rather marginal and can be addressed by gNB implementation.</w:t>
            </w:r>
          </w:p>
        </w:tc>
      </w:tr>
      <w:tr w:rsidR="00545323"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545323" w:rsidRDefault="00545323" w:rsidP="00545323">
            <w:pPr>
              <w:widowControl w:val="0"/>
              <w:spacing w:beforeLines="50" w:before="120"/>
              <w:rPr>
                <w:kern w:val="2"/>
                <w:lang w:eastAsia="zh-CN"/>
              </w:rPr>
            </w:pPr>
          </w:p>
        </w:tc>
      </w:tr>
      <w:tr w:rsidR="00545323"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545323" w:rsidRDefault="00545323" w:rsidP="00545323">
            <w:pPr>
              <w:widowControl w:val="0"/>
              <w:spacing w:beforeLines="50" w:before="120"/>
              <w:rPr>
                <w:kern w:val="2"/>
                <w:lang w:eastAsia="zh-CN"/>
              </w:rPr>
            </w:pPr>
          </w:p>
        </w:tc>
      </w:tr>
      <w:tr w:rsidR="00545323"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545323" w:rsidRDefault="00545323" w:rsidP="0054532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545323" w:rsidRDefault="00545323" w:rsidP="00545323">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35B3756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possibility but it is more likely for </w:t>
            </w:r>
            <w:proofErr w:type="spellStart"/>
            <w:r>
              <w:rPr>
                <w:iCs/>
                <w:kern w:val="2"/>
                <w:lang w:eastAsia="zh-CN"/>
              </w:rPr>
              <w:t>eMBB</w:t>
            </w:r>
            <w:proofErr w:type="spellEnd"/>
            <w:r>
              <w:rPr>
                <w:iCs/>
                <w:kern w:val="2"/>
                <w:lang w:eastAsia="zh-CN"/>
              </w:rPr>
              <w:t xml:space="preserve"> than for URLLC due to the small TBS and </w:t>
            </w:r>
            <w:r>
              <w:rPr>
                <w:iCs/>
                <w:kern w:val="2"/>
                <w:lang w:eastAsia="zh-CN"/>
              </w:rPr>
              <w:lastRenderedPageBreak/>
              <w:t>the very low BLER where even a small buffer suffices.</w:t>
            </w:r>
          </w:p>
        </w:tc>
      </w:tr>
      <w:tr w:rsidR="006B5E8B"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6B5E8B" w:rsidRDefault="006B5E8B" w:rsidP="006B5E8B">
            <w:pPr>
              <w:widowControl w:val="0"/>
              <w:spacing w:beforeLines="50" w:before="120"/>
              <w:rPr>
                <w:kern w:val="2"/>
                <w:lang w:eastAsia="zh-CN"/>
              </w:rPr>
            </w:pPr>
          </w:p>
        </w:tc>
      </w:tr>
      <w:tr w:rsidR="006B5E8B"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6B5E8B" w:rsidRDefault="006B5E8B" w:rsidP="006B5E8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6B5E8B" w:rsidRDefault="006B5E8B" w:rsidP="006B5E8B">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lastRenderedPageBreak/>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2F78C36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p>
    <w:p w14:paraId="3912A33D" w14:textId="30A9362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r w:rsidR="00D359B0">
        <w:rPr>
          <w:rFonts w:hint="eastAsia"/>
          <w:b/>
          <w:bCs/>
          <w:sz w:val="22"/>
          <w:lang w:val="en-US" w:eastAsia="zh-CN"/>
        </w:rPr>
        <w:t>, CATT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780BC5">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2D3938">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2D3938">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780BC5">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6061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6061DA">
            <w:pPr>
              <w:widowControl w:val="0"/>
              <w:spacing w:beforeLines="50" w:before="120"/>
              <w:rPr>
                <w:kern w:val="2"/>
                <w:lang w:eastAsia="zh-CN"/>
              </w:rPr>
            </w:pPr>
            <w:r>
              <w:rPr>
                <w:kern w:val="2"/>
                <w:lang w:eastAsia="zh-CN"/>
              </w:rPr>
              <w:t>Medium</w:t>
            </w:r>
          </w:p>
          <w:p w14:paraId="5D6D9C1E" w14:textId="28CB237F" w:rsidR="006061DA" w:rsidRDefault="006061DA" w:rsidP="006061DA">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780BC5">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F6FB5">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w:t>
      </w:r>
      <w:r w:rsidR="0081786E" w:rsidRPr="009D50E0">
        <w:rPr>
          <w:sz w:val="22"/>
          <w:szCs w:val="22"/>
          <w:lang w:val="en-US"/>
        </w:rPr>
        <w:lastRenderedPageBreak/>
        <w:t xml:space="preserve">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301C46D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p>
    <w:p w14:paraId="73376D77" w14:textId="74FCB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222154D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9102FA"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102FA" w:rsidRDefault="009102FA" w:rsidP="009102F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102FA" w:rsidRDefault="009102FA" w:rsidP="009102FA">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1EE1698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705A88"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705A88" w:rsidRDefault="00705A88" w:rsidP="00705A8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705A88" w:rsidRDefault="00705A88" w:rsidP="00705A88">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3BFE4BD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73375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733754" w:rsidRDefault="00733754" w:rsidP="0073375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lastRenderedPageBreak/>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1A147F1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733754" w:rsidRDefault="00733754" w:rsidP="0073375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733754" w:rsidRDefault="00733754" w:rsidP="0073375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58E7313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lastRenderedPageBreak/>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4F5EB8C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AB657D"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AB657D" w:rsidRDefault="00AB657D" w:rsidP="00AB65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AB657D" w:rsidRDefault="00AB657D" w:rsidP="00AB657D">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lastRenderedPageBreak/>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lastRenderedPageBreak/>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6EF76E9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r w:rsidR="00FD1156">
        <w:rPr>
          <w:b/>
          <w:bCs/>
          <w:sz w:val="22"/>
          <w:lang w:val="en-US" w:eastAsia="zh-CN"/>
        </w:rPr>
        <w:t>, Samsung</w:t>
      </w:r>
    </w:p>
    <w:p w14:paraId="101FAD6E" w14:textId="71E6B9A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5F6FB5">
        <w:rPr>
          <w:b/>
          <w:bCs/>
          <w:sz w:val="22"/>
          <w:lang w:val="en-US" w:eastAsia="zh-CN"/>
        </w:rPr>
        <w:t>, ZTE</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FD1156"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FD1156" w:rsidRDefault="00FD1156" w:rsidP="00FD115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FD1156" w:rsidRDefault="00FD1156" w:rsidP="00FD1156">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62D36E7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AD1F34" w:rsidRDefault="00AD1F34" w:rsidP="00AD1F3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AD1F34" w:rsidRDefault="00AD1F34" w:rsidP="00AD1F3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738D84D" w14:textId="46D44C7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6442A24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944D3" w:rsidRDefault="00E944D3" w:rsidP="00E944D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944D3" w:rsidRDefault="00E944D3" w:rsidP="00E944D3">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6B57603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F105EF" w:rsidRDefault="00F105EF" w:rsidP="00F105EF">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F105EF" w:rsidRDefault="00F105EF" w:rsidP="00F105EF">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12131E8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886346"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886346" w:rsidRDefault="00886346" w:rsidP="0088634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886346" w:rsidRDefault="00886346" w:rsidP="00886346">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0288221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2B0005" w:rsidRDefault="002B0005" w:rsidP="002B000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2B0005" w:rsidRDefault="002B0005" w:rsidP="002B000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3B91043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 share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CE31D6"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CE31D6" w:rsidRDefault="00CE31D6" w:rsidP="00CE31D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CE31D6" w:rsidRDefault="00CE31D6" w:rsidP="00CE31D6">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39B396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25C7F98D" w14:textId="455C1B8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ListParagraph"/>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ListParagraph"/>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ListParagraph"/>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99927EA"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w:t>
            </w:r>
            <w:r>
              <w:rPr>
                <w:kern w:val="2"/>
                <w:lang w:eastAsia="zh-CN"/>
              </w:rPr>
              <w:lastRenderedPageBreak/>
              <w:t>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F02B1D" w:rsidRDefault="00F02B1D" w:rsidP="00F02B1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F02B1D" w:rsidRDefault="00F02B1D" w:rsidP="00F02B1D">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81FDF34" w:rsidR="009B63F5" w:rsidRDefault="009B63F5" w:rsidP="009B63F5">
      <w:pPr>
        <w:pStyle w:val="ListParagraph"/>
        <w:numPr>
          <w:ilvl w:val="0"/>
          <w:numId w:val="17"/>
        </w:numPr>
        <w:jc w:val="both"/>
        <w:rPr>
          <w:b/>
          <w:bCs/>
          <w:sz w:val="22"/>
          <w:lang w:val="en-US" w:eastAsia="zh-CN"/>
        </w:rPr>
      </w:pPr>
      <w:proofErr w:type="spell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
    <w:p w14:paraId="426F2A29" w14:textId="73197A0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039D315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lastRenderedPageBreak/>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407AE831"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C172F6"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C172F6" w:rsidRDefault="00C172F6" w:rsidP="00C172F6">
            <w:pPr>
              <w:widowControl w:val="0"/>
              <w:spacing w:beforeLines="50" w:before="120"/>
              <w:rPr>
                <w:kern w:val="2"/>
                <w:lang w:eastAsia="zh-CN"/>
              </w:rPr>
            </w:pPr>
          </w:p>
        </w:tc>
      </w:tr>
      <w:tr w:rsidR="00C172F6"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C172F6" w:rsidRDefault="00C172F6" w:rsidP="00C172F6">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C172F6" w:rsidRDefault="00C172F6" w:rsidP="00C172F6">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6A0556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2ADDDD01" w14:textId="4E2AD4A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6B1E75">
        <w:rPr>
          <w:b/>
          <w:bCs/>
          <w:sz w:val="22"/>
          <w:lang w:val="en-US" w:eastAsia="zh-CN"/>
        </w:rPr>
        <w:t>, Samsung</w:t>
      </w:r>
      <w:r w:rsidR="0029661E">
        <w:rPr>
          <w:b/>
          <w:bCs/>
          <w:sz w:val="22"/>
          <w:lang w:val="en-US" w:eastAsia="zh-CN"/>
        </w:rPr>
        <w:t>, ZTE</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lastRenderedPageBreak/>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0B91EB9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p>
    <w:p w14:paraId="3495FC9C" w14:textId="5C2E244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lastRenderedPageBreak/>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13378E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5EB3564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2D2642BD"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gNB would do with the additional information as PDSCH decoding failure can be due to a number of reasons and, for the UE to be able to report, the UE already received at least one out of N PDCCHs (and, given the low PDCCH BLER, probably missed only 1 PDCCH – e.g. what would the gNB do if the UE says it received 9 PDCCHs but missed 1 PDCCH and why is that essential?).  </w:t>
            </w:r>
          </w:p>
        </w:tc>
      </w:tr>
      <w:tr w:rsidR="00FF0D73"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FF0D73" w:rsidRDefault="00FF0D73" w:rsidP="00FF0D73">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FF0D73" w:rsidRDefault="00FF0D73" w:rsidP="00FF0D73">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lastRenderedPageBreak/>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08F1E7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p>
    <w:p w14:paraId="0748E624" w14:textId="210263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30FDA" w:rsidRDefault="00930FDA" w:rsidP="00930FDA">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30FDA" w:rsidRDefault="00930FDA" w:rsidP="00930FDA">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lastRenderedPageBreak/>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0F4B84"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0F4B84"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0F4B84"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0F4B84"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0F4B84"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0F4B84"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0F4B84"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0F4B84"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1623D" w14:textId="77777777" w:rsidR="000F4B84" w:rsidRDefault="000F4B84">
      <w:r>
        <w:separator/>
      </w:r>
    </w:p>
  </w:endnote>
  <w:endnote w:type="continuationSeparator" w:id="0">
    <w:p w14:paraId="0134D6FB" w14:textId="77777777" w:rsidR="000F4B84" w:rsidRDefault="000F4B84">
      <w:r>
        <w:continuationSeparator/>
      </w:r>
    </w:p>
  </w:endnote>
  <w:endnote w:type="continuationNotice" w:id="1">
    <w:p w14:paraId="12150317" w14:textId="77777777" w:rsidR="000F4B84" w:rsidRDefault="000F4B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28C54715" w:rsidR="005F6FB5" w:rsidRDefault="005F6FB5">
        <w:pPr>
          <w:pStyle w:val="Footer"/>
        </w:pPr>
        <w:r>
          <w:fldChar w:fldCharType="begin"/>
        </w:r>
        <w:r>
          <w:instrText>PAGE   \* MERGEFORMAT</w:instrText>
        </w:r>
        <w:r>
          <w:fldChar w:fldCharType="separate"/>
        </w:r>
        <w:r w:rsidR="00C53628" w:rsidRPr="00C53628">
          <w:rPr>
            <w:lang w:val="zh-CN" w:eastAsia="zh-CN"/>
          </w:rPr>
          <w:t>26</w:t>
        </w:r>
        <w:r>
          <w:fldChar w:fldCharType="end"/>
        </w:r>
      </w:p>
    </w:sdtContent>
  </w:sdt>
  <w:p w14:paraId="00A820FC" w14:textId="77777777" w:rsidR="005F6FB5" w:rsidRDefault="005F6FB5">
    <w:pPr>
      <w:pStyle w:val="Footer"/>
    </w:pPr>
  </w:p>
  <w:p w14:paraId="4A48D3F3" w14:textId="77777777" w:rsidR="005F6FB5" w:rsidRDefault="005F6FB5"/>
  <w:p w14:paraId="46E31D82" w14:textId="77777777" w:rsidR="005F6FB5" w:rsidRDefault="005F6F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E3CC4" w14:textId="77777777" w:rsidR="000F4B84" w:rsidRDefault="000F4B84">
      <w:r>
        <w:separator/>
      </w:r>
    </w:p>
  </w:footnote>
  <w:footnote w:type="continuationSeparator" w:id="0">
    <w:p w14:paraId="58CE16F3" w14:textId="77777777" w:rsidR="000F4B84" w:rsidRDefault="000F4B84">
      <w:r>
        <w:continuationSeparator/>
      </w:r>
    </w:p>
  </w:footnote>
  <w:footnote w:type="continuationNotice" w:id="1">
    <w:p w14:paraId="17ABD899" w14:textId="77777777" w:rsidR="000F4B84" w:rsidRDefault="000F4B8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5F6FB5" w:rsidRDefault="005F6FB5">
    <w:pPr>
      <w:pStyle w:val="Header"/>
      <w:tabs>
        <w:tab w:val="right" w:pos="9639"/>
      </w:tabs>
    </w:pPr>
    <w:r>
      <w:tab/>
    </w:r>
  </w:p>
  <w:p w14:paraId="246D48EC" w14:textId="77777777" w:rsidR="005F6FB5" w:rsidRDefault="005F6FB5"/>
  <w:p w14:paraId="4F6F578E" w14:textId="77777777" w:rsidR="005F6FB5" w:rsidRDefault="005F6F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2"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5"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40"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7"/>
  </w:num>
  <w:num w:numId="2">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
  </w:num>
  <w:num w:numId="5">
    <w:abstractNumId w:val="32"/>
  </w:num>
  <w:num w:numId="6">
    <w:abstractNumId w:val="41"/>
  </w:num>
  <w:num w:numId="7">
    <w:abstractNumId w:val="13"/>
  </w:num>
  <w:num w:numId="8">
    <w:abstractNumId w:val="36"/>
  </w:num>
  <w:num w:numId="9">
    <w:abstractNumId w:val="8"/>
  </w:num>
  <w:num w:numId="10">
    <w:abstractNumId w:val="15"/>
  </w:num>
  <w:num w:numId="11">
    <w:abstractNumId w:val="38"/>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7"/>
  </w:num>
  <w:num w:numId="17">
    <w:abstractNumId w:val="4"/>
  </w:num>
  <w:num w:numId="18">
    <w:abstractNumId w:val="17"/>
  </w:num>
  <w:num w:numId="19">
    <w:abstractNumId w:val="28"/>
  </w:num>
  <w:num w:numId="20">
    <w:abstractNumId w:val="30"/>
  </w:num>
  <w:num w:numId="21">
    <w:abstractNumId w:val="16"/>
  </w:num>
  <w:num w:numId="22">
    <w:abstractNumId w:val="6"/>
  </w:num>
  <w:num w:numId="23">
    <w:abstractNumId w:val="33"/>
  </w:num>
  <w:num w:numId="24">
    <w:abstractNumId w:val="29"/>
  </w:num>
  <w:num w:numId="25">
    <w:abstractNumId w:val="24"/>
  </w:num>
  <w:num w:numId="26">
    <w:abstractNumId w:val="10"/>
  </w:num>
  <w:num w:numId="27">
    <w:abstractNumId w:val="26"/>
  </w:num>
  <w:num w:numId="28">
    <w:abstractNumId w:val="31"/>
  </w:num>
  <w:num w:numId="29">
    <w:abstractNumId w:val="19"/>
  </w:num>
  <w:num w:numId="30">
    <w:abstractNumId w:val="23"/>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43"/>
  </w:num>
  <w:num w:numId="34">
    <w:abstractNumId w:val="21"/>
  </w:num>
  <w:num w:numId="35">
    <w:abstractNumId w:val="7"/>
  </w:num>
  <w:num w:numId="36">
    <w:abstractNumId w:val="42"/>
  </w:num>
  <w:num w:numId="37">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9"/>
  </w:num>
  <w:num w:numId="40">
    <w:abstractNumId w:val="1"/>
  </w:num>
  <w:num w:numId="41">
    <w:abstractNumId w:val="11"/>
  </w:num>
  <w:num w:numId="42">
    <w:abstractNumId w:val="18"/>
  </w:num>
  <w:num w:numId="43">
    <w:abstractNumId w:val="12"/>
  </w:num>
  <w:num w:numId="44">
    <w:abstractNumId w:val="20"/>
  </w:num>
  <w:num w:numId="45">
    <w:abstractNumId w:val="25"/>
  </w:num>
  <w:num w:numId="4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3C7F"/>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244"/>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E75"/>
    <w:rsid w:val="006B382B"/>
    <w:rsid w:val="006B41E8"/>
    <w:rsid w:val="006B451C"/>
    <w:rsid w:val="006B4665"/>
    <w:rsid w:val="006B46FB"/>
    <w:rsid w:val="006B4D08"/>
    <w:rsid w:val="006B530A"/>
    <w:rsid w:val="006B56F1"/>
    <w:rsid w:val="006B5E20"/>
    <w:rsid w:val="006B5E8B"/>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5A88"/>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FDA"/>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7D"/>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97EBC"/>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4D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A580343B-4863-42B4-8282-4BB7A2A7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5.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6.xml><?xml version="1.0" encoding="utf-8"?>
<ds:datastoreItem xmlns:ds="http://schemas.openxmlformats.org/officeDocument/2006/customXml" ds:itemID="{462D8D76-F13B-4540-9532-ABCF581F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57</Pages>
  <Words>16666</Words>
  <Characters>95002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111446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Panteleev, Sergey</cp:lastModifiedBy>
  <cp:revision>2</cp:revision>
  <cp:lastPrinted>1900-12-31T16:00:00Z</cp:lastPrinted>
  <dcterms:created xsi:type="dcterms:W3CDTF">2020-08-20T08:01:00Z</dcterms:created>
  <dcterms:modified xsi:type="dcterms:W3CDTF">2020-08-20T08:01:00Z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