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D359B0">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rFonts w:hint="eastAsia"/>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rFonts w:hint="eastAsia"/>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lastRenderedPageBreak/>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 xml:space="preserve">HARQ-ACK payload size reduction / skipping for SPS </w:t>
            </w:r>
            <w:r w:rsidRPr="00FA006C">
              <w:rPr>
                <w:iCs/>
                <w:kern w:val="2"/>
                <w:lang w:eastAsia="zh-CN"/>
              </w:rPr>
              <w:lastRenderedPageBreak/>
              <w:t>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rFonts w:hint="eastAsia"/>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rFonts w:hint="eastAsia"/>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rFonts w:hint="eastAsia"/>
                <w:iCs/>
                <w:kern w:val="2"/>
                <w:lang w:eastAsia="zh-CN"/>
              </w:rPr>
            </w:pPr>
            <w:r>
              <w:rPr>
                <w:kern w:val="2"/>
                <w:lang w:eastAsia="zh-CN"/>
              </w:rPr>
              <w:t>For polar coding, any overhead reduction would be marginal and inconsequential.</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rFonts w:hint="eastAsia"/>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rFonts w:hint="eastAsia"/>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hint="eastAsia"/>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rFonts w:hint="eastAsia"/>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rFonts w:hint="eastAsia"/>
                <w:bCs/>
                <w:iCs/>
                <w:kern w:val="2"/>
                <w:lang w:eastAsia="zh-CN"/>
              </w:rPr>
            </w:pPr>
            <w:r>
              <w:rPr>
                <w:kern w:val="2"/>
                <w:lang w:eastAsia="zh-CN"/>
              </w:rPr>
              <w:t>Else, it is related to 8.3.3 and can be addressed in that AI. See later comments.</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rFonts w:hint="eastAsia"/>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rFonts w:hint="eastAsia"/>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w:t>
            </w:r>
            <w:r>
              <w:rPr>
                <w:kern w:val="2"/>
                <w:lang w:eastAsia="zh-CN"/>
              </w:rPr>
              <w:lastRenderedPageBreak/>
              <w:t xml:space="preserve">for URLLC. It may require marginal specifications than currently available. It can be discussed if time allows. </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4"/>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lastRenderedPageBreak/>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rFonts w:hint="eastAsia"/>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rFonts w:hint="eastAsia"/>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rFonts w:hint="eastAsia"/>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rFonts w:hint="eastAsia"/>
                <w:iCs/>
                <w:kern w:val="2"/>
                <w:lang w:eastAsia="zh-CN"/>
              </w:rPr>
            </w:pPr>
            <w:r>
              <w:rPr>
                <w:kern w:val="2"/>
                <w:lang w:eastAsia="zh-CN"/>
              </w:rPr>
              <w:t xml:space="preserve">If coding is with a polar code, overhead reduction would be small/marginal. </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rFonts w:hint="eastAsia"/>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rFonts w:hint="eastAsia"/>
                <w:iCs/>
                <w:kern w:val="2"/>
                <w:lang w:eastAsia="zh-CN"/>
              </w:rPr>
            </w:pPr>
            <w:r>
              <w:rPr>
                <w:kern w:val="2"/>
                <w:lang w:eastAsia="zh-CN"/>
              </w:rPr>
              <w:t>For only one SPS PDSCH reception, can consider fall-back codebook based on the same principle as for fall-back in Rel-15.</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3F69972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 xml:space="preserve">Firstly, we are not clear about the mentioned ambiguity. For URLLC case, we think the </w:t>
            </w:r>
            <w:r>
              <w:rPr>
                <w:iCs/>
                <w:kern w:val="2"/>
                <w:lang w:eastAsia="zh-CN"/>
              </w:rPr>
              <w:lastRenderedPageBreak/>
              <w:t>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gNB’s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0FCF678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w:t>
            </w:r>
            <w:r w:rsidR="002D3938">
              <w:rPr>
                <w:iCs/>
                <w:kern w:val="2"/>
                <w:lang w:eastAsia="zh-CN"/>
              </w:rPr>
              <w:lastRenderedPageBreak/>
              <w:t>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rFonts w:hint="eastAsia"/>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rFonts w:hint="eastAsia"/>
                <w:iCs/>
                <w:kern w:val="2"/>
                <w:lang w:eastAsia="zh-CN"/>
              </w:rPr>
            </w:pPr>
            <w:r>
              <w:rPr>
                <w:iCs/>
                <w:kern w:val="2"/>
                <w:lang w:eastAsia="zh-CN"/>
              </w:rPr>
              <w:t>Overall problem is rather marginal and can be addressed by gNB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5E55C70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r>
              <w:rPr>
                <w:iCs/>
                <w:kern w:val="2"/>
                <w:lang w:eastAsia="zh-CN"/>
              </w:rPr>
              <w:lastRenderedPageBreak/>
              <w:t>possibility but it is more likely for eMBB than for URLLC due to the small TBS and 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634F86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p>
    <w:p w14:paraId="08E7A0DB" w14:textId="2F78C36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30A9362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rFonts w:hint="eastAsia"/>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rFonts w:hint="eastAsia"/>
                <w:iCs/>
                <w:kern w:val="2"/>
                <w:lang w:eastAsia="zh-CN"/>
              </w:rPr>
            </w:pPr>
            <w:r>
              <w:rPr>
                <w:kern w:val="2"/>
                <w:lang w:eastAsia="zh-CN"/>
              </w:rPr>
              <w:t>This is a recurring general issue and a similar one is considered in MIMO.</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lastRenderedPageBreak/>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301C46D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p>
    <w:p w14:paraId="73376D77" w14:textId="397315E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w:t>
      </w:r>
      <w:r>
        <w:rPr>
          <w:sz w:val="22"/>
          <w:szCs w:val="22"/>
          <w:lang w:val="en-US"/>
        </w:rPr>
        <w:lastRenderedPageBreak/>
        <w:t>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44A13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9102FA"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102FA" w:rsidRDefault="009102FA" w:rsidP="009102F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102FA" w:rsidRDefault="009102FA" w:rsidP="009102FA">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rFonts w:hint="eastAsia"/>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rFonts w:hint="eastAsia"/>
                <w:iCs/>
                <w:kern w:val="2"/>
                <w:lang w:eastAsia="zh-CN"/>
              </w:rPr>
            </w:pPr>
            <w:r>
              <w:rPr>
                <w:kern w:val="2"/>
                <w:lang w:eastAsia="zh-CN"/>
              </w:rPr>
              <w:t xml:space="preserve">In general, have the number of repetitions be at least dynamically indicated. This may also be addressed in the coverage enhancement WI. </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14DF269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rFonts w:hint="eastAsia"/>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lastRenderedPageBreak/>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D557A7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18723EA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531CF7F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13C95FD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58E7313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rFonts w:hint="eastAsia"/>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3CA62CA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AB657D"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AB657D" w:rsidRDefault="00AB657D" w:rsidP="00AB65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AB657D" w:rsidRDefault="00AB657D" w:rsidP="00AB657D">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1"/>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rFonts w:hint="eastAsia"/>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rFonts w:hint="eastAsia"/>
                <w:iCs/>
                <w:kern w:val="2"/>
                <w:lang w:eastAsia="zh-CN"/>
              </w:rPr>
            </w:pPr>
            <w:r>
              <w:rPr>
                <w:kern w:val="2"/>
                <w:lang w:eastAsia="zh-CN"/>
              </w:rPr>
              <w:t>TBD is this should be discussed in this AI or AI 8.3.</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6EF76E9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p>
    <w:p w14:paraId="101FAD6E" w14:textId="2516ABA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FD1156"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FD1156" w:rsidRDefault="00FD1156" w:rsidP="00FD115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FD1156" w:rsidRDefault="00FD1156" w:rsidP="00FD1156">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2142CD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AD1F34" w:rsidRDefault="00AD1F34" w:rsidP="00AD1F3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AD1F34" w:rsidRDefault="00AD1F34" w:rsidP="00AD1F3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46D44C7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0CB9DC7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944D3" w:rsidRDefault="00E944D3" w:rsidP="00E944D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944D3" w:rsidRDefault="00E944D3" w:rsidP="00E944D3">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793B12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168CCEE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68FFB9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2B0005" w:rsidRDefault="002B0005" w:rsidP="002B000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2B0005" w:rsidRDefault="002B0005" w:rsidP="002B000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0FE325E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w:t>
      </w:r>
      <w:r w:rsidR="00B8653E">
        <w:rPr>
          <w:sz w:val="22"/>
          <w:lang w:val="en-US" w:eastAsia="zh-CN"/>
        </w:rPr>
        <w:lastRenderedPageBreak/>
        <w:t xml:space="preserve">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39B396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25C7F98D" w14:textId="5CBC62B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1"/>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1"/>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1"/>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0EF76D0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all the repetitions of the SPS PDSCH are cancelled. This may lead to SPS PDSCH performance loss if some of the repetitions are not overlapped with DG PDSCH and can be received by UE. </w:t>
      </w:r>
      <w:r w:rsidRPr="009D62ED">
        <w:rPr>
          <w:sz w:val="22"/>
          <w:lang w:val="en-US" w:eastAsia="zh-CN"/>
        </w:rPr>
        <w:lastRenderedPageBreak/>
        <w:t>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p>
    <w:p w14:paraId="426F2A29" w14:textId="73197A0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4A22800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4F20676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6A0556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2ADDDD01" w14:textId="4D1CA3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E9A6808" w14:textId="0B91EB9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p>
    <w:p w14:paraId="3495FC9C" w14:textId="3FF3A0A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5FF679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rFonts w:hint="eastAsia"/>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rFonts w:hint="eastAsia"/>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7C61FE8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FF0D73"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FF0D73" w:rsidRDefault="00FF0D73" w:rsidP="00FF0D7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FF0D73" w:rsidRDefault="00FF0D73" w:rsidP="00FF0D73">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24F4F9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bookmarkStart w:id="2" w:name="_GoBack"/>
      <w:bookmarkEnd w:id="2"/>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30FDA" w:rsidRDefault="00930FDA" w:rsidP="00930FD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30FDA" w:rsidRDefault="00930FDA" w:rsidP="00930FDA">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847AA" w:rsidP="001B4F9F">
      <w:pPr>
        <w:pStyle w:val="af6"/>
        <w:tabs>
          <w:tab w:val="right" w:leader="dot" w:pos="9629"/>
        </w:tabs>
        <w:rPr>
          <w:rFonts w:asciiTheme="minorHAnsi" w:hAnsiTheme="minorHAnsi"/>
          <w:b w:val="0"/>
          <w:noProof/>
          <w:lang w:eastAsia="en-US"/>
        </w:rPr>
      </w:pPr>
      <w:hyperlink r:id="rId15"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847AA" w:rsidP="001B4F9F">
      <w:pPr>
        <w:pStyle w:val="af6"/>
        <w:tabs>
          <w:tab w:val="right" w:leader="dot" w:pos="9629"/>
        </w:tabs>
        <w:rPr>
          <w:rFonts w:asciiTheme="minorHAnsi" w:hAnsiTheme="minorHAnsi"/>
          <w:b w:val="0"/>
          <w:noProof/>
          <w:lang w:eastAsia="en-US"/>
        </w:rPr>
      </w:pPr>
      <w:hyperlink r:id="rId16"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847AA" w:rsidP="001B4F9F">
      <w:pPr>
        <w:pStyle w:val="af6"/>
        <w:tabs>
          <w:tab w:val="right" w:leader="dot" w:pos="9629"/>
        </w:tabs>
        <w:rPr>
          <w:rFonts w:asciiTheme="minorHAnsi" w:hAnsiTheme="minorHAnsi"/>
          <w:b w:val="0"/>
          <w:noProof/>
          <w:lang w:eastAsia="en-US"/>
        </w:rPr>
      </w:pPr>
      <w:hyperlink r:id="rId17"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C847AA" w:rsidP="001B4F9F">
      <w:pPr>
        <w:pStyle w:val="af6"/>
        <w:tabs>
          <w:tab w:val="right" w:leader="dot" w:pos="9629"/>
        </w:tabs>
        <w:rPr>
          <w:rFonts w:asciiTheme="minorHAnsi" w:hAnsiTheme="minorHAnsi"/>
          <w:b w:val="0"/>
          <w:noProof/>
          <w:lang w:eastAsia="en-US"/>
        </w:rPr>
      </w:pPr>
      <w:hyperlink r:id="rId19"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C847AA" w:rsidP="001B4F9F">
      <w:pPr>
        <w:pStyle w:val="af6"/>
        <w:tabs>
          <w:tab w:val="right" w:leader="dot" w:pos="9629"/>
        </w:tabs>
        <w:rPr>
          <w:rFonts w:asciiTheme="minorHAnsi" w:hAnsiTheme="minorHAnsi"/>
          <w:b w:val="0"/>
          <w:noProof/>
          <w:lang w:eastAsia="en-US"/>
        </w:rPr>
      </w:pPr>
      <w:hyperlink r:id="rId20"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C847AA" w:rsidP="001B4F9F">
      <w:pPr>
        <w:pStyle w:val="af6"/>
        <w:tabs>
          <w:tab w:val="right" w:leader="dot" w:pos="9629"/>
        </w:tabs>
        <w:rPr>
          <w:rFonts w:asciiTheme="minorHAnsi" w:hAnsiTheme="minorHAnsi"/>
          <w:b w:val="0"/>
          <w:noProof/>
          <w:lang w:eastAsia="en-US"/>
        </w:rPr>
      </w:pPr>
      <w:hyperlink r:id="rId21"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847AA" w:rsidP="001B4F9F">
      <w:pPr>
        <w:pStyle w:val="af6"/>
        <w:tabs>
          <w:tab w:val="right" w:leader="dot" w:pos="9629"/>
        </w:tabs>
        <w:rPr>
          <w:rFonts w:asciiTheme="minorHAnsi" w:hAnsiTheme="minorHAnsi"/>
          <w:b w:val="0"/>
          <w:noProof/>
          <w:lang w:eastAsia="en-US"/>
        </w:rPr>
      </w:pPr>
      <w:hyperlink r:id="rId22"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C847AA" w:rsidP="001B4F9F">
      <w:pPr>
        <w:pStyle w:val="af6"/>
        <w:tabs>
          <w:tab w:val="right" w:leader="dot" w:pos="9629"/>
        </w:tabs>
        <w:rPr>
          <w:rFonts w:asciiTheme="minorHAnsi" w:hAnsiTheme="minorHAnsi"/>
          <w:b w:val="0"/>
          <w:noProof/>
          <w:lang w:eastAsia="en-US"/>
        </w:rPr>
      </w:pPr>
      <w:hyperlink r:id="rId23"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A5DB" w14:textId="77777777" w:rsidR="00C847AA" w:rsidRDefault="00C847AA">
      <w:r>
        <w:separator/>
      </w:r>
    </w:p>
  </w:endnote>
  <w:endnote w:type="continuationSeparator" w:id="0">
    <w:p w14:paraId="74614561" w14:textId="77777777" w:rsidR="00C847AA" w:rsidRDefault="00C847AA">
      <w:r>
        <w:continuationSeparator/>
      </w:r>
    </w:p>
  </w:endnote>
  <w:endnote w:type="continuationNotice" w:id="1">
    <w:p w14:paraId="330FF20B" w14:textId="77777777" w:rsidR="00C847AA" w:rsidRDefault="00C847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28C54715" w:rsidR="00C75E74" w:rsidRDefault="00C75E74">
        <w:pPr>
          <w:pStyle w:val="a9"/>
        </w:pPr>
        <w:r>
          <w:fldChar w:fldCharType="begin"/>
        </w:r>
        <w:r>
          <w:instrText>PAGE   \* MERGEFORMAT</w:instrText>
        </w:r>
        <w:r>
          <w:fldChar w:fldCharType="separate"/>
        </w:r>
        <w:r w:rsidR="00930FDA" w:rsidRPr="00930FDA">
          <w:rPr>
            <w:lang w:val="zh-CN" w:eastAsia="zh-CN"/>
          </w:rPr>
          <w:t>42</w:t>
        </w:r>
        <w:r>
          <w:fldChar w:fldCharType="end"/>
        </w:r>
      </w:p>
    </w:sdtContent>
  </w:sdt>
  <w:p w14:paraId="00A820FC" w14:textId="77777777" w:rsidR="00C75E74" w:rsidRDefault="00C75E74">
    <w:pPr>
      <w:pStyle w:val="a9"/>
    </w:pPr>
  </w:p>
  <w:p w14:paraId="4A48D3F3" w14:textId="77777777" w:rsidR="00C75E74" w:rsidRDefault="00C75E74"/>
  <w:p w14:paraId="46E31D82" w14:textId="77777777" w:rsidR="00C75E74" w:rsidRDefault="00C75E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6B62" w14:textId="77777777" w:rsidR="00C847AA" w:rsidRDefault="00C847AA">
      <w:r>
        <w:separator/>
      </w:r>
    </w:p>
  </w:footnote>
  <w:footnote w:type="continuationSeparator" w:id="0">
    <w:p w14:paraId="2CA23711" w14:textId="77777777" w:rsidR="00C847AA" w:rsidRDefault="00C847AA">
      <w:r>
        <w:continuationSeparator/>
      </w:r>
    </w:p>
  </w:footnote>
  <w:footnote w:type="continuationNotice" w:id="1">
    <w:p w14:paraId="0B9CF7DA" w14:textId="77777777" w:rsidR="00C847AA" w:rsidRDefault="00C847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C75E74" w:rsidRDefault="00C75E74">
    <w:pPr>
      <w:pStyle w:val="a4"/>
      <w:tabs>
        <w:tab w:val="right" w:pos="9639"/>
      </w:tabs>
    </w:pPr>
    <w:r>
      <w:tab/>
    </w:r>
  </w:p>
  <w:p w14:paraId="246D48EC" w14:textId="77777777" w:rsidR="00C75E74" w:rsidRDefault="00C75E74"/>
  <w:p w14:paraId="4F6F578E" w14:textId="77777777" w:rsidR="00C75E74" w:rsidRDefault="00C75E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6"/>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31"/>
  </w:num>
  <w:num w:numId="6">
    <w:abstractNumId w:val="40"/>
  </w:num>
  <w:num w:numId="7">
    <w:abstractNumId w:val="13"/>
  </w:num>
  <w:num w:numId="8">
    <w:abstractNumId w:val="35"/>
  </w:num>
  <w:num w:numId="9">
    <w:abstractNumId w:val="8"/>
  </w:num>
  <w:num w:numId="10">
    <w:abstractNumId w:val="14"/>
  </w:num>
  <w:num w:numId="11">
    <w:abstractNumId w:val="37"/>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6"/>
  </w:num>
  <w:num w:numId="17">
    <w:abstractNumId w:val="4"/>
  </w:num>
  <w:num w:numId="18">
    <w:abstractNumId w:val="16"/>
  </w:num>
  <w:num w:numId="19">
    <w:abstractNumId w:val="27"/>
  </w:num>
  <w:num w:numId="20">
    <w:abstractNumId w:val="29"/>
  </w:num>
  <w:num w:numId="21">
    <w:abstractNumId w:val="15"/>
  </w:num>
  <w:num w:numId="22">
    <w:abstractNumId w:val="6"/>
  </w:num>
  <w:num w:numId="23">
    <w:abstractNumId w:val="32"/>
  </w:num>
  <w:num w:numId="24">
    <w:abstractNumId w:val="28"/>
  </w:num>
  <w:num w:numId="25">
    <w:abstractNumId w:val="23"/>
  </w:num>
  <w:num w:numId="26">
    <w:abstractNumId w:val="10"/>
  </w:num>
  <w:num w:numId="27">
    <w:abstractNumId w:val="25"/>
  </w:num>
  <w:num w:numId="28">
    <w:abstractNumId w:val="30"/>
  </w:num>
  <w:num w:numId="29">
    <w:abstractNumId w:val="18"/>
  </w:num>
  <w:num w:numId="30">
    <w:abstractNumId w:val="2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2"/>
  </w:num>
  <w:num w:numId="34">
    <w:abstractNumId w:val="20"/>
  </w:num>
  <w:num w:numId="35">
    <w:abstractNumId w:val="7"/>
  </w:num>
  <w:num w:numId="36">
    <w:abstractNumId w:val="41"/>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6AC8C31D-F5C3-47A1-A15B-90D5B052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55</Pages>
  <Words>16200</Words>
  <Characters>92345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108329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박성진/표준연구팀(SR)/Staff Engineer/삼성전자</cp:lastModifiedBy>
  <cp:revision>75</cp:revision>
  <cp:lastPrinted>1900-12-31T16:00:00Z</cp:lastPrinted>
  <dcterms:created xsi:type="dcterms:W3CDTF">2020-08-19T17:25:00Z</dcterms:created>
  <dcterms:modified xsi:type="dcterms:W3CDTF">2020-08-20T07:04:00Z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