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sidRPr="00B45D6C">
        <w:rPr>
          <w:rFonts w:ascii="Times New Roman" w:hAnsi="Times New Roman"/>
          <w:sz w:val="22"/>
          <w:szCs w:val="22"/>
          <w:lang w:eastAsia="zh-CN"/>
        </w:rPr>
        <w:t>spacing  for</w:t>
      </w:r>
      <w:proofErr w:type="gramEnd"/>
      <w:r w:rsidRPr="00B45D6C">
        <w:rPr>
          <w:rFonts w:ascii="Times New Roman" w:hAnsi="Times New Roman"/>
          <w:sz w:val="22"/>
          <w:szCs w:val="22"/>
          <w:lang w:eastAsia="zh-CN"/>
        </w:rPr>
        <w:t xml:space="preserve">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commentRangeStart w:id="4"/>
            <w:r w:rsidRPr="006534BA">
              <w:rPr>
                <w:rFonts w:ascii="Times New Roman" w:hAnsi="Times New Roman"/>
                <w:sz w:val="16"/>
                <w:szCs w:val="16"/>
                <w:highlight w:val="yellow"/>
                <w:lang w:eastAsia="zh-CN"/>
              </w:rPr>
              <w:t>dB</w:t>
            </w:r>
            <w:commentRangeEnd w:id="4"/>
            <w:r w:rsidR="007B06CC" w:rsidRPr="006534BA">
              <w:rPr>
                <w:rStyle w:val="CommentReference"/>
                <w:rFonts w:ascii="Times New Roman" w:eastAsia="SimSun" w:hAnsi="Times New Roman"/>
                <w:highlight w:val="yellow"/>
                <w:lang w:eastAsia="x-none"/>
              </w:rPr>
              <w:commentReference w:id="4"/>
            </w:r>
            <w:r w:rsidRPr="006534BA">
              <w:rPr>
                <w:rFonts w:ascii="Times New Roman" w:hAnsi="Times New Roman"/>
                <w:sz w:val="16"/>
                <w:szCs w:val="16"/>
                <w:highlight w:val="yellow"/>
                <w:lang w:eastAsia="zh-CN"/>
              </w:rPr>
              <w:t>)</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(b) UMi – Street Canyon NLOS: CDL-B (50 ns DS), and UMi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w:t>
      </w:r>
      <w:r w:rsidRPr="00DD0AC0">
        <w:rPr>
          <w:rFonts w:ascii="Times New Roman" w:hAnsi="Times New Roman"/>
          <w:sz w:val="22"/>
          <w:szCs w:val="22"/>
          <w:lang w:eastAsia="zh-CN"/>
        </w:rPr>
        <w:lastRenderedPageBreak/>
        <w:t>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it is observed in [[60], Intel] that the measured RMS delay spread after Tx/Rx beamforming from the scaled ray angles based on indoor office scenario and UMi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UMi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lastRenderedPageBreak/>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031873B6" w14:textId="77777777" w:rsidTr="00FA019A">
        <w:trPr>
          <w:trHeight w:val="24"/>
        </w:trPr>
        <w:tc>
          <w:tcPr>
            <w:tcW w:w="1871" w:type="dxa"/>
          </w:tcPr>
          <w:p w14:paraId="1A6A340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775B42A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42CDBAD6" w14:textId="77777777" w:rsidTr="00FA019A">
        <w:trPr>
          <w:trHeight w:val="339"/>
        </w:trPr>
        <w:tc>
          <w:tcPr>
            <w:tcW w:w="1871" w:type="dxa"/>
          </w:tcPr>
          <w:p w14:paraId="5C1BB068"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2D4B74D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62089C2E" w14:textId="77777777" w:rsidTr="00FA019A">
        <w:trPr>
          <w:trHeight w:val="339"/>
        </w:trPr>
        <w:tc>
          <w:tcPr>
            <w:tcW w:w="1871" w:type="dxa"/>
          </w:tcPr>
          <w:p w14:paraId="69858B1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34F78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2E57AF2F" w14:textId="77777777" w:rsidTr="00FA019A">
        <w:trPr>
          <w:trHeight w:val="339"/>
        </w:trPr>
        <w:tc>
          <w:tcPr>
            <w:tcW w:w="1871" w:type="dxa"/>
          </w:tcPr>
          <w:p w14:paraId="7F5C7C0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A0E36C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lastRenderedPageBreak/>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4603D7D8" w14:textId="77777777" w:rsidTr="00941E70">
        <w:trPr>
          <w:trHeight w:val="339"/>
        </w:trPr>
        <w:tc>
          <w:tcPr>
            <w:tcW w:w="1871" w:type="dxa"/>
          </w:tcPr>
          <w:p w14:paraId="2B265674"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c>
          <w:tcPr>
            <w:tcW w:w="8021" w:type="dxa"/>
          </w:tcPr>
          <w:p w14:paraId="78CF5BDB"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lastRenderedPageBreak/>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w:t>
      </w:r>
      <w:proofErr w:type="gramStart"/>
      <w:r w:rsidR="00EB1EF8" w:rsidRPr="000C1099">
        <w:rPr>
          <w:rFonts w:ascii="Times New Roman" w:hAnsi="Times New Roman"/>
          <w:sz w:val="22"/>
          <w:szCs w:val="22"/>
          <w:lang w:eastAsia="zh-CN"/>
        </w:rPr>
        <w:t>There’s</w:t>
      </w:r>
      <w:proofErr w:type="gramEnd"/>
      <w:r w:rsidR="00EB1EF8" w:rsidRPr="000C1099">
        <w:rPr>
          <w:rFonts w:ascii="Times New Roman" w:hAnsi="Times New Roman"/>
          <w:sz w:val="22"/>
          <w:szCs w:val="22"/>
          <w:lang w:eastAsia="zh-CN"/>
        </w:rPr>
        <w:t xml:space="preserve">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30pt" o:ole="">
                  <v:imagedata r:id="rId18" o:title=""/>
                </v:shape>
                <o:OLEObject Type="Embed" ProgID="Visio.Drawing.11" ShapeID="_x0000_i1025" DrawAspect="Content" ObjectID="_1659340394" r:id="rId19"/>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lastRenderedPageBreak/>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w:t>
            </w:r>
            <w:proofErr w:type="spellStart"/>
            <w:r>
              <w:rPr>
                <w:color w:val="000000"/>
                <w:sz w:val="16"/>
                <w:szCs w:val="16"/>
                <w:lang w:eastAsia="zh-CN"/>
              </w:rPr>
              <w:t>gNB</w:t>
            </w:r>
            <w:proofErr w:type="spellEnd"/>
            <w:r>
              <w:rPr>
                <w:color w:val="000000"/>
                <w:sz w:val="16"/>
                <w:szCs w:val="16"/>
                <w:lang w:eastAsia="zh-CN"/>
              </w:rPr>
              <w:t xml:space="preserve">-to-UE links: UMi street canyon </w:t>
            </w:r>
            <w:r>
              <w:rPr>
                <w:color w:val="000000"/>
                <w:sz w:val="16"/>
                <w:szCs w:val="16"/>
                <w:lang w:eastAsia="zh-CN"/>
              </w:rPr>
              <w:lastRenderedPageBreak/>
              <w:t>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gNB-to-gNB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channel models in brackets, </w:t>
            </w:r>
            <w:proofErr w:type="gramStart"/>
            <w:r>
              <w:rPr>
                <w:color w:val="000000"/>
                <w:sz w:val="16"/>
                <w:szCs w:val="16"/>
                <w:lang w:eastAsia="zh-CN"/>
              </w:rPr>
              <w:t>[ ]</w:t>
            </w:r>
            <w:proofErr w:type="gramEnd"/>
            <w:r>
              <w:rPr>
                <w:color w:val="000000"/>
                <w:sz w:val="16"/>
                <w:szCs w:val="16"/>
                <w:lang w:eastAsia="zh-CN"/>
              </w:rPr>
              <w:t>,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w:t>
      </w:r>
      <w:r w:rsidRPr="000C1099">
        <w:rPr>
          <w:rFonts w:ascii="Times New Roman" w:hAnsi="Times New Roman"/>
          <w:sz w:val="22"/>
          <w:szCs w:val="22"/>
          <w:lang w:eastAsia="zh-CN"/>
        </w:rPr>
        <w:lastRenderedPageBreak/>
        <w:t xml:space="preserve">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xml:space="preserve">] used a layout half of the size of indoor-A (i.e. 50 m x 60 m) with 2 operators each with 6 </w:t>
      </w:r>
      <w:proofErr w:type="spellStart"/>
      <w:r w:rsidRPr="000C1099">
        <w:rPr>
          <w:rFonts w:ascii="Times New Roman" w:hAnsi="Times New Roman"/>
          <w:sz w:val="22"/>
          <w:szCs w:val="22"/>
          <w:lang w:eastAsia="zh-CN"/>
        </w:rPr>
        <w:t>gNBs</w:t>
      </w:r>
      <w:proofErr w:type="spellEnd"/>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w:t>
            </w:r>
            <w:proofErr w:type="gramStart"/>
            <w:r>
              <w:rPr>
                <w:rFonts w:ascii="Times New Roman" w:hAnsi="Times New Roman"/>
                <w:sz w:val="22"/>
                <w:szCs w:val="22"/>
                <w:lang w:eastAsia="zh-CN"/>
              </w:rPr>
              <w:t>or  2</w:t>
            </w:r>
            <w:proofErr w:type="gramEnd"/>
            <w:r>
              <w:rPr>
                <w:rFonts w:ascii="Times New Roman" w:hAnsi="Times New Roman"/>
                <w:sz w:val="22"/>
                <w:szCs w:val="22"/>
                <w:lang w:eastAsia="zh-CN"/>
              </w:rPr>
              <w:t xml:space="preserve">.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w:t>
      </w:r>
      <w:proofErr w:type="gramStart"/>
      <w:r w:rsidRPr="000C1099">
        <w:rPr>
          <w:rFonts w:ascii="Times New Roman" w:hAnsi="Times New Roman"/>
          <w:sz w:val="22"/>
          <w:szCs w:val="22"/>
          <w:lang w:eastAsia="zh-CN"/>
        </w:rPr>
        <w:t>10( BW</w:t>
      </w:r>
      <w:proofErr w:type="gramEnd"/>
      <w:r w:rsidRPr="000C1099">
        <w:rPr>
          <w:rFonts w:ascii="Times New Roman" w:hAnsi="Times New Roman"/>
          <w:sz w:val="22"/>
          <w:szCs w:val="22"/>
          <w:lang w:eastAsia="zh-CN"/>
        </w:rPr>
        <w:t>/2GHz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UEs and -8dB SNR for 13dB NF UEs,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supports “-infinity dBm” as a primary RSRP threshold and report how many UEs in the coverage fall below the -76 dBm.</w:t>
            </w:r>
            <w:r>
              <w:rPr>
                <w:rFonts w:ascii="Times New Roman" w:hAnsi="Times New Roman"/>
                <w:sz w:val="22"/>
                <w:szCs w:val="22"/>
                <w:lang w:eastAsia="zh-CN"/>
              </w:rPr>
              <w:t xml:space="preserve">  </w:t>
            </w: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bookmarkStart w:id="11" w:name="_GoBack" w:colFirst="0" w:colLast="1"/>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bookmarkEnd w:id="11"/>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c>
          <w:tcPr>
            <w:tcW w:w="8021" w:type="dxa"/>
          </w:tcPr>
          <w:p w14:paraId="405D6E0B"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18F3EC57" w14:textId="77777777" w:rsidTr="00FA019A">
        <w:trPr>
          <w:trHeight w:val="24"/>
        </w:trPr>
        <w:tc>
          <w:tcPr>
            <w:tcW w:w="1871" w:type="dxa"/>
          </w:tcPr>
          <w:p w14:paraId="6941E3A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FC663E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7AF90939" w14:textId="77777777" w:rsidTr="00FA019A">
        <w:trPr>
          <w:trHeight w:val="339"/>
        </w:trPr>
        <w:tc>
          <w:tcPr>
            <w:tcW w:w="1871" w:type="dxa"/>
          </w:tcPr>
          <w:p w14:paraId="60BE816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76FDF3"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543D5BEE" w14:textId="77777777" w:rsidTr="00FA019A">
        <w:trPr>
          <w:trHeight w:val="339"/>
        </w:trPr>
        <w:tc>
          <w:tcPr>
            <w:tcW w:w="1871" w:type="dxa"/>
          </w:tcPr>
          <w:p w14:paraId="3EE3C78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69FDE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36341D8F" w14:textId="77777777" w:rsidTr="00FA019A">
        <w:trPr>
          <w:trHeight w:val="339"/>
        </w:trPr>
        <w:tc>
          <w:tcPr>
            <w:tcW w:w="1871" w:type="dxa"/>
          </w:tcPr>
          <w:p w14:paraId="50FCA65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85E1CD"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2" w:name="_Ref48248479"/>
      <w:bookmarkStart w:id="13" w:name="_Ref48248471"/>
      <w:r>
        <w:t xml:space="preserve">Table </w:t>
      </w:r>
      <w:r>
        <w:fldChar w:fldCharType="begin"/>
      </w:r>
      <w:r>
        <w:instrText>SEQ Table \* ARABIC</w:instrText>
      </w:r>
      <w:r>
        <w:fldChar w:fldCharType="separate"/>
      </w:r>
      <w:r w:rsidR="0095085F">
        <w:rPr>
          <w:noProof/>
        </w:rPr>
        <w:t>8</w:t>
      </w:r>
      <w:r>
        <w:fldChar w:fldCharType="end"/>
      </w:r>
      <w:bookmarkEnd w:id="12"/>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3"/>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lastRenderedPageBreak/>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lastRenderedPageBreak/>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r>
            <w:r>
              <w:lastRenderedPageBreak/>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lastRenderedPageBreak/>
              <w:t>240KHz</w:t>
            </w:r>
            <w:r>
              <w:br/>
            </w:r>
            <w:r>
              <w:lastRenderedPageBreak/>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lastRenderedPageBreak/>
              <w:t>480KHz</w:t>
            </w:r>
            <w:r>
              <w:br/>
            </w:r>
            <w:r>
              <w:lastRenderedPageBreak/>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lastRenderedPageBreak/>
              <w:t>960KHz</w:t>
            </w:r>
            <w:r>
              <w:br/>
            </w:r>
            <w:r>
              <w:lastRenderedPageBreak/>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lastRenderedPageBreak/>
              <w:t>960KHz</w:t>
            </w:r>
            <w:r>
              <w:br/>
            </w:r>
            <w:r>
              <w:lastRenderedPageBreak/>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lastRenderedPageBreak/>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 xml:space="preserve">CDL-B, </w:t>
            </w:r>
            <w:r>
              <w:lastRenderedPageBreak/>
              <w:t>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4" w:name="_Ref48300857"/>
      <w:r>
        <w:t xml:space="preserve">Table </w:t>
      </w:r>
      <w:r>
        <w:fldChar w:fldCharType="begin"/>
      </w:r>
      <w:r>
        <w:instrText>SEQ Table \* ARABIC</w:instrText>
      </w:r>
      <w:r>
        <w:fldChar w:fldCharType="separate"/>
      </w:r>
      <w:r w:rsidR="0095085F">
        <w:rPr>
          <w:noProof/>
        </w:rPr>
        <w:t>9</w:t>
      </w:r>
      <w:r>
        <w:fldChar w:fldCharType="end"/>
      </w:r>
      <w:bookmarkEnd w:id="14"/>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 xml:space="preserve">the branch </w:t>
            </w:r>
            <w:proofErr w:type="gramStart"/>
            <w:r w:rsidRPr="00544CB3">
              <w:rPr>
                <w:rFonts w:ascii="Times New Roman" w:eastAsia="Yu Mincho" w:hAnsi="Times New Roman"/>
                <w:sz w:val="20"/>
                <w:szCs w:val="20"/>
                <w:lang w:eastAsia="zh-CN"/>
              </w:rPr>
              <w:t>number</w:t>
            </w:r>
            <w:proofErr w:type="gramEnd"/>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5" w:name="_Ref48300866"/>
      <w:r>
        <w:t xml:space="preserve">Table </w:t>
      </w:r>
      <w:r>
        <w:fldChar w:fldCharType="begin"/>
      </w:r>
      <w:r>
        <w:instrText>SEQ Table \* ARABIC</w:instrText>
      </w:r>
      <w:r>
        <w:fldChar w:fldCharType="separate"/>
      </w:r>
      <w:r>
        <w:rPr>
          <w:noProof/>
        </w:rPr>
        <w:t>10</w:t>
      </w:r>
      <w:r>
        <w:fldChar w:fldCharType="end"/>
      </w:r>
      <w:bookmarkEnd w:id="15"/>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6" w:name="_Ref48248896"/>
      <w:r>
        <w:t xml:space="preserve">Table </w:t>
      </w:r>
      <w:r>
        <w:fldChar w:fldCharType="begin"/>
      </w:r>
      <w:r>
        <w:instrText>SEQ Table \* ARABIC</w:instrText>
      </w:r>
      <w:r>
        <w:fldChar w:fldCharType="separate"/>
      </w:r>
      <w:r w:rsidR="0095085F">
        <w:rPr>
          <w:noProof/>
        </w:rPr>
        <w:t>11</w:t>
      </w:r>
      <w:r>
        <w:fldChar w:fldCharType="end"/>
      </w:r>
      <w:bookmarkEnd w:id="16"/>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4F1479" w:rsidP="005635B2">
      <w:pPr>
        <w:pStyle w:val="ListParagraph"/>
        <w:numPr>
          <w:ilvl w:val="0"/>
          <w:numId w:val="6"/>
        </w:numPr>
        <w:ind w:hanging="720"/>
        <w:rPr>
          <w:rFonts w:ascii="Times New Roman" w:eastAsia="Batang" w:hAnsi="Times New Roman"/>
          <w:lang w:eastAsia="x-none"/>
        </w:rPr>
      </w:pPr>
      <w:hyperlink r:id="rId24"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4F1479"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 xml:space="preserve">Huawei, </w:t>
      </w:r>
      <w:proofErr w:type="spellStart"/>
      <w:r w:rsidR="00413AC5" w:rsidRPr="00AF23E7">
        <w:rPr>
          <w:rFonts w:ascii="Times New Roman" w:hAnsi="Times New Roman"/>
          <w:lang w:eastAsia="x-none"/>
        </w:rPr>
        <w:t>HiSilicon</w:t>
      </w:r>
      <w:proofErr w:type="spellEnd"/>
    </w:p>
    <w:p w14:paraId="003A232A" w14:textId="1C030EC8" w:rsidR="00413AC5" w:rsidRPr="00AF23E7" w:rsidRDefault="004F1479"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4F1479"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4F1479"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4F1479"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4F1479"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4F1479"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4F1479"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4F1479"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4F1479"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4F1479"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4F1479"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4F1479"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4F1479"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4F1479"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4F1479"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4F1479"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4F1479"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4F1479"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4F1479"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4F1479"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4F1479"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4F1479"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4F1479"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4F1479"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4F1479"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4F1479"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4F1479"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4F1479"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4F1479"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36F72E02" w14:textId="59B4E750" w:rsidR="001D02CD" w:rsidRPr="001D02CD" w:rsidRDefault="004F1479"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4F1479"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4F1479"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4F1479"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4F1479"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4F1479"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4F1479"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4F1479"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4F1479"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4F1479"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4F1479"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4F1479"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4F1479"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4F1479"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4F1479"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4F1479"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4F1479"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 xml:space="preserve">On Channel Access </w:t>
      </w:r>
      <w:proofErr w:type="gramStart"/>
      <w:r w:rsidR="001D02CD" w:rsidRPr="001D02CD">
        <w:rPr>
          <w:rFonts w:ascii="Times New Roman" w:hAnsi="Times New Roman"/>
          <w:lang w:eastAsia="x-none"/>
        </w:rPr>
        <w:t>Mechanisms  for</w:t>
      </w:r>
      <w:proofErr w:type="gramEnd"/>
      <w:r w:rsidR="001D02CD" w:rsidRPr="001D02CD">
        <w:rPr>
          <w:rFonts w:ascii="Times New Roman" w:hAnsi="Times New Roman"/>
          <w:lang w:eastAsia="x-none"/>
        </w:rPr>
        <w:t xml:space="preserve"> Unlicensed Access above 52.6 GHz</w:t>
      </w:r>
      <w:r w:rsidR="001D02CD" w:rsidRPr="001D02CD">
        <w:rPr>
          <w:rFonts w:ascii="Times New Roman" w:hAnsi="Times New Roman"/>
          <w:lang w:eastAsia="x-none"/>
        </w:rPr>
        <w:tab/>
        <w:t>Apple</w:t>
      </w:r>
    </w:p>
    <w:p w14:paraId="1DFAC390" w14:textId="44B9573B" w:rsidR="001D02CD" w:rsidRPr="001D02CD" w:rsidRDefault="004F1479"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4F1479"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4F1479"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4F1479"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4F1479"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4F1479"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4F1479"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4F1479"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4F1479"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4F1479"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4F1479"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4F1479"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4F1479"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4F1479"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4F1479"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4F1479"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4F1479"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4F1479"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4F1479"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424DBA77" w14:textId="19B4665A" w:rsidR="00537C3D" w:rsidRDefault="004F1479" w:rsidP="005635B2">
      <w:pPr>
        <w:pStyle w:val="ListParagraph"/>
        <w:numPr>
          <w:ilvl w:val="0"/>
          <w:numId w:val="6"/>
        </w:numPr>
        <w:ind w:hanging="720"/>
        <w:rPr>
          <w:rFonts w:ascii="Times New Roman" w:hAnsi="Times New Roman"/>
          <w:lang w:eastAsia="x-none"/>
        </w:rPr>
      </w:pPr>
      <w:hyperlink r:id="rId91"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4F1479" w:rsidP="008A5066">
      <w:pPr>
        <w:pStyle w:val="ListParagraph"/>
        <w:numPr>
          <w:ilvl w:val="0"/>
          <w:numId w:val="6"/>
        </w:numPr>
        <w:ind w:hanging="720"/>
        <w:rPr>
          <w:rFonts w:ascii="Times New Roman" w:hAnsi="Times New Roman"/>
          <w:lang w:eastAsia="x-none"/>
        </w:rPr>
      </w:pPr>
      <w:hyperlink r:id="rId92"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3"/>
      <w:footerReference w:type="even" r:id="rId94"/>
      <w:footerReference w:type="default" r:id="rId95"/>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 w:date="2020-08-17T10:41:00Z" w:initials="vivo">
    <w:p w14:paraId="04C6A985" w14:textId="7184774D" w:rsidR="002B313B" w:rsidRDefault="002B313B">
      <w:pPr>
        <w:pStyle w:val="CommentText"/>
      </w:pPr>
      <w:r>
        <w:rPr>
          <w:rStyle w:val="CommentReference"/>
        </w:rPr>
        <w:annotationRef/>
      </w:r>
      <w:r>
        <w:t xml:space="preserve">The K-factor value for CDL-D for </w:t>
      </w:r>
      <w:proofErr w:type="spellStart"/>
      <w:r>
        <w:t>InH</w:t>
      </w:r>
      <w:proofErr w:type="spellEnd"/>
      <w:r>
        <w:t xml:space="preserve"> and UMi are revised based on the proponent’s email to the reflector on 7/30/2020.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C6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A000" w14:textId="77777777" w:rsidR="004F1479" w:rsidRDefault="004F1479">
      <w:r>
        <w:separator/>
      </w:r>
    </w:p>
  </w:endnote>
  <w:endnote w:type="continuationSeparator" w:id="0">
    <w:p w14:paraId="24C2FA11" w14:textId="77777777" w:rsidR="004F1479" w:rsidRDefault="004F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2B313B" w:rsidRDefault="002B313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B313B" w:rsidRDefault="002B313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2B313B" w:rsidRDefault="002B313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C19E" w14:textId="77777777" w:rsidR="004F1479" w:rsidRDefault="004F1479">
      <w:r>
        <w:separator/>
      </w:r>
    </w:p>
  </w:footnote>
  <w:footnote w:type="continuationSeparator" w:id="0">
    <w:p w14:paraId="21859843" w14:textId="77777777" w:rsidR="004F1479" w:rsidRDefault="004F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2B313B" w:rsidRDefault="002B313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6"/>
  </w:num>
  <w:num w:numId="8">
    <w:abstractNumId w:val="6"/>
  </w:num>
  <w:num w:numId="9">
    <w:abstractNumId w:val="4"/>
  </w:num>
  <w:num w:numId="10">
    <w:abstractNumId w:val="13"/>
  </w:num>
  <w:num w:numId="11">
    <w:abstractNumId w:val="10"/>
  </w:num>
  <w:num w:numId="12">
    <w:abstractNumId w:val="19"/>
  </w:num>
  <w:num w:numId="13">
    <w:abstractNumId w:val="11"/>
  </w:num>
  <w:num w:numId="14">
    <w:abstractNumId w:val="2"/>
  </w:num>
  <w:num w:numId="15">
    <w:abstractNumId w:val="7"/>
  </w:num>
  <w:num w:numId="16">
    <w:abstractNumId w:val="8"/>
  </w:num>
  <w:num w:numId="17">
    <w:abstractNumId w:val="12"/>
  </w:num>
  <w:num w:numId="18">
    <w:abstractNumId w:val="21"/>
  </w:num>
  <w:num w:numId="19">
    <w:abstractNumId w:val="1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80.zip" TargetMode="External"/><Relationship Id="rId21" Type="http://schemas.openxmlformats.org/officeDocument/2006/relationships/image" Target="media/image6.emf"/><Relationship Id="rId34" Type="http://schemas.openxmlformats.org/officeDocument/2006/relationships/hyperlink" Target="https://www.3gpp.org/ftp/tsg_ran/WG1_RL1/TSGR1_102-e/Docs/R1-2005764.zip" TargetMode="External"/><Relationship Id="rId42" Type="http://schemas.openxmlformats.org/officeDocument/2006/relationships/hyperlink" Target="https://www.3gpp.org/ftp/tsg_ran/WG1_RL1/TSGR1_102-e/Docs/R1-2006274.zip" TargetMode="External"/><Relationship Id="rId47" Type="http://schemas.openxmlformats.org/officeDocument/2006/relationships/hyperlink" Target="https://www.3gpp.org/ftp/tsg_ran/WG1_RL1/TSGR1_102-e/Docs/R1-2006649.zip" TargetMode="External"/><Relationship Id="rId50" Type="http://schemas.openxmlformats.org/officeDocument/2006/relationships/hyperlink" Target="https://www.3gpp.org/ftp/tsg_ran/WG1_RL1/TSGR1_102-e/Docs/R1-2006853.zip" TargetMode="External"/><Relationship Id="rId55" Type="http://schemas.openxmlformats.org/officeDocument/2006/relationships/hyperlink" Target="https://www.3gpp.org/ftp/tsg_ran/WG1_RL1/TSGR1_102-e/Docs/R1-2005282.zip" TargetMode="External"/><Relationship Id="rId63" Type="http://schemas.openxmlformats.org/officeDocument/2006/relationships/hyperlink" Target="https://www.3gpp.org/ftp/tsg_ran/WG1_RL1/TSGR1_102-e/Docs/R1-2005867.zip" TargetMode="External"/><Relationship Id="rId68" Type="http://schemas.openxmlformats.org/officeDocument/2006/relationships/hyperlink" Target="https://www.3gpp.org/ftp/tsg_ran/WG1_RL1/TSGR1_102-e/Docs/R1-2006275.zip" TargetMode="External"/><Relationship Id="rId76" Type="http://schemas.openxmlformats.org/officeDocument/2006/relationships/hyperlink" Target="https://www.3gpp.org/ftp/tsg_ran/WG1_RL1/TSGR1_102-e/Docs/R1-2006726.zip" TargetMode="External"/><Relationship Id="rId84" Type="http://schemas.openxmlformats.org/officeDocument/2006/relationships/hyperlink" Target="https://www.3gpp.org/ftp/tsg_ran/WG1_RL1/TSGR1_102-e/Docs/R1-2005922.zip" TargetMode="External"/><Relationship Id="rId89" Type="http://schemas.openxmlformats.org/officeDocument/2006/relationships/hyperlink" Target="https://www.3gpp.org/ftp/tsg_ran/WG1_RL1/TSGR1_102-e/Docs/R1-2006909.zip"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3gpp.org/ftp/tsg_ran/WG1_RL1/TSGR1_102-e/Docs/R1-2006513.zip" TargetMode="External"/><Relationship Id="rId92" Type="http://schemas.openxmlformats.org/officeDocument/2006/relationships/hyperlink" Target="https://www.3gpp.org/ftp/tsg_ran/WG1_RL1/TSGR1_102-e/Docs/R1-2006989.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2-e/Docs/R1-2005567.zip" TargetMode="External"/><Relationship Id="rId11" Type="http://schemas.openxmlformats.org/officeDocument/2006/relationships/endnotes" Target="endnotes.xml"/><Relationship Id="rId24" Type="http://schemas.openxmlformats.org/officeDocument/2006/relationships/hyperlink" Target="https://www.3gpp.org/ftp/tsg_ran/WG1_RL1/TSGR1_102-e/Docs/R1-2005239.zip" TargetMode="External"/><Relationship Id="rId32" Type="http://schemas.openxmlformats.org/officeDocument/2006/relationships/hyperlink" Target="https://www.3gpp.org/ftp/tsg_ran/WG1_RL1/TSGR1_102-e/Docs/R1-2005699.zip" TargetMode="External"/><Relationship Id="rId37" Type="http://schemas.openxmlformats.org/officeDocument/2006/relationships/hyperlink" Target="https://www.3gpp.org/ftp/tsg_ran/WG1_RL1/TSGR1_102-e/Docs/R1-2005866.zip" TargetMode="External"/><Relationship Id="rId40" Type="http://schemas.openxmlformats.org/officeDocument/2006/relationships/hyperlink" Target="https://www.3gpp.org/ftp/tsg_ran/WG1_RL1/TSGR1_102-e/Docs/R1-2006136.zip" TargetMode="External"/><Relationship Id="rId45" Type="http://schemas.openxmlformats.org/officeDocument/2006/relationships/hyperlink" Target="https://www.3gpp.org/ftp/tsg_ran/WG1_RL1/TSGR1_102-e/Docs/R1-2006512.zip" TargetMode="External"/><Relationship Id="rId53" Type="http://schemas.openxmlformats.org/officeDocument/2006/relationships/hyperlink" Target="https://www.3gpp.org/ftp/tsg_ran/WG1_RL1/TSGR1_102-e/Docs/R1-2005240.zip" TargetMode="External"/><Relationship Id="rId58" Type="http://schemas.openxmlformats.org/officeDocument/2006/relationships/hyperlink" Target="https://www.3gpp.org/ftp/tsg_ran/WG1_RL1/TSGR1_102-e/Docs/R1-2005608.zip" TargetMode="External"/><Relationship Id="rId66" Type="http://schemas.openxmlformats.org/officeDocument/2006/relationships/hyperlink" Target="https://www.3gpp.org/ftp/tsg_ran/WG1_RL1/TSGR1_102-e/Docs/R1-2006027.zip" TargetMode="External"/><Relationship Id="rId74" Type="http://schemas.openxmlformats.org/officeDocument/2006/relationships/hyperlink" Target="https://www.3gpp.org/ftp/tsg_ran/WG1_RL1/TSGR1_102-e/Docs/R1-2006650.zip" TargetMode="External"/><Relationship Id="rId79" Type="http://schemas.openxmlformats.org/officeDocument/2006/relationships/hyperlink" Target="https://www.3gpp.org/ftp/tsg_ran/WG1_RL1/TSGR1_102-e/Docs/R1-2006871.zip" TargetMode="External"/><Relationship Id="rId87" Type="http://schemas.openxmlformats.org/officeDocument/2006/relationships/hyperlink" Target="https://www.3gpp.org/ftp/tsg_ran/WG1_RL1/TSGR1_102-e/Docs/R1-2006454.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765.zip" TargetMode="External"/><Relationship Id="rId82" Type="http://schemas.openxmlformats.org/officeDocument/2006/relationships/hyperlink" Target="https://www.3gpp.org/ftp/tsg_ran/WG1_RL1/TSGR1_102-e/Docs/R1-2005609.zip" TargetMode="External"/><Relationship Id="rId90" Type="http://schemas.openxmlformats.org/officeDocument/2006/relationships/hyperlink" Target="https://www.3gpp.org/ftp/tsg_ran/WG1_RL1/TSGR1_102-e/Docs/R1-2006928.zip" TargetMode="External"/><Relationship Id="rId95" Type="http://schemas.openxmlformats.org/officeDocument/2006/relationships/footer" Target="footer2.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image" Target="media/image7.emf"/><Relationship Id="rId27" Type="http://schemas.openxmlformats.org/officeDocument/2006/relationships/hyperlink" Target="https://www.3gpp.org/ftp/tsg_ran/WG1_RL1/TSGR1_102-e/Docs/R1-2005371.zip" TargetMode="External"/><Relationship Id="rId30" Type="http://schemas.openxmlformats.org/officeDocument/2006/relationships/hyperlink" Target="https://www.3gpp.org/ftp/tsg_ran/WG1_RL1/TSGR1_102-e/Docs/R1-2005607.zip" TargetMode="External"/><Relationship Id="rId35" Type="http://schemas.openxmlformats.org/officeDocument/2006/relationships/hyperlink" Target="https://www.3gpp.org/ftp/tsg_ran/WG1_RL1/TSGR1_102-e/Docs/R1-2005766.zip" TargetMode="External"/><Relationship Id="rId43" Type="http://schemas.openxmlformats.org/officeDocument/2006/relationships/hyperlink" Target="https://www.3gpp.org/ftp/tsg_ran/WG1_RL1/TSGR1_102-e/Docs/R1-2006304.zip" TargetMode="External"/><Relationship Id="rId48" Type="http://schemas.openxmlformats.org/officeDocument/2006/relationships/hyperlink" Target="https://www.3gpp.org/ftp/tsg_ran/WG1_RL1/TSGR1_102-e/Docs/R1-2006725.zip" TargetMode="External"/><Relationship Id="rId56" Type="http://schemas.openxmlformats.org/officeDocument/2006/relationships/hyperlink" Target="https://www.3gpp.org/ftp/tsg_ran/WG1_RL1/TSGR1_102-e/Docs/R1-2005372.zip" TargetMode="External"/><Relationship Id="rId64" Type="http://schemas.openxmlformats.org/officeDocument/2006/relationships/hyperlink" Target="https://www.3gpp.org/ftp/tsg_ran/WG1_RL1/TSGR1_102-e/Docs/R1-2005921.zip" TargetMode="External"/><Relationship Id="rId69" Type="http://schemas.openxmlformats.org/officeDocument/2006/relationships/hyperlink" Target="https://www.3gpp.org/ftp/tsg_ran/WG1_RL1/TSGR1_102-e/Docs/R1-2006305.zip" TargetMode="External"/><Relationship Id="rId77" Type="http://schemas.openxmlformats.org/officeDocument/2006/relationships/hyperlink" Target="https://www.3gpp.org/ftp/tsg_ran/WG1_RL1/TSGR1_102-e/Docs/R1-200679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6885.zip" TargetMode="External"/><Relationship Id="rId72" Type="http://schemas.openxmlformats.org/officeDocument/2006/relationships/hyperlink" Target="https://www.3gpp.org/ftp/tsg_ran/WG1_RL1/TSGR1_102-e/Docs/R1-2006571.zip" TargetMode="External"/><Relationship Id="rId80" Type="http://schemas.openxmlformats.org/officeDocument/2006/relationships/hyperlink" Target="https://www.3gpp.org/ftp/tsg_ran/WG1_RL1/TSGR1_102-e/Docs/R1-2006908.zip" TargetMode="External"/><Relationship Id="rId85" Type="http://schemas.openxmlformats.org/officeDocument/2006/relationships/hyperlink" Target="https://www.3gpp.org/ftp/tsg_ran/WG1_RL1/TSGR1_102-e/Docs/R1-2006028.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1_RL1/TSGR1_102-e/Docs/R1-2005241.zip" TargetMode="External"/><Relationship Id="rId33" Type="http://schemas.openxmlformats.org/officeDocument/2006/relationships/hyperlink" Target="https://www.3gpp.org/ftp/tsg_ran/WG1_RL1/TSGR1_102-e/Docs/R1-2005734.zip" TargetMode="External"/><Relationship Id="rId38" Type="http://schemas.openxmlformats.org/officeDocument/2006/relationships/hyperlink" Target="https://www.3gpp.org/ftp/tsg_ran/WG1_RL1/TSGR1_102-e/Docs/R1-2005920.zip" TargetMode="External"/><Relationship Id="rId46" Type="http://schemas.openxmlformats.org/officeDocument/2006/relationships/hyperlink" Target="https://www.3gpp.org/ftp/tsg_ran/WG1_RL1/TSGR1_102-e/Docs/R1-2006628.zip" TargetMode="External"/><Relationship Id="rId59" Type="http://schemas.openxmlformats.org/officeDocument/2006/relationships/hyperlink" Target="https://www.3gpp.org/ftp/tsg_ran/WG1_RL1/TSGR1_102-e/Docs/R1-2005700.zip" TargetMode="External"/><Relationship Id="rId67" Type="http://schemas.openxmlformats.org/officeDocument/2006/relationships/hyperlink" Target="https://www.3gpp.org/ftp/tsg_ran/WG1_RL1/TSGR1_102-e/Docs/R1-2006137.zip" TargetMode="External"/><Relationship Id="rId20" Type="http://schemas.openxmlformats.org/officeDocument/2006/relationships/image" Target="media/image5.png"/><Relationship Id="rId41" Type="http://schemas.openxmlformats.org/officeDocument/2006/relationships/hyperlink" Target="https://www.3gpp.org/ftp/tsg_ran/WG1_RL1/TSGR1_102-e/Docs/R1-2006237.zip" TargetMode="External"/><Relationship Id="rId54" Type="http://schemas.openxmlformats.org/officeDocument/2006/relationships/hyperlink" Target="https://www.3gpp.org/ftp/tsg_ran/WG1_RL1/TSGR1_102-e/Docs/R1-2005242.zip" TargetMode="External"/><Relationship Id="rId62" Type="http://schemas.openxmlformats.org/officeDocument/2006/relationships/hyperlink" Target="https://www.3gpp.org/ftp/tsg_ran/WG1_RL1/TSGR1_102-e/Docs/R1-2005767.zip" TargetMode="External"/><Relationship Id="rId70" Type="http://schemas.openxmlformats.org/officeDocument/2006/relationships/hyperlink" Target="https://www.3gpp.org/ftp/tsg_ran/WG1_RL1/TSGR1_102-e/Docs/R1-2006453.zip" TargetMode="External"/><Relationship Id="rId75" Type="http://schemas.openxmlformats.org/officeDocument/2006/relationships/hyperlink" Target="https://www.3gpp.org/ftp/tsg_ran/WG1_RL1/TSGR1_102-e/Docs/R1-2006655.zip" TargetMode="External"/><Relationship Id="rId83" Type="http://schemas.openxmlformats.org/officeDocument/2006/relationships/hyperlink" Target="https://www.3gpp.org/ftp/tsg_ran/WG1_RL1/TSGR1_102-e/Docs/R1-2005868.zip" TargetMode="External"/><Relationship Id="rId88" Type="http://schemas.openxmlformats.org/officeDocument/2006/relationships/hyperlink" Target="https://www.3gpp.org/ftp/tsg_ran/WG1_RL1/TSGR1_102-e/Docs/R1-2006727.zip" TargetMode="External"/><Relationship Id="rId91" Type="http://schemas.openxmlformats.org/officeDocument/2006/relationships/hyperlink" Target="https://www.3gpp.org/ftp/tsg_ran/WG1_RL1/TSGR1_102-e/Docs/R1-2006986.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hyperlink" Target="https://www.3gpp.org/ftp/tsg_ran/WG1_RL1/TSGR1_102-e/Docs/R1-2005543.zip" TargetMode="External"/><Relationship Id="rId36" Type="http://schemas.openxmlformats.org/officeDocument/2006/relationships/hyperlink" Target="https://www.3gpp.org/ftp/tsg_ran/WG1_RL1/TSGR1_102-e/Docs/R1-2005787.zip" TargetMode="External"/><Relationship Id="rId49" Type="http://schemas.openxmlformats.org/officeDocument/2006/relationships/hyperlink" Target="https://www.3gpp.org/ftp/tsg_ran/WG1_RL1/TSGR1_102-e/Docs/R1-2006797.zip" TargetMode="External"/><Relationship Id="rId57" Type="http://schemas.openxmlformats.org/officeDocument/2006/relationships/hyperlink" Target="https://www.3gpp.org/ftp/tsg_ran/WG1_RL1/TSGR1_102-e/Docs/R1-2005568.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43.zip" TargetMode="External"/><Relationship Id="rId44" Type="http://schemas.openxmlformats.org/officeDocument/2006/relationships/hyperlink" Target="https://www.3gpp.org/ftp/tsg_ran/WG1_RL1/TSGR1_102-e/Docs/R1-2006452.zip" TargetMode="External"/><Relationship Id="rId52" Type="http://schemas.openxmlformats.org/officeDocument/2006/relationships/hyperlink" Target="https://www.3gpp.org/ftp/tsg_ran/WG1_RL1/TSGR1_102-e/Docs/R1-2006907.zip" TargetMode="External"/><Relationship Id="rId60" Type="http://schemas.openxmlformats.org/officeDocument/2006/relationships/hyperlink" Target="https://www.3gpp.org/ftp/tsg_ran/WG1_RL1/TSGR1_102-e/Docs/R1-2005735.zip" TargetMode="External"/><Relationship Id="rId65" Type="http://schemas.openxmlformats.org/officeDocument/2006/relationships/hyperlink" Target="https://www.3gpp.org/ftp/tsg_ran/WG1_RL1/TSGR1_102-e/Docs/R1-2005950.zip" TargetMode="External"/><Relationship Id="rId73" Type="http://schemas.openxmlformats.org/officeDocument/2006/relationships/hyperlink" Target="https://www.3gpp.org/ftp/tsg_ran/WG1_RL1/TSGR1_102-e/Docs/R1-2006629.zip" TargetMode="External"/><Relationship Id="rId78" Type="http://schemas.openxmlformats.org/officeDocument/2006/relationships/hyperlink" Target="https://www.3gpp.org/ftp/tsg_ran/WG1_RL1/TSGR1_102-e/Docs/R1-2006854.zip" TargetMode="External"/><Relationship Id="rId81" Type="http://schemas.openxmlformats.org/officeDocument/2006/relationships/hyperlink" Target="https://www.3gpp.org/ftp/tsg_ran/WG1_RL1/TSGR1_102-e/Docs/R1-2005373.zip" TargetMode="External"/><Relationship Id="rId86" Type="http://schemas.openxmlformats.org/officeDocument/2006/relationships/hyperlink" Target="https://www.3gpp.org/ftp/tsg_ran/WG1_RL1/TSGR1_102-e/Docs/R1-2006138.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9" Type="http://schemas.openxmlformats.org/officeDocument/2006/relationships/hyperlink" Target="https://www.3gpp.org/ftp/tsg_ran/WG1_RL1/TSGR1_102-e/Docs/R1-20060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2EC213-AED3-416D-AAE2-7F6AB28C7FD9}">
  <ds:schemaRefs>
    <ds:schemaRef ds:uri="http://schemas.openxmlformats.org/officeDocument/2006/bibliography"/>
  </ds:schemaRefs>
</ds:datastoreItem>
</file>

<file path=customXml/itemProps5.xml><?xml version="1.0" encoding="utf-8"?>
<ds:datastoreItem xmlns:ds="http://schemas.openxmlformats.org/officeDocument/2006/customXml" ds:itemID="{4EA0362E-EF14-4181-831E-D327E3AA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22</Pages>
  <Words>8342</Words>
  <Characters>47553</Characters>
  <Application>Microsoft Office Word</Application>
  <DocSecurity>0</DocSecurity>
  <Lines>396</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NOKIA</cp:lastModifiedBy>
  <cp:revision>4</cp:revision>
  <cp:lastPrinted>2011-11-09T07:49:00Z</cp:lastPrinted>
  <dcterms:created xsi:type="dcterms:W3CDTF">2020-08-19T15:36:00Z</dcterms:created>
  <dcterms:modified xsi:type="dcterms:W3CDTF">2020-08-19T16:07:00Z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