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a"/>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a"/>
        <w:numPr>
          <w:ilvl w:val="0"/>
          <w:numId w:val="11"/>
        </w:numPr>
        <w:rPr>
          <w:rFonts w:eastAsia="SimSun"/>
          <w:lang w:eastAsia="en-US"/>
        </w:rPr>
      </w:pPr>
      <w:r>
        <w:rPr>
          <w:rFonts w:eastAsia="SimSun"/>
          <w:lang w:eastAsia="en-US"/>
        </w:rPr>
        <w:t>Similarly, Listen Before Talk (</w:t>
      </w:r>
      <w:proofErr w:type="gramStart"/>
      <w:r>
        <w:rPr>
          <w:rFonts w:eastAsia="SimSun"/>
          <w:lang w:eastAsia="en-US"/>
        </w:rPr>
        <w:t>LBT)  protocol</w:t>
      </w:r>
      <w:proofErr w:type="gramEnd"/>
      <w:r>
        <w:rPr>
          <w:rFonts w:eastAsia="SimSun"/>
          <w:lang w:eastAsia="en-US"/>
        </w:rPr>
        <w:t xml:space="preserve"> is not mandated in China, Japan, South Korea, Australia and Singapore.</w:t>
      </w:r>
    </w:p>
    <w:p w:rsidR="00B52596" w:rsidRDefault="00D05036">
      <w:pPr>
        <w:pStyle w:val="a"/>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a"/>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a"/>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rsidR="00B52596" w:rsidRDefault="00D05036">
      <w:pPr>
        <w:pStyle w:val="a"/>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2"/>
        <w:rPr>
          <w:rFonts w:ascii="Times New Roman" w:eastAsia="SimSun" w:hAnsi="Times New Roman"/>
          <w:sz w:val="20"/>
        </w:rPr>
      </w:pPr>
      <w:r>
        <w:rPr>
          <w:rFonts w:ascii="Times New Roman" w:eastAsia="SimSun" w:hAnsi="Times New Roman"/>
          <w:sz w:val="20"/>
        </w:rPr>
        <w:t>Occupied Channel Bandwidth in ETSI BRAN EN 302 567</w:t>
      </w:r>
    </w:p>
    <w:p w:rsidR="00B52596" w:rsidRDefault="00DF784D">
      <w:pPr>
        <w:rPr>
          <w:rFonts w:eastAsia="SimSun"/>
          <w:lang w:eastAsia="en-US"/>
        </w:rPr>
      </w:pPr>
      <w:r>
        <w:rPr>
          <w:rFonts w:eastAsia="SimSun"/>
          <w:noProof/>
          <w:lang w:val="en-US" w:eastAsia="ja-JP"/>
        </w:rPr>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B147A7" w:rsidRDefault="00B147A7">
                  <w:pPr>
                    <w:rPr>
                      <w:lang w:eastAsia="en-US"/>
                    </w:rPr>
                  </w:pPr>
                  <w:r>
                    <w:rPr>
                      <w:lang w:eastAsia="en-US"/>
                    </w:rPr>
                    <w:t>4.2.10.3</w:t>
                  </w:r>
                  <w:r>
                    <w:rPr>
                      <w:lang w:eastAsia="en-US"/>
                    </w:rPr>
                    <w:tab/>
                    <w:t>Requirements</w:t>
                  </w:r>
                </w:p>
                <w:p w:rsidR="00B147A7" w:rsidRDefault="00B147A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w:r>
      <w:r w:rsidR="00D05036">
        <w:rPr>
          <w:rFonts w:eastAsia="SimSun"/>
          <w:lang w:eastAsia="en-US"/>
        </w:rPr>
        <w:t xml:space="preserve">ETSI BRAN Harmonized standard EN 302 </w:t>
      </w:r>
      <w:proofErr w:type="gramStart"/>
      <w:r w:rsidR="00D05036">
        <w:rPr>
          <w:rFonts w:eastAsia="SimSun"/>
          <w:lang w:eastAsia="en-US"/>
        </w:rPr>
        <w:t>567  V2.1.20</w:t>
      </w:r>
      <w:proofErr w:type="gramEnd"/>
      <w:r w:rsidR="00D05036">
        <w:rPr>
          <w:rFonts w:eastAsia="SimSun"/>
          <w:lang w:eastAsia="en-US"/>
        </w:rPr>
        <w:t xml:space="preserve">, the section on Occupied Channel Bandwidth, [1, Section 4.2.10.3] specifies the requirements for OCB criterion as follows. </w:t>
      </w:r>
    </w:p>
    <w:p w:rsidR="00B52596" w:rsidRDefault="00B52596">
      <w:pPr>
        <w:rPr>
          <w:rFonts w:eastAsia="SimSun"/>
          <w:lang w:eastAsia="en-US"/>
        </w:rPr>
      </w:pPr>
    </w:p>
    <w:p w:rsidR="00B52596" w:rsidRDefault="00DF784D">
      <w:pPr>
        <w:rPr>
          <w:rFonts w:eastAsia="SimSun"/>
          <w:lang w:eastAsia="en-US"/>
        </w:rPr>
      </w:pPr>
      <w:r>
        <w:rPr>
          <w:rFonts w:eastAsia="SimSun"/>
          <w:noProof/>
          <w:lang w:val="en-US" w:eastAsia="ja-JP"/>
        </w:rPr>
        <w:pict>
          <v:shape id="_x0000_s1027" type="#_x0000_t202" style="position:absolute;left:0;text-align:left;margin-left:0;margin-top:32.55pt;width:479.05pt;height:60.5pt;z-index:251658240;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AlFwIAADMEAAAOAAAAZHJzL2Uyb0RvYy54bWysU9uO2yAQfa/Uf0C8N3a8STax4qy2WaWq&#10;tL1Iu/0AjHGMCgwFEnv79R1wNpveXqrygBhmOMycM7O+GbQiR+G8BFPR6SSnRBgOjTT7in553L1Z&#10;UuIDMw1TYERFn4SnN5vXr9a9LUUBHahGOIIgxpe9rWgXgi2zzPNOaOYnYIVBZwtOs4Cm22eNYz2i&#10;a5UVeb7IenCNdcCF93h7NzrpJuG3reDhU9t6EYiqKOYW0u7SXsc926xZuXfMdpKf0mD/kIVm0uCn&#10;Z6g7Fhg5OPkblJbcgYc2TDjoDNpWcpFqwGqm+S/VPHTMilQLkuPtmSb//2D5x+NnR2RT0YISwzRK&#10;9CiGQN7CQIrITm99iUEPFsPCgNeocqrU23vgXz0xsO2Y2Ytb56DvBGswu2l8mV08HXF8BKn7D9Dg&#10;N+wQIAENrdOROiSDIDqq9HRWJqbC8XKRL69WV3NKOPquF8vFapW+YOXza+t8eCdAk3ioqEPlEzo7&#10;3vsQs2Hlc0j8zIOSzU4qlQy3r7fKkSPDLtmldUL/KUwZ0ld0NS/mIwF/hcjT+hOElgHbXUld0eVl&#10;kDInviJFI1lhqIckTCIzcllD84QEOhi7GKcODx2475T02MEV9d8OzAlK1HuDIqyms1ls+WTM5tcF&#10;Gu7SU196mOEIVdFAyXjchjQmkR8DtyhWKxOPL5mcUsbOTPSepii2/qWdol5mffMD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9BsAlFwIAADMEAAAOAAAAAAAAAAAAAAAAAC4CAABkcnMvZTJvRG9jLnhtbFBLAQItABQABgAI&#10;AAAAIQDZqXwL3QAAAAcBAAAPAAAAAAAAAAAAAAAAAHEEAABkcnMvZG93bnJldi54bWxQSwUGAAAA&#10;AAQABADzAAAAewUAAAAA&#10;">
            <v:textbox>
              <w:txbxContent>
                <w:p w:rsidR="00B147A7" w:rsidRDefault="00B147A7">
                  <w:pPr>
                    <w:rPr>
                      <w:lang w:eastAsia="en-US"/>
                    </w:rPr>
                  </w:pPr>
                  <w:r>
                    <w:rPr>
                      <w:lang w:eastAsia="en-US"/>
                    </w:rPr>
                    <w:t>These measurements need to be performed at normal and extreme test conditions.</w:t>
                  </w:r>
                </w:p>
                <w:p w:rsidR="00B147A7" w:rsidRDefault="00B147A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w:r>
      <w:r w:rsidR="00D05036">
        <w:rPr>
          <w:rFonts w:eastAsia="SimSun"/>
          <w:lang w:eastAsia="en-US"/>
        </w:rPr>
        <w:t xml:space="preserve">Further ETSI EN 302 </w:t>
      </w:r>
      <w:proofErr w:type="gramStart"/>
      <w:r w:rsidR="00D05036">
        <w:rPr>
          <w:rFonts w:eastAsia="SimSun"/>
          <w:lang w:eastAsia="en-US"/>
        </w:rPr>
        <w:t>567  V2.1.20</w:t>
      </w:r>
      <w:proofErr w:type="gramEnd"/>
      <w:r w:rsidR="00D05036">
        <w:rPr>
          <w:rFonts w:eastAsia="SimSun"/>
          <w:lang w:eastAsia="en-US"/>
        </w:rPr>
        <w:t xml:space="preserve">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a"/>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a"/>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proofErr w:type="spellStart"/>
            <w:r>
              <w:rPr>
                <w:rFonts w:eastAsia="SimSun"/>
                <w:lang w:eastAsia="zh-CN"/>
              </w:rPr>
              <w:t>S</w:t>
            </w:r>
            <w:r>
              <w:rPr>
                <w:rFonts w:eastAsia="SimSun" w:hint="eastAsia"/>
                <w:lang w:eastAsia="zh-CN"/>
              </w:rPr>
              <w:t>upport</w:t>
            </w:r>
            <w:r>
              <w:rPr>
                <w:rFonts w:eastAsia="SimSun" w:hint="eastAsia"/>
                <w:lang w:eastAsia="en-US"/>
              </w:rPr>
              <w:t>Alt</w:t>
            </w:r>
            <w:proofErr w:type="spellEnd"/>
            <w:r>
              <w:rPr>
                <w:rFonts w:eastAsia="SimSun"/>
                <w:lang w:eastAsia="en-US"/>
              </w:rPr>
              <w:t xml:space="preserve"> 2</w:t>
            </w:r>
          </w:p>
        </w:tc>
      </w:tr>
      <w:tr w:rsidR="00B52596">
        <w:tc>
          <w:tcPr>
            <w:tcW w:w="2785" w:type="dxa"/>
          </w:tcPr>
          <w:p w:rsidR="00B52596" w:rsidRDefault="00D05036">
            <w:pPr>
              <w:rPr>
                <w:rFonts w:eastAsia="ＭＳ 明朝"/>
                <w:lang w:eastAsia="ja-JP"/>
              </w:rPr>
            </w:pPr>
            <w:r>
              <w:rPr>
                <w:rFonts w:eastAsia="ＭＳ 明朝" w:hint="eastAsia"/>
                <w:lang w:eastAsia="ja-JP"/>
              </w:rPr>
              <w:t>S</w:t>
            </w:r>
            <w:r>
              <w:rPr>
                <w:rFonts w:eastAsia="ＭＳ 明朝"/>
                <w:lang w:eastAsia="ja-JP"/>
              </w:rPr>
              <w:t>harp</w:t>
            </w:r>
          </w:p>
        </w:tc>
        <w:tc>
          <w:tcPr>
            <w:tcW w:w="6577" w:type="dxa"/>
          </w:tcPr>
          <w:p w:rsidR="00B52596" w:rsidRDefault="00D05036">
            <w:pPr>
              <w:rPr>
                <w:rFonts w:eastAsia="ＭＳ 明朝"/>
                <w:lang w:eastAsia="ja-JP"/>
              </w:rPr>
            </w:pPr>
            <w:r>
              <w:rPr>
                <w:rFonts w:eastAsia="ＭＳ 明朝" w:hint="eastAsia"/>
                <w:lang w:eastAsia="ja-JP"/>
              </w:rPr>
              <w:t>Alt 2</w:t>
            </w:r>
          </w:p>
        </w:tc>
      </w:tr>
      <w:tr w:rsidR="00B52596">
        <w:tc>
          <w:tcPr>
            <w:tcW w:w="2785" w:type="dxa"/>
          </w:tcPr>
          <w:p w:rsidR="00B52596" w:rsidRDefault="00D05036">
            <w:pPr>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rsidR="00B52596" w:rsidRDefault="00D05036">
            <w:pPr>
              <w:pStyle w:val="a"/>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t>Nokia</w:t>
            </w:r>
          </w:p>
        </w:tc>
        <w:tc>
          <w:tcPr>
            <w:tcW w:w="6577" w:type="dxa"/>
          </w:tcPr>
          <w:p w:rsidR="00B52596" w:rsidRDefault="00D05036">
            <w:pPr>
              <w:rPr>
                <w:lang w:eastAsia="en-US"/>
              </w:rPr>
            </w:pPr>
            <w:bookmarkStart w:id="0" w:name="_Hlk48646325"/>
            <w:r>
              <w:rPr>
                <w:lang w:eastAsia="en-US"/>
              </w:rPr>
              <w:t>Alt 2</w:t>
            </w:r>
            <w:bookmarkEnd w:id="0"/>
            <w:r>
              <w:rPr>
                <w:lang w:eastAsia="en-US"/>
              </w:rPr>
              <w:t xml:space="preserve">. It is </w:t>
            </w:r>
            <w:proofErr w:type="gramStart"/>
            <w:r>
              <w:rPr>
                <w:lang w:eastAsia="en-US"/>
              </w:rPr>
              <w:t>sufficient</w:t>
            </w:r>
            <w:proofErr w:type="gramEnd"/>
            <w:r>
              <w:rPr>
                <w:lang w:eastAsia="en-US"/>
              </w:rPr>
              <w:t xml:space="preserve">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lastRenderedPageBreak/>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w:t>
            </w:r>
            <w:proofErr w:type="gramStart"/>
            <w:r>
              <w:rPr>
                <w:lang w:eastAsia="en-US"/>
              </w:rPr>
              <w:t>similar to</w:t>
            </w:r>
            <w:proofErr w:type="gramEnd"/>
            <w:r>
              <w:rPr>
                <w:lang w:eastAsia="en-US"/>
              </w:rPr>
              <w:t xml:space="preserve">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DF784D">
            <w:pPr>
              <w:rPr>
                <w:lang w:eastAsia="en-US"/>
              </w:rPr>
            </w:pPr>
            <w:hyperlink r:id="rId14" w:history="1">
              <w:r w:rsidR="00D05036">
                <w:rPr>
                  <w:rStyle w:val="afc"/>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w:t>
            </w:r>
            <w:proofErr w:type="gramStart"/>
            <w:r>
              <w:rPr>
                <w:lang w:val="en-US" w:eastAsia="en-US"/>
              </w:rPr>
              <w:t>)  in</w:t>
            </w:r>
            <w:proofErr w:type="gramEnd"/>
            <w:r>
              <w:rPr>
                <w:lang w:val="en-US" w:eastAsia="en-US"/>
              </w:rPr>
              <w:t xml:space="preserve">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ＭＳ 明朝"/>
                <w:lang w:eastAsia="ja-JP"/>
              </w:rPr>
            </w:pPr>
            <w:r>
              <w:rPr>
                <w:rFonts w:eastAsia="ＭＳ 明朝" w:hint="eastAsia"/>
                <w:lang w:eastAsia="ja-JP"/>
              </w:rPr>
              <w:t>NTT DOCOMO</w:t>
            </w:r>
          </w:p>
        </w:tc>
        <w:tc>
          <w:tcPr>
            <w:tcW w:w="6577" w:type="dxa"/>
          </w:tcPr>
          <w:p w:rsidR="00B52596" w:rsidRDefault="00D05036">
            <w:pPr>
              <w:rPr>
                <w:rFonts w:eastAsia="ＭＳ 明朝"/>
                <w:lang w:eastAsia="ja-JP"/>
              </w:rPr>
            </w:pPr>
            <w:r>
              <w:rPr>
                <w:rFonts w:eastAsia="ＭＳ 明朝" w:hint="eastAsia"/>
                <w:lang w:eastAsia="ja-JP"/>
              </w:rPr>
              <w:t>Alt 2</w:t>
            </w:r>
          </w:p>
        </w:tc>
      </w:tr>
      <w:tr w:rsidR="00B52596">
        <w:tc>
          <w:tcPr>
            <w:tcW w:w="2785" w:type="dxa"/>
          </w:tcPr>
          <w:p w:rsidR="00B52596" w:rsidRDefault="00D05036">
            <w:pPr>
              <w:rPr>
                <w:rFonts w:eastAsia="ＭＳ 明朝"/>
                <w:lang w:eastAsia="ja-JP"/>
              </w:rPr>
            </w:pPr>
            <w:proofErr w:type="spellStart"/>
            <w:r>
              <w:t>InterDigital</w:t>
            </w:r>
            <w:proofErr w:type="spellEnd"/>
          </w:p>
        </w:tc>
        <w:tc>
          <w:tcPr>
            <w:tcW w:w="6577" w:type="dxa"/>
          </w:tcPr>
          <w:p w:rsidR="00B52596" w:rsidRDefault="00D05036">
            <w:pPr>
              <w:rPr>
                <w:rFonts w:eastAsia="ＭＳ 明朝"/>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F64097">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F64097">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ＭＳ 明朝"/>
                <w:lang w:eastAsia="ja-JP"/>
              </w:rPr>
            </w:pPr>
            <w:r>
              <w:rPr>
                <w:rFonts w:eastAsia="ＭＳ 明朝" w:hint="eastAsia"/>
                <w:lang w:eastAsia="ja-JP"/>
              </w:rPr>
              <w:t>A</w:t>
            </w:r>
            <w:r>
              <w:rPr>
                <w:rFonts w:eastAsia="ＭＳ 明朝"/>
                <w:lang w:eastAsia="ja-JP"/>
              </w:rPr>
              <w:t>lt 2</w:t>
            </w:r>
          </w:p>
        </w:tc>
      </w:tr>
    </w:tbl>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af7"/>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w:t>
            </w:r>
            <w:r>
              <w:rPr>
                <w:rFonts w:eastAsia="SimSun"/>
              </w:rPr>
              <w:lastRenderedPageBreak/>
              <w: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w:t>
            </w:r>
            <w:proofErr w:type="gramEnd"/>
            <w:r>
              <w:rPr>
                <w:rFonts w:eastAsia="SimSun"/>
                <w:color w:val="000000"/>
              </w:rPr>
              <w:t>ms Channel Occupancy Time as defined in step 5) above.</w:t>
            </w:r>
          </w:p>
          <w:p w:rsidR="00B52596" w:rsidRDefault="00D05036">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CN"/>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a5"/>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a5"/>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a"/>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a"/>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 xml:space="preserve">Note that this is just to have a common understanding of this </w:t>
      </w:r>
      <w:proofErr w:type="gramStart"/>
      <w:r>
        <w:rPr>
          <w:rFonts w:eastAsia="SimSun"/>
          <w:lang w:eastAsia="en-US"/>
        </w:rPr>
        <w:t>particular regulation</w:t>
      </w:r>
      <w:proofErr w:type="gramEnd"/>
      <w:r>
        <w:rPr>
          <w:rFonts w:eastAsia="SimSun"/>
          <w:lang w:eastAsia="en-US"/>
        </w:rPr>
        <w:t>.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ＭＳ 明朝"/>
                <w:lang w:eastAsia="ja-JP"/>
              </w:rPr>
            </w:pPr>
            <w:r>
              <w:rPr>
                <w:rFonts w:eastAsia="ＭＳ 明朝" w:hint="eastAsia"/>
                <w:lang w:eastAsia="ja-JP"/>
              </w:rPr>
              <w:t>Sharp</w:t>
            </w:r>
          </w:p>
        </w:tc>
        <w:tc>
          <w:tcPr>
            <w:tcW w:w="6577" w:type="dxa"/>
          </w:tcPr>
          <w:p w:rsidR="00B52596" w:rsidRDefault="00D05036">
            <w:pPr>
              <w:wordWrap/>
              <w:rPr>
                <w:rFonts w:eastAsia="SimSun"/>
                <w:lang w:eastAsia="en-US"/>
              </w:rPr>
            </w:pPr>
            <w:r>
              <w:rPr>
                <w:rFonts w:eastAsia="ＭＳ 明朝" w:hint="eastAsia"/>
                <w:lang w:eastAsia="ja-JP"/>
              </w:rPr>
              <w:t xml:space="preserve">Alt 2 according to our </w:t>
            </w:r>
            <w:r>
              <w:rPr>
                <w:rFonts w:eastAsia="ＭＳ 明朝"/>
                <w:lang w:eastAsia="ja-JP"/>
              </w:rPr>
              <w:t xml:space="preserve">understanding </w:t>
            </w:r>
            <w:proofErr w:type="spellStart"/>
            <w:r>
              <w:rPr>
                <w:rFonts w:eastAsia="ＭＳ 明朝"/>
                <w:lang w:eastAsia="ja-JP"/>
              </w:rPr>
              <w:t>onstep</w:t>
            </w:r>
            <w:proofErr w:type="spellEnd"/>
            <w:r>
              <w:rPr>
                <w:rFonts w:eastAsia="ＭＳ 明朝"/>
                <w:lang w:eastAsia="ja-JP"/>
              </w:rPr>
              <w:t xml:space="preserve"> </w:t>
            </w:r>
            <w:r>
              <w:rPr>
                <w:rFonts w:eastAsia="ＭＳ 明朝" w:hint="eastAsia"/>
                <w:lang w:eastAsia="ja-JP"/>
              </w:rPr>
              <w:t>4</w:t>
            </w:r>
            <w:r>
              <w:rPr>
                <w:rFonts w:eastAsia="ＭＳ 明朝"/>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ＭＳ 明朝"/>
                <w:lang w:eastAsia="ja-JP"/>
              </w:rPr>
            </w:pPr>
            <w:r>
              <w:rPr>
                <w:rFonts w:eastAsia="ＭＳ 明朝" w:hint="eastAsia"/>
                <w:lang w:eastAsia="ja-JP"/>
              </w:rPr>
              <w:t>NTT DOCOMO</w:t>
            </w:r>
          </w:p>
        </w:tc>
        <w:tc>
          <w:tcPr>
            <w:tcW w:w="6577" w:type="dxa"/>
          </w:tcPr>
          <w:p w:rsidR="00B52596" w:rsidRDefault="00D05036">
            <w:pPr>
              <w:wordWrap/>
              <w:rPr>
                <w:rFonts w:eastAsia="ＭＳ 明朝"/>
                <w:lang w:eastAsia="ja-JP"/>
              </w:rPr>
            </w:pPr>
            <w:r>
              <w:rPr>
                <w:rFonts w:eastAsia="ＭＳ 明朝" w:hint="eastAsia"/>
                <w:lang w:eastAsia="ja-JP"/>
              </w:rPr>
              <w:t xml:space="preserve">Alt 1. </w:t>
            </w:r>
            <w:r>
              <w:rPr>
                <w:rFonts w:eastAsia="ＭＳ 明朝"/>
                <w:lang w:eastAsia="ja-JP"/>
              </w:rPr>
              <w:t xml:space="preserve">Same reading as LG. </w:t>
            </w:r>
          </w:p>
        </w:tc>
      </w:tr>
      <w:tr w:rsidR="00B52596">
        <w:tc>
          <w:tcPr>
            <w:tcW w:w="2785" w:type="dxa"/>
          </w:tcPr>
          <w:p w:rsidR="00B52596" w:rsidRDefault="00D05036">
            <w:pPr>
              <w:wordWrap/>
              <w:rPr>
                <w:rFonts w:eastAsia="ＭＳ 明朝"/>
                <w:lang w:eastAsia="ja-JP"/>
              </w:rPr>
            </w:pPr>
            <w:proofErr w:type="spellStart"/>
            <w:r>
              <w:t>InterDigital</w:t>
            </w:r>
            <w:proofErr w:type="spellEnd"/>
          </w:p>
        </w:tc>
        <w:tc>
          <w:tcPr>
            <w:tcW w:w="6577" w:type="dxa"/>
          </w:tcPr>
          <w:p w:rsidR="00B52596" w:rsidRDefault="00D05036">
            <w:pPr>
              <w:wordWrap/>
              <w:rPr>
                <w:rFonts w:eastAsia="ＭＳ 明朝"/>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a"/>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a"/>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a"/>
              <w:numPr>
                <w:ilvl w:val="0"/>
                <w:numId w:val="13"/>
              </w:numPr>
              <w:jc w:val="both"/>
              <w:rPr>
                <w:rFonts w:eastAsia="SimSun"/>
                <w:kern w:val="2"/>
              </w:rPr>
            </w:pPr>
            <w:r>
              <w:rPr>
                <w:rFonts w:eastAsia="SimSun"/>
                <w:kern w:val="2"/>
              </w:rPr>
              <w:t xml:space="preserve">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w:t>
            </w:r>
            <w:proofErr w:type="gramStart"/>
            <w:r>
              <w:rPr>
                <w:rFonts w:eastAsia="SimSun"/>
                <w:kern w:val="2"/>
              </w:rPr>
              <w:t>In essence, redrawing</w:t>
            </w:r>
            <w:proofErr w:type="gramEnd"/>
            <w:r>
              <w:rPr>
                <w:rFonts w:eastAsia="SimSun"/>
                <w:kern w:val="2"/>
              </w:rPr>
              <w:t xml:space="preserve"> the back-off counter value every time the medium is busy destroys any sense of contention control and we do not believe this should be the correct behaviour.</w:t>
            </w:r>
          </w:p>
          <w:p w:rsidR="00B52596" w:rsidRDefault="00B52596">
            <w:pPr>
              <w:pStyle w:val="a"/>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F64097">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F64097">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ＭＳ 明朝"/>
                <w:lang w:eastAsia="ja-JP"/>
              </w:rPr>
            </w:pPr>
            <w:r>
              <w:rPr>
                <w:rFonts w:eastAsia="ＭＳ 明朝" w:hint="eastAsia"/>
                <w:lang w:eastAsia="ja-JP"/>
              </w:rPr>
              <w:t>W</w:t>
            </w:r>
            <w:r>
              <w:rPr>
                <w:rFonts w:eastAsia="ＭＳ 明朝"/>
                <w:lang w:eastAsia="ja-JP"/>
              </w:rPr>
              <w:t xml:space="preserve">e agree with Intel. Our understanding of EN 302 567 is closer to Alt 1. There is no explicit description regarding </w:t>
            </w:r>
            <w:r>
              <w:rPr>
                <w:rFonts w:eastAsia="ＭＳ 明朝" w:hint="eastAsia"/>
                <w:lang w:eastAsia="ja-JP"/>
              </w:rPr>
              <w:t>r</w:t>
            </w:r>
            <w:r>
              <w:rPr>
                <w:rFonts w:eastAsia="ＭＳ 明朝"/>
                <w:lang w:eastAsia="ja-JP"/>
              </w:rPr>
              <w:t>esetting counter.</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1"/>
        <w:tabs>
          <w:tab w:val="left" w:pos="9090"/>
        </w:tabs>
        <w:rPr>
          <w:rFonts w:ascii="Times New Roman" w:eastAsia="SimSun" w:hAnsi="Times New Roman"/>
          <w:sz w:val="20"/>
        </w:rPr>
      </w:pPr>
      <w:r>
        <w:rPr>
          <w:rFonts w:ascii="Times New Roman" w:eastAsia="SimSun" w:hAnsi="Times New Roman"/>
          <w:sz w:val="20"/>
        </w:rPr>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lastRenderedPageBreak/>
        <w:t>The section summarises key proposals and observations from submitted contributions.  A few proposals and questions to resolve based on the general leaning of the companies are captured in Section 4.</w:t>
      </w:r>
    </w:p>
    <w:p w:rsidR="00B52596" w:rsidRDefault="00D05036">
      <w:pPr>
        <w:pStyle w:val="2"/>
        <w:rPr>
          <w:rFonts w:ascii="Times New Roman" w:eastAsia="SimSun" w:hAnsi="Times New Roman"/>
          <w:sz w:val="20"/>
        </w:rPr>
      </w:pPr>
      <w:r>
        <w:rPr>
          <w:rFonts w:ascii="Times New Roman" w:eastAsia="SimSun" w:hAnsi="Times New Roman"/>
          <w:sz w:val="20"/>
        </w:rPr>
        <w:t>Support No-LBT and LBT operating modes</w:t>
      </w:r>
    </w:p>
    <w:p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a"/>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a"/>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 xml:space="preserve">Proposal #4: Study </w:t>
            </w:r>
            <w:proofErr w:type="gramStart"/>
            <w:r>
              <w:rPr>
                <w:rFonts w:eastAsia="SimSun"/>
              </w:rPr>
              <w:t>whether or not</w:t>
            </w:r>
            <w:proofErr w:type="gramEnd"/>
            <w:r>
              <w:rPr>
                <w:rFonts w:eastAsia="SimSun"/>
              </w:rPr>
              <w:t xml:space="preserve">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proofErr w:type="spellStart"/>
            <w:r>
              <w:rPr>
                <w:rFonts w:eastAsia="Malgun Gothic"/>
              </w:rPr>
              <w:t>InterDigital</w:t>
            </w:r>
            <w:proofErr w:type="spellEnd"/>
          </w:p>
        </w:tc>
        <w:tc>
          <w:tcPr>
            <w:tcW w:w="7796" w:type="dxa"/>
          </w:tcPr>
          <w:p w:rsidR="00B52596" w:rsidRDefault="00D05036">
            <w:pPr>
              <w:rPr>
                <w:rFonts w:eastAsia="SimSun"/>
              </w:rPr>
            </w:pPr>
            <w:r>
              <w:rPr>
                <w:rFonts w:eastAsia="SimSun"/>
              </w:rPr>
              <w:t>For modes of operation, supporting no LBT, omni-directional LBT and directional LBT 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w:t>
      </w:r>
      <w:r>
        <w:rPr>
          <w:rFonts w:eastAsia="SimSun"/>
          <w:lang w:eastAsia="en-US"/>
        </w:rPr>
        <w:lastRenderedPageBreak/>
        <w:t>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t>
            </w:r>
            <w:proofErr w:type="spellStart"/>
            <w:r>
              <w:rPr>
                <w:rFonts w:eastAsia="SimSun"/>
                <w:lang w:eastAsia="zh-CN"/>
              </w:rPr>
              <w:t>W</w:t>
            </w:r>
            <w:r>
              <w:rPr>
                <w:rFonts w:eastAsia="SimSun" w:hint="eastAsia"/>
                <w:lang w:eastAsia="zh-CN"/>
              </w:rPr>
              <w:t>hichmode</w:t>
            </w:r>
            <w:proofErr w:type="spellEnd"/>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on gNB configuration or dynamic indication.</w:t>
            </w:r>
          </w:p>
        </w:tc>
      </w:tr>
      <w:tr w:rsidR="00B52596">
        <w:tc>
          <w:tcPr>
            <w:tcW w:w="2785" w:type="dxa"/>
          </w:tcPr>
          <w:p w:rsidR="00B52596" w:rsidRDefault="00D05036">
            <w:pPr>
              <w:wordWrap/>
              <w:rPr>
                <w:rFonts w:eastAsia="ＭＳ 明朝"/>
                <w:lang w:eastAsia="ja-JP"/>
              </w:rPr>
            </w:pPr>
            <w:r>
              <w:rPr>
                <w:rFonts w:eastAsia="ＭＳ 明朝" w:hint="eastAsia"/>
                <w:lang w:eastAsia="ja-JP"/>
              </w:rPr>
              <w:t>Sharp</w:t>
            </w:r>
          </w:p>
        </w:tc>
        <w:tc>
          <w:tcPr>
            <w:tcW w:w="6577" w:type="dxa"/>
          </w:tcPr>
          <w:p w:rsidR="00B52596" w:rsidRDefault="00D05036">
            <w:pPr>
              <w:wordWrap/>
              <w:rPr>
                <w:rFonts w:eastAsia="ＭＳ 明朝"/>
                <w:lang w:eastAsia="ja-JP"/>
              </w:rPr>
            </w:pPr>
            <w:r>
              <w:rPr>
                <w:rFonts w:eastAsia="ＭＳ 明朝"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rFonts w:eastAsia="SimSun"/>
                <w:lang w:eastAsia="en-US"/>
              </w:rPr>
            </w:pPr>
            <w:r>
              <w:rPr>
                <w:lang w:eastAsia="en-US"/>
              </w:rPr>
              <w:t xml:space="preserve">We are in principle supportive of both No-LBT and LBT operations. However, it needs to be further studied </w:t>
            </w:r>
            <w:proofErr w:type="gramStart"/>
            <w:r>
              <w:rPr>
                <w:lang w:eastAsia="en-US"/>
              </w:rPr>
              <w:t>whether or not</w:t>
            </w:r>
            <w:proofErr w:type="gramEnd"/>
            <w:r>
              <w:rPr>
                <w:lang w:eastAsia="en-US"/>
              </w:rPr>
              <w:t xml:space="preserve"> the mode of operation (LBT vs. No-LBT) should always be based on the gNB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ＭＳ 明朝"/>
                <w:lang w:eastAsia="ja-JP"/>
              </w:rPr>
            </w:pPr>
            <w:r>
              <w:rPr>
                <w:rFonts w:eastAsia="ＭＳ 明朝" w:hint="eastAsia"/>
                <w:lang w:eastAsia="ja-JP"/>
              </w:rPr>
              <w:t>NTT DOCOMO</w:t>
            </w:r>
          </w:p>
        </w:tc>
        <w:tc>
          <w:tcPr>
            <w:tcW w:w="6577" w:type="dxa"/>
          </w:tcPr>
          <w:p w:rsidR="00B52596" w:rsidRDefault="00D05036">
            <w:pPr>
              <w:wordWrap/>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ＭＳ 明朝"/>
                <w:lang w:eastAsia="ja-JP"/>
              </w:rPr>
            </w:pPr>
            <w:proofErr w:type="spellStart"/>
            <w:r>
              <w:t>InterDigital</w:t>
            </w:r>
            <w:proofErr w:type="spellEnd"/>
          </w:p>
        </w:tc>
        <w:tc>
          <w:tcPr>
            <w:tcW w:w="6577" w:type="dxa"/>
          </w:tcPr>
          <w:p w:rsidR="00B52596" w:rsidRDefault="00D05036">
            <w:pPr>
              <w:wordWrap/>
              <w:rPr>
                <w:rFonts w:eastAsia="ＭＳ 明朝"/>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F64097">
            <w:pPr>
              <w:rPr>
                <w:rFonts w:eastAsia="SimSun"/>
                <w:lang w:val="en-US" w:eastAsia="zh-CN"/>
              </w:rPr>
            </w:pPr>
            <w:proofErr w:type="spellStart"/>
            <w:r>
              <w:rPr>
                <w:rFonts w:eastAsia="SimSun" w:hint="eastAsia"/>
                <w:lang w:val="en-US" w:eastAsia="zh-CN"/>
              </w:rPr>
              <w:t>Potevio</w:t>
            </w:r>
            <w:proofErr w:type="spellEnd"/>
          </w:p>
        </w:tc>
        <w:tc>
          <w:tcPr>
            <w:tcW w:w="6577" w:type="dxa"/>
          </w:tcPr>
          <w:p w:rsidR="007D7EF3" w:rsidRDefault="007D7EF3" w:rsidP="00F64097">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rsidTr="007D7EF3">
        <w:tc>
          <w:tcPr>
            <w:tcW w:w="2785" w:type="dxa"/>
          </w:tcPr>
          <w:p w:rsidR="00A576CE" w:rsidRPr="00CE18C2" w:rsidRDefault="00A576CE" w:rsidP="00A576CE">
            <w:pPr>
              <w:rPr>
                <w:rFonts w:eastAsia="ＭＳ 明朝"/>
                <w:lang w:eastAsia="ja-JP"/>
              </w:rPr>
            </w:pPr>
            <w:r>
              <w:rPr>
                <w:rFonts w:eastAsia="ＭＳ 明朝" w:hint="eastAsia"/>
                <w:lang w:eastAsia="ja-JP"/>
              </w:rPr>
              <w:t>S</w:t>
            </w:r>
            <w:r>
              <w:rPr>
                <w:rFonts w:eastAsia="ＭＳ 明朝"/>
                <w:lang w:eastAsia="ja-JP"/>
              </w:rPr>
              <w:t>ony</w:t>
            </w:r>
          </w:p>
        </w:tc>
        <w:tc>
          <w:tcPr>
            <w:tcW w:w="6577" w:type="dxa"/>
          </w:tcPr>
          <w:p w:rsidR="00A576CE" w:rsidRPr="00CE18C2" w:rsidRDefault="00A576CE" w:rsidP="00A576CE">
            <w:pPr>
              <w:rPr>
                <w:rFonts w:eastAsia="ＭＳ 明朝"/>
                <w:lang w:eastAsia="ja-JP"/>
              </w:rPr>
            </w:pPr>
            <w:r>
              <w:rPr>
                <w:rFonts w:eastAsia="ＭＳ 明朝"/>
                <w:lang w:eastAsia="ja-JP"/>
              </w:rPr>
              <w:t xml:space="preserve">Support both no-LBT and LBT operating mode. The details for these operation (e.g. condition, configuration, etc.) should be further </w:t>
            </w:r>
            <w:r>
              <w:rPr>
                <w:rFonts w:eastAsia="ＭＳ 明朝"/>
                <w:lang w:eastAsia="ja-JP"/>
              </w:rPr>
              <w:t>studied</w:t>
            </w:r>
            <w:r>
              <w:rPr>
                <w:rFonts w:eastAsia="ＭＳ 明朝"/>
                <w:lang w:eastAsia="ja-JP"/>
              </w:rPr>
              <w:t>.</w:t>
            </w:r>
          </w:p>
        </w:tc>
      </w:tr>
    </w:tbl>
    <w:p w:rsidR="00B52596" w:rsidRPr="00A576CE"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 xml:space="preserve">Occupied Channel Bandwidth </w:t>
      </w: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w:t>
            </w:r>
            <w:proofErr w:type="gramStart"/>
            <w:r>
              <w:rPr>
                <w:rFonts w:eastAsia="SimSun"/>
              </w:rPr>
              <w:t>has to</w:t>
            </w:r>
            <w:proofErr w:type="gramEnd"/>
            <w:r>
              <w:rPr>
                <w:rFonts w:eastAsia="SimSun"/>
              </w:rPr>
              <w:t xml:space="preserve">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D05036">
            <w:pPr>
              <w:rPr>
                <w:rFonts w:eastAsia="SimSun"/>
              </w:rPr>
            </w:pPr>
            <w:r>
              <w:rPr>
                <w:rFonts w:eastAsia="SimSun"/>
              </w:rPr>
              <w:t>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4: Multiple LBT bandwidth could be considered for unlicensed band operation within 52.6-71GHz.</w:t>
            </w:r>
          </w:p>
        </w:tc>
      </w:tr>
      <w:tr w:rsidR="00B52596">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lastRenderedPageBreak/>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bookmarkStart w:id="1" w:name="_GoBack"/>
      <w:bookmarkEnd w:id="1"/>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ＭＳ 明朝"/>
                <w:lang w:eastAsia="ja-JP"/>
              </w:rPr>
            </w:pPr>
            <w:r>
              <w:rPr>
                <w:rFonts w:eastAsia="ＭＳ 明朝" w:hint="eastAsia"/>
                <w:lang w:eastAsia="ja-JP"/>
              </w:rPr>
              <w:t>Sharp</w:t>
            </w:r>
          </w:p>
        </w:tc>
        <w:tc>
          <w:tcPr>
            <w:tcW w:w="6577" w:type="dxa"/>
          </w:tcPr>
          <w:p w:rsidR="00B52596" w:rsidRDefault="00D05036">
            <w:pPr>
              <w:wordWrap/>
              <w:rPr>
                <w:rFonts w:eastAsia="SimSun"/>
                <w:lang w:eastAsia="zh-CN"/>
              </w:rPr>
            </w:pPr>
            <w:r>
              <w:rPr>
                <w:rFonts w:eastAsia="ＭＳ 明朝" w:hint="eastAsia"/>
                <w:lang w:eastAsia="ja-JP"/>
              </w:rPr>
              <w:t xml:space="preserve">We </w:t>
            </w:r>
            <w:r>
              <w:rPr>
                <w:rFonts w:eastAsia="ＭＳ 明朝"/>
                <w:lang w:eastAsia="ja-JP"/>
              </w:rPr>
              <w:t xml:space="preserve">agree </w:t>
            </w:r>
            <w:proofErr w:type="spellStart"/>
            <w:r>
              <w:rPr>
                <w:rFonts w:eastAsia="ＭＳ 明朝"/>
                <w:lang w:eastAsia="ja-JP"/>
              </w:rPr>
              <w:t>thatchannelization</w:t>
            </w:r>
            <w:proofErr w:type="spellEnd"/>
            <w:r>
              <w:rPr>
                <w:rFonts w:eastAsia="ＭＳ 明朝"/>
                <w:lang w:eastAsia="ja-JP"/>
              </w:rPr>
              <w:t xml:space="preserve">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 xml:space="preserve">On the other hand, we think there’re other aspects not just channel access related to this decision in other agenda. We think </w:t>
            </w:r>
            <w:proofErr w:type="gramStart"/>
            <w:r>
              <w:rPr>
                <w:lang w:eastAsia="en-US"/>
              </w:rPr>
              <w:t>a final conclusion</w:t>
            </w:r>
            <w:proofErr w:type="gramEnd"/>
            <w:r>
              <w:rPr>
                <w:lang w:eastAsia="en-US"/>
              </w:rPr>
              <w:t xml:space="preserve"> can be drawn when we looked all aspects together.</w:t>
            </w:r>
          </w:p>
        </w:tc>
      </w:tr>
      <w:tr w:rsidR="00B52596">
        <w:tc>
          <w:tcPr>
            <w:tcW w:w="2785" w:type="dxa"/>
          </w:tcPr>
          <w:p w:rsidR="00B52596" w:rsidRDefault="00D05036">
            <w:pPr>
              <w:wordWrap/>
            </w:pPr>
            <w:r>
              <w:rPr>
                <w:rFonts w:hint="eastAsia"/>
              </w:rPr>
              <w:t>LG</w:t>
            </w:r>
          </w:p>
        </w:tc>
        <w:tc>
          <w:tcPr>
            <w:tcW w:w="6577" w:type="dxa"/>
          </w:tcPr>
          <w:p w:rsidR="00B52596" w:rsidRDefault="00D05036">
            <w:pPr>
              <w:wordWrap/>
            </w:pPr>
            <w:r>
              <w:t>Since, the regional regulatory does not mandate supporting the same bandwidth as in 802.11ad/ay, a</w:t>
            </w:r>
            <w:r>
              <w:rPr>
                <w:lang w:eastAsia="en-US"/>
              </w:rPr>
              <w:t xml:space="preserve">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w:t>
            </w:r>
            <w:proofErr w:type="gramStart"/>
            <w:r>
              <w:rPr>
                <w:lang w:eastAsia="en-US"/>
              </w:rPr>
              <w:t>sufficient</w:t>
            </w:r>
            <w:proofErr w:type="gramEnd"/>
            <w:r>
              <w:rPr>
                <w:lang w:eastAsia="en-US"/>
              </w:rPr>
              <w:t xml:space="preserve">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rsidR="00B52596" w:rsidRDefault="00D05036">
            <w:pPr>
              <w:wordWrap/>
              <w:rPr>
                <w:rFonts w:eastAsia="SimSun"/>
                <w:lang w:eastAsia="en-US"/>
              </w:rPr>
            </w:pPr>
            <w:r>
              <w:rPr>
                <w:rFonts w:eastAsia="SimSun"/>
                <w:lang w:eastAsia="en-US"/>
              </w:rPr>
              <w:lastRenderedPageBreak/>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ＭＳ 明朝"/>
                <w:lang w:eastAsia="ja-JP"/>
              </w:rPr>
            </w:pPr>
            <w:r>
              <w:rPr>
                <w:rFonts w:eastAsia="ＭＳ 明朝" w:hint="eastAsia"/>
                <w:lang w:eastAsia="ja-JP"/>
              </w:rPr>
              <w:lastRenderedPageBreak/>
              <w:t>NTT DOCOMO</w:t>
            </w:r>
          </w:p>
        </w:tc>
        <w:tc>
          <w:tcPr>
            <w:tcW w:w="6577" w:type="dxa"/>
          </w:tcPr>
          <w:p w:rsidR="00B52596" w:rsidRDefault="00D05036">
            <w:pPr>
              <w:wordWrap/>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believe larger BW than Rel-15/16 (i.e. 400 MHz) is necessary for 60 GHz to consider IEEE. However, whether to </w:t>
            </w:r>
            <w:proofErr w:type="spellStart"/>
            <w:r>
              <w:rPr>
                <w:rFonts w:eastAsia="ＭＳ 明朝"/>
                <w:lang w:eastAsia="ja-JP"/>
              </w:rPr>
              <w:t>suppor</w:t>
            </w:r>
            <w:proofErr w:type="spellEnd"/>
            <w:r>
              <w:rPr>
                <w:rFonts w:eastAsia="ＭＳ 明朝"/>
                <w:lang w:eastAsia="ja-JP"/>
              </w:rPr>
              <w:t xml:space="preserve"> 2.16 GHz BW itself should be discussed further. Huawei’s point would be valid in our understanding. </w:t>
            </w:r>
          </w:p>
        </w:tc>
      </w:tr>
      <w:tr w:rsidR="00B52596">
        <w:tc>
          <w:tcPr>
            <w:tcW w:w="2785" w:type="dxa"/>
          </w:tcPr>
          <w:p w:rsidR="00B52596" w:rsidRDefault="00D05036">
            <w:pPr>
              <w:wordWrap/>
              <w:rPr>
                <w:rFonts w:eastAsia="ＭＳ 明朝"/>
                <w:lang w:eastAsia="ja-JP"/>
              </w:rPr>
            </w:pPr>
            <w:proofErr w:type="spellStart"/>
            <w:r>
              <w:t>InterDigital</w:t>
            </w:r>
            <w:proofErr w:type="spellEnd"/>
          </w:p>
        </w:tc>
        <w:tc>
          <w:tcPr>
            <w:tcW w:w="6577" w:type="dxa"/>
          </w:tcPr>
          <w:p w:rsidR="00B52596" w:rsidRDefault="00D05036">
            <w:pPr>
              <w:wordWrap/>
              <w:rPr>
                <w:rFonts w:eastAsia="ＭＳ 明朝"/>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 xml:space="preserve">We believe that in order to maintain competitiveness and coexistence with 11ad/11ay design, we should indeed support a bandwidth equal or </w:t>
            </w:r>
            <w:proofErr w:type="gramStart"/>
            <w:r>
              <w:rPr>
                <w:lang w:eastAsia="en-US"/>
              </w:rPr>
              <w:t>similar to</w:t>
            </w:r>
            <w:proofErr w:type="gramEnd"/>
            <w:r>
              <w:rPr>
                <w:lang w:eastAsia="en-US"/>
              </w:rPr>
              <w:t xml:space="preserve">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proofErr w:type="spellStart"/>
            <w:r>
              <w:rPr>
                <w:rFonts w:eastAsia="ＭＳ 明朝" w:hint="eastAsia"/>
                <w:lang w:eastAsia="ja-JP"/>
              </w:rPr>
              <w:t>We</w:t>
            </w:r>
            <w:r>
              <w:rPr>
                <w:rFonts w:eastAsia="ＭＳ 明朝"/>
                <w:lang w:eastAsia="ja-JP"/>
              </w:rPr>
              <w:t>agree</w:t>
            </w:r>
            <w:proofErr w:type="spellEnd"/>
            <w:r>
              <w:rPr>
                <w:rFonts w:eastAsia="ＭＳ 明朝"/>
                <w:lang w:eastAsia="ja-JP"/>
              </w:rPr>
              <w:t xml:space="preserve"> </w:t>
            </w:r>
            <w:proofErr w:type="spellStart"/>
            <w:r>
              <w:rPr>
                <w:rFonts w:eastAsia="ＭＳ 明朝"/>
                <w:lang w:eastAsia="ja-JP"/>
              </w:rPr>
              <w:t>thatchannelization</w:t>
            </w:r>
            <w:proofErr w:type="spellEnd"/>
            <w:r>
              <w:rPr>
                <w:rFonts w:eastAsia="ＭＳ 明朝"/>
                <w:lang w:eastAsia="ja-JP"/>
              </w:rPr>
              <w:t xml:space="preserve"> of 2.16GHz should </w:t>
            </w:r>
            <w:proofErr w:type="gramStart"/>
            <w:r>
              <w:rPr>
                <w:rFonts w:eastAsia="ＭＳ 明朝"/>
                <w:lang w:eastAsia="ja-JP"/>
              </w:rPr>
              <w:t xml:space="preserve">be </w:t>
            </w:r>
            <w:r>
              <w:rPr>
                <w:rFonts w:eastAsia="SimSun" w:hint="eastAsia"/>
                <w:lang w:val="en-US" w:eastAsia="zh-CN"/>
              </w:rPr>
              <w:t>considered to be</w:t>
            </w:r>
            <w:proofErr w:type="gramEnd"/>
            <w:r>
              <w:rPr>
                <w:rFonts w:eastAsia="SimSun" w:hint="eastAsia"/>
                <w:lang w:val="en-US" w:eastAsia="zh-CN"/>
              </w:rPr>
              <w:t xml:space="preserv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w:t>
            </w:r>
            <w:proofErr w:type="gramStart"/>
            <w:r>
              <w:rPr>
                <w:lang w:eastAsia="en-US"/>
              </w:rPr>
              <w:t>exactly the same</w:t>
            </w:r>
            <w:proofErr w:type="gramEnd"/>
            <w:r>
              <w:rPr>
                <w:lang w:eastAsia="en-US"/>
              </w:rPr>
              <w:t xml:space="preserv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proofErr w:type="gramStart"/>
            <w:r>
              <w:rPr>
                <w:szCs w:val="20"/>
              </w:rPr>
              <w:t xml:space="preserve">Generally speaking, </w:t>
            </w:r>
            <w:r w:rsidRPr="00C16CE7">
              <w:rPr>
                <w:szCs w:val="20"/>
              </w:rPr>
              <w:t>ETSI EN</w:t>
            </w:r>
            <w:proofErr w:type="gramEnd"/>
            <w:r w:rsidRPr="00C16CE7">
              <w:rPr>
                <w:szCs w:val="20"/>
              </w:rPr>
              <w:t xml:space="preserve"> 302 567 </w:t>
            </w:r>
            <w:r w:rsidRPr="00C16CE7">
              <w:rPr>
                <w:bCs/>
              </w:rPr>
              <w:t xml:space="preserve">does not specify nominal channel bandwidth, and it clearly </w:t>
            </w:r>
            <w:r w:rsidRPr="00BA096D">
              <w:rPr>
                <w:bCs/>
              </w:rPr>
              <w:t xml:space="preserve">allow declaring multiple nominal channel bandwidths. </w:t>
            </w:r>
            <w:proofErr w:type="gramStart"/>
            <w:r>
              <w:rPr>
                <w:bCs/>
              </w:rPr>
              <w:t>So</w:t>
            </w:r>
            <w:proofErr w:type="gramEnd"/>
            <w:r>
              <w:rPr>
                <w:bCs/>
              </w:rPr>
              <w:t xml:space="preserve"> from BRAN perspective aligning the channel bandwidth is not needed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bl>
    <w:p w:rsidR="00B52596" w:rsidRDefault="00B52596">
      <w:pPr>
        <w:rPr>
          <w:rFonts w:eastAsia="SimSun"/>
          <w:lang w:eastAsia="en-US"/>
        </w:rPr>
      </w:pPr>
    </w:p>
    <w:p w:rsidR="00B52596" w:rsidRDefault="00D05036">
      <w:pPr>
        <w:pStyle w:val="2"/>
        <w:rPr>
          <w:rFonts w:ascii="Times New Roman" w:eastAsia="SimSun" w:hAnsi="Times New Roman"/>
          <w:sz w:val="20"/>
        </w:rPr>
      </w:pPr>
      <w:bookmarkStart w:id="2" w:name="_Hlk48400181"/>
      <w:r>
        <w:rPr>
          <w:rFonts w:ascii="Times New Roman" w:eastAsia="SimSun" w:hAnsi="Times New Roman"/>
          <w:sz w:val="20"/>
        </w:rPr>
        <w:t xml:space="preserve">Enhancements to channel access </w:t>
      </w:r>
    </w:p>
    <w:bookmarkEnd w:id="2"/>
    <w:p w:rsidR="00B52596" w:rsidRDefault="00D05036">
      <w:pPr>
        <w:rPr>
          <w:rFonts w:eastAsia="SimSun"/>
          <w:lang w:eastAsia="en-US"/>
        </w:rPr>
      </w:pPr>
      <w:r>
        <w:rPr>
          <w:rFonts w:eastAsia="SimSun"/>
          <w:lang w:eastAsia="en-US"/>
        </w:rPr>
        <w:t xml:space="preserve">When companies propose to study an LBT mode, many techniques to improve LBT have been discussed. This is </w:t>
      </w:r>
      <w:r>
        <w:rPr>
          <w:rFonts w:eastAsia="SimSun"/>
          <w:lang w:eastAsia="en-US"/>
        </w:rPr>
        <w:lastRenderedPageBreak/>
        <w:t>summarized in this section.</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 xml:space="preserve">Proposal #3: If directional CCA procedure with </w:t>
            </w:r>
            <w:proofErr w:type="gramStart"/>
            <w:r>
              <w:rPr>
                <w:rFonts w:eastAsia="SimSun"/>
              </w:rPr>
              <w:t>beam based</w:t>
            </w:r>
            <w:proofErr w:type="gramEnd"/>
            <w:r>
              <w:rPr>
                <w:rFonts w:eastAsia="SimSun"/>
              </w:rPr>
              <w:t xml:space="preserve"> transmission is identified as beneficial, the followings for directional CCA procedure can be considered:</w:t>
            </w:r>
          </w:p>
          <w:p w:rsidR="00B52596" w:rsidRDefault="00D05036">
            <w:pPr>
              <w:pStyle w:val="a"/>
              <w:numPr>
                <w:ilvl w:val="0"/>
                <w:numId w:val="15"/>
              </w:numPr>
              <w:jc w:val="both"/>
              <w:rPr>
                <w:rFonts w:eastAsia="SimSun"/>
              </w:rPr>
            </w:pPr>
            <w:r>
              <w:rPr>
                <w:rFonts w:eastAsia="SimSun"/>
              </w:rPr>
              <w:t xml:space="preserve"> CCA threshold setting</w:t>
            </w:r>
          </w:p>
          <w:p w:rsidR="00B52596" w:rsidRDefault="00D05036">
            <w:pPr>
              <w:pStyle w:val="a"/>
              <w:numPr>
                <w:ilvl w:val="0"/>
                <w:numId w:val="15"/>
              </w:numPr>
              <w:jc w:val="both"/>
              <w:rPr>
                <w:rFonts w:eastAsia="SimSun"/>
              </w:rPr>
            </w:pPr>
            <w:r>
              <w:rPr>
                <w:rFonts w:eastAsia="SimSun"/>
              </w:rPr>
              <w:t>Relationship between transmission direction and CCA direction</w:t>
            </w:r>
          </w:p>
          <w:p w:rsidR="00B52596" w:rsidRDefault="00D05036">
            <w:pPr>
              <w:pStyle w:val="a"/>
              <w:numPr>
                <w:ilvl w:val="0"/>
                <w:numId w:val="15"/>
              </w:numPr>
              <w:jc w:val="both"/>
              <w:rPr>
                <w:rFonts w:eastAsia="SimSun"/>
              </w:rPr>
            </w:pPr>
            <w:r>
              <w:rPr>
                <w:rFonts w:eastAsia="SimSun"/>
              </w:rPr>
              <w:t>Directional LBT for broadcast/unicast transmission</w:t>
            </w:r>
          </w:p>
          <w:p w:rsidR="00B52596" w:rsidRDefault="00D05036">
            <w:pPr>
              <w:pStyle w:val="a"/>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w:t>
            </w:r>
            <w:r>
              <w:rPr>
                <w:rFonts w:eastAsia="SimSun"/>
                <w:lang w:eastAsia="en-US"/>
              </w:rPr>
              <w:lastRenderedPageBreak/>
              <w:t>a-Mobility</w:t>
            </w:r>
          </w:p>
        </w:tc>
        <w:tc>
          <w:tcPr>
            <w:tcW w:w="7796" w:type="dxa"/>
          </w:tcPr>
          <w:p w:rsidR="00B52596" w:rsidRDefault="00D05036">
            <w:pPr>
              <w:rPr>
                <w:rFonts w:eastAsia="SimSun"/>
              </w:rPr>
            </w:pPr>
            <w:r>
              <w:rPr>
                <w:rFonts w:eastAsia="SimSun"/>
              </w:rPr>
              <w:lastRenderedPageBreak/>
              <w:t xml:space="preserve">Proposal 1: For supporting NR beyond 52.6 GHz in unlicensed band in Rel. 17 and for fair </w:t>
            </w:r>
            <w:r>
              <w:rPr>
                <w:rFonts w:eastAsia="SimSun"/>
              </w:rPr>
              <w:lastRenderedPageBreak/>
              <w:t>coexistence with other users, directional (beam based) LBT operation at both the gNB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 xml:space="preserve">Proposal 2: The interference mitigation of </w:t>
            </w:r>
            <w:proofErr w:type="gramStart"/>
            <w:r>
              <w:rPr>
                <w:rFonts w:eastAsia="SimSun"/>
              </w:rPr>
              <w:t>beamforming based</w:t>
            </w:r>
            <w:proofErr w:type="gramEnd"/>
            <w:r>
              <w:rPr>
                <w:rFonts w:eastAsia="SimSun"/>
              </w:rPr>
              <w:t xml:space="preserve">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rsidR="00B52596" w:rsidRDefault="00D05036">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Proposal 4: RAN1 shall consider the usage of directional LBT at gNB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Spreadtrum</w:t>
            </w:r>
            <w:proofErr w:type="spellEnd"/>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Potevio</w:t>
            </w:r>
            <w:proofErr w:type="spellEnd"/>
          </w:p>
        </w:tc>
        <w:tc>
          <w:tcPr>
            <w:tcW w:w="7796" w:type="dxa"/>
          </w:tcPr>
          <w:p w:rsidR="00B52596" w:rsidRDefault="00D05036">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Though there are many companies proposing the study or adopt directional sensing,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w:t>
      </w:r>
      <w:r>
        <w:rPr>
          <w:rFonts w:eastAsia="SimSun"/>
          <w:lang w:eastAsia="en-US"/>
        </w:rPr>
        <w:lastRenderedPageBreak/>
        <w:t xml:space="preserve">should be evaluated with consideration of complexity/performance gain trade-offs.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 xml:space="preserve">FUTUERWEI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rsidR="00B52596" w:rsidRDefault="00D05036">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proofErr w:type="spellStart"/>
            <w:r>
              <w:rPr>
                <w:rFonts w:eastAsia="SimSun"/>
              </w:rPr>
              <w:t>Spreadtrum</w:t>
            </w:r>
            <w:proofErr w:type="spellEnd"/>
          </w:p>
        </w:tc>
        <w:tc>
          <w:tcPr>
            <w:tcW w:w="7690" w:type="dxa"/>
          </w:tcPr>
          <w:p w:rsidR="00B52596" w:rsidRDefault="00D05036">
            <w:pPr>
              <w:rPr>
                <w:rFonts w:eastAsia="SimSun"/>
              </w:rPr>
            </w:pPr>
            <w:r>
              <w:rPr>
                <w:rFonts w:eastAsia="SimSun"/>
              </w:rPr>
              <w:t>Proposal 2: Hidden node problem for the directional transmission/LBT in the high frequency range should be studied.</w:t>
            </w:r>
          </w:p>
        </w:tc>
      </w:tr>
      <w:tr w:rsidR="00B52596">
        <w:tc>
          <w:tcPr>
            <w:tcW w:w="1661" w:type="dxa"/>
          </w:tcPr>
          <w:p w:rsidR="00B52596" w:rsidRDefault="00D05036">
            <w:pPr>
              <w:rPr>
                <w:rFonts w:eastAsia="SimSun"/>
              </w:rPr>
            </w:pPr>
            <w:r>
              <w:rPr>
                <w:rFonts w:eastAsia="SimSun"/>
              </w:rPr>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proofErr w:type="spellStart"/>
            <w:r>
              <w:rPr>
                <w:rFonts w:eastAsia="SimSun"/>
              </w:rPr>
              <w:t>Potevio</w:t>
            </w:r>
            <w:proofErr w:type="spellEnd"/>
          </w:p>
        </w:tc>
        <w:tc>
          <w:tcPr>
            <w:tcW w:w="7690" w:type="dxa"/>
          </w:tcPr>
          <w:p w:rsidR="00B52596" w:rsidRDefault="00D05036">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proofErr w:type="gramStart"/>
      <w:r>
        <w:rPr>
          <w:rFonts w:eastAsia="SimSun"/>
          <w:lang w:eastAsia="en-US"/>
        </w:rPr>
        <w:lastRenderedPageBreak/>
        <w:t>meeting, and</w:t>
      </w:r>
      <w:proofErr w:type="gramEnd"/>
      <w:r>
        <w:rPr>
          <w:rFonts w:eastAsia="SimSun"/>
          <w:lang w:eastAsia="en-US"/>
        </w:rPr>
        <w:t xml:space="preserve"> encourage all interested companies to provide results.</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lastRenderedPageBreak/>
              <w:t>Ericsson</w:t>
            </w:r>
          </w:p>
        </w:tc>
        <w:tc>
          <w:tcPr>
            <w:tcW w:w="7796" w:type="dxa"/>
          </w:tcPr>
          <w:p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proposed designs can be summarized into two categories</w:t>
      </w:r>
    </w:p>
    <w:p w:rsidR="00B52596" w:rsidRDefault="00D05036">
      <w:pPr>
        <w:pStyle w:val="a"/>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rsidR="00B52596" w:rsidRDefault="00D05036">
      <w:pPr>
        <w:pStyle w:val="a"/>
        <w:numPr>
          <w:ilvl w:val="0"/>
          <w:numId w:val="11"/>
        </w:numPr>
        <w:rPr>
          <w:rFonts w:eastAsia="SimSun"/>
          <w:lang w:eastAsia="en-US"/>
        </w:rPr>
      </w:pPr>
      <w:r>
        <w:rPr>
          <w:rFonts w:eastAsia="SimSun"/>
          <w:lang w:eastAsia="en-US"/>
        </w:rPr>
        <w:t xml:space="preserve">Measurement/Long term </w:t>
      </w:r>
      <w:proofErr w:type="gramStart"/>
      <w:r>
        <w:rPr>
          <w:rFonts w:eastAsia="SimSun"/>
          <w:lang w:eastAsia="en-US"/>
        </w:rPr>
        <w:t>sensing based</w:t>
      </w:r>
      <w:proofErr w:type="gramEnd"/>
      <w:r>
        <w:rPr>
          <w:rFonts w:eastAsia="SimSun"/>
          <w:lang w:eastAsia="en-US"/>
        </w:rPr>
        <w:t xml:space="preserve">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a"/>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a"/>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af7"/>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a"/>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a"/>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235B24" w:rsidP="00B147A7">
            <w:pPr>
              <w:rPr>
                <w:lang w:eastAsia="en-US"/>
              </w:rPr>
            </w:pPr>
          </w:p>
        </w:tc>
        <w:tc>
          <w:tcPr>
            <w:tcW w:w="7387" w:type="dxa"/>
          </w:tcPr>
          <w:p w:rsidR="00235B24" w:rsidRDefault="00235B24" w:rsidP="00B147A7">
            <w:pPr>
              <w:rPr>
                <w:lang w:eastAsia="en-US"/>
              </w:rPr>
            </w:pPr>
          </w:p>
        </w:tc>
      </w:tr>
    </w:tbl>
    <w:p w:rsidR="00235B24" w:rsidRDefault="00235B24">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FUTUERWEI</w:t>
            </w:r>
          </w:p>
        </w:tc>
        <w:tc>
          <w:tcPr>
            <w:tcW w:w="7796" w:type="dxa"/>
          </w:tcPr>
          <w:p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xml:space="preserve">) as defined in TS38.331 for </w:t>
            </w:r>
            <w:r>
              <w:rPr>
                <w:rFonts w:eastAsia="SimSun"/>
              </w:rPr>
              <w:lastRenderedPageBreak/>
              <w:t>operations beyond 52.6 GHz.</w:t>
            </w:r>
          </w:p>
        </w:tc>
      </w:tr>
      <w:tr w:rsidR="00B52596">
        <w:tc>
          <w:tcPr>
            <w:tcW w:w="1555" w:type="dxa"/>
          </w:tcPr>
          <w:p w:rsidR="00B52596" w:rsidRDefault="00D05036">
            <w:pPr>
              <w:rPr>
                <w:rFonts w:eastAsia="SimSun"/>
                <w:szCs w:val="20"/>
              </w:rPr>
            </w:pPr>
            <w:r>
              <w:rPr>
                <w:szCs w:val="20"/>
              </w:rPr>
              <w:lastRenderedPageBreak/>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w:t>
            </w:r>
            <w:proofErr w:type="gramStart"/>
            <w:r>
              <w:t>main focus</w:t>
            </w:r>
            <w:proofErr w:type="gramEnd"/>
            <w:r>
              <w:t xml:space="preserve">. </w:t>
            </w:r>
          </w:p>
        </w:tc>
      </w:tr>
    </w:tbl>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Proposal 3: Multi-beam transmission should be studied to fully take advantage of spatial diversity.</w:t>
            </w:r>
          </w:p>
        </w:tc>
      </w:tr>
      <w:tr w:rsidR="00B52596">
        <w:tc>
          <w:tcPr>
            <w:tcW w:w="1555" w:type="dxa"/>
          </w:tcPr>
          <w:p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beamformed operation up to 71 GHz.</w:t>
            </w:r>
          </w:p>
        </w:tc>
      </w:tr>
      <w:tr w:rsidR="00B52596">
        <w:tc>
          <w:tcPr>
            <w:tcW w:w="1555" w:type="dxa"/>
          </w:tcPr>
          <w:p w:rsidR="00B52596" w:rsidRDefault="00D05036">
            <w:pPr>
              <w:rPr>
                <w:rFonts w:eastAsia="SimSun"/>
              </w:rPr>
            </w:pPr>
            <w:r>
              <w:rPr>
                <w:rFonts w:eastAsia="SimSun"/>
              </w:rPr>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F64097">
            <w:pPr>
              <w:rPr>
                <w:rFonts w:eastAsia="SimSun"/>
                <w:lang w:eastAsia="zh-CN"/>
              </w:rPr>
            </w:pPr>
            <w:proofErr w:type="spellStart"/>
            <w:r>
              <w:rPr>
                <w:rFonts w:eastAsia="SimSun" w:hint="eastAsia"/>
                <w:lang w:eastAsia="zh-CN"/>
              </w:rPr>
              <w:t>Potevio</w:t>
            </w:r>
            <w:proofErr w:type="spellEnd"/>
          </w:p>
        </w:tc>
        <w:tc>
          <w:tcPr>
            <w:tcW w:w="7796" w:type="dxa"/>
          </w:tcPr>
          <w:p w:rsidR="007D7EF3" w:rsidRDefault="007D7EF3" w:rsidP="00F64097">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bl>
    <w:p w:rsidR="00B52596" w:rsidRPr="007D7EF3"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lastRenderedPageBreak/>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 xml:space="preserve">No sensing for sharing device for same beam </w:t>
            </w:r>
            <w:proofErr w:type="gramStart"/>
            <w:r>
              <w:rPr>
                <w:rFonts w:eastAsia="SimSun"/>
              </w:rPr>
              <w:t>direction,  Gap</w:t>
            </w:r>
            <w:proofErr w:type="gramEnd"/>
            <w:r>
              <w:rPr>
                <w:rFonts w:eastAsia="SimSun"/>
              </w:rPr>
              <w:t xml:space="preserve">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[No sensing </w:t>
            </w:r>
            <w:proofErr w:type="gramStart"/>
            <w:r>
              <w:rPr>
                <w:rFonts w:eastAsia="SimSun"/>
              </w:rPr>
              <w:t>when ]</w:t>
            </w:r>
            <w:proofErr w:type="gramEnd"/>
            <w:r>
              <w:rPr>
                <w:rFonts w:eastAsia="SimSun"/>
              </w:rPr>
              <w:t xml:space="preserve"> UE transmissions are limited to gNB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a"/>
              <w:numPr>
                <w:ilvl w:val="0"/>
                <w:numId w:val="15"/>
              </w:numPr>
              <w:spacing w:line="240" w:lineRule="auto"/>
            </w:pPr>
            <w:r>
              <w:t>Responding device can always go without LBT regardless of the gap duration</w:t>
            </w:r>
          </w:p>
          <w:p w:rsidR="00235B24" w:rsidRDefault="00235B24" w:rsidP="00235B24">
            <w:pPr>
              <w:pStyle w:val="a"/>
              <w:numPr>
                <w:ilvl w:val="0"/>
                <w:numId w:val="15"/>
              </w:numPr>
              <w:spacing w:line="240" w:lineRule="auto"/>
            </w:pPr>
            <w:r>
              <w:t>Any number of gaps in a shared COT is allowed</w:t>
            </w:r>
          </w:p>
          <w:p w:rsidR="00235B24" w:rsidRDefault="00235B24" w:rsidP="00235B24">
            <w:pPr>
              <w:pStyle w:val="a"/>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1"/>
      </w:pPr>
      <w:r>
        <w:lastRenderedPageBreak/>
        <w:t>LBT schemes to evaluation</w:t>
      </w:r>
    </w:p>
    <w:p w:rsidR="00B52596" w:rsidRDefault="00D05036">
      <w:pPr>
        <w:pStyle w:val="a"/>
        <w:numPr>
          <w:ilvl w:val="0"/>
          <w:numId w:val="16"/>
        </w:numPr>
        <w:rPr>
          <w:lang w:eastAsia="en-US"/>
        </w:rPr>
      </w:pPr>
      <w:r>
        <w:rPr>
          <w:lang w:eastAsia="en-US"/>
        </w:rPr>
        <w:t>Huawei/</w:t>
      </w:r>
      <w:proofErr w:type="spellStart"/>
      <w:r>
        <w:rPr>
          <w:lang w:eastAsia="en-US"/>
        </w:rPr>
        <w:t>HiSilicon</w:t>
      </w:r>
      <w:proofErr w:type="spellEnd"/>
    </w:p>
    <w:p w:rsidR="00B52596" w:rsidRDefault="00D05036">
      <w:pPr>
        <w:pStyle w:val="a"/>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a"/>
        <w:numPr>
          <w:ilvl w:val="1"/>
          <w:numId w:val="16"/>
        </w:numPr>
        <w:rPr>
          <w:snapToGrid/>
          <w:lang w:val="en-US" w:eastAsia="en-US"/>
        </w:rPr>
      </w:pPr>
      <w:r>
        <w:t xml:space="preserve">Proposal 2: </w:t>
      </w:r>
      <w:r>
        <w:rPr>
          <w:szCs w:val="20"/>
        </w:rPr>
        <w:t xml:space="preserve">RAN1 should study </w:t>
      </w:r>
      <w:proofErr w:type="gramStart"/>
      <w:r>
        <w:rPr>
          <w:szCs w:val="20"/>
        </w:rPr>
        <w:t>receiver-assisted</w:t>
      </w:r>
      <w:proofErr w:type="gramEnd"/>
      <w:r>
        <w:rPr>
          <w:szCs w:val="20"/>
        </w:rPr>
        <w:t xml:space="preserve"> LBT in 60GHz unlicensed band.</w:t>
      </w:r>
    </w:p>
    <w:p w:rsidR="00B52596" w:rsidRDefault="00D05036">
      <w:pPr>
        <w:pStyle w:val="a"/>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 xml:space="preserve">Explanation to proposal </w:t>
      </w:r>
      <w:proofErr w:type="gramStart"/>
      <w:r>
        <w:rPr>
          <w:szCs w:val="20"/>
          <w:u w:val="single"/>
        </w:rPr>
        <w:t>3:</w:t>
      </w:r>
      <w:r>
        <w:t>There</w:t>
      </w:r>
      <w:proofErr w:type="gramEnd"/>
      <w:r>
        <w:t xml:space="preserv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rsidR="00B52596" w:rsidRDefault="00B52596">
      <w:pPr>
        <w:pStyle w:val="a"/>
        <w:numPr>
          <w:ilvl w:val="0"/>
          <w:numId w:val="0"/>
        </w:numPr>
        <w:ind w:left="1440"/>
        <w:rPr>
          <w:snapToGrid/>
          <w:lang w:val="en-US" w:eastAsia="en-US"/>
        </w:rPr>
      </w:pPr>
    </w:p>
    <w:p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a"/>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a"/>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a"/>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w:t>
            </w:r>
            <w:proofErr w:type="gramStart"/>
            <w:r>
              <w:rPr>
                <w:rFonts w:eastAsia="SimSun"/>
                <w:szCs w:val="20"/>
              </w:rPr>
              <w:t>first priority</w:t>
            </w:r>
            <w:proofErr w:type="gramEnd"/>
            <w:r>
              <w:rPr>
                <w:rFonts w:eastAsia="SimSun"/>
                <w:szCs w:val="20"/>
              </w:rPr>
              <w:t xml:space="preserve"> before going into optimizations. As we explained </w:t>
            </w:r>
            <w:r w:rsidR="001B0D62">
              <w:rPr>
                <w:rFonts w:eastAsia="SimSun"/>
                <w:szCs w:val="20"/>
              </w:rPr>
              <w:t xml:space="preserve">in </w:t>
            </w:r>
            <w:r>
              <w:rPr>
                <w:rFonts w:eastAsia="SimSun"/>
                <w:szCs w:val="20"/>
              </w:rPr>
              <w:t xml:space="preserve">3.4.5, the </w:t>
            </w:r>
            <w:r>
              <w:t xml:space="preserve">requirements that are in ETSI 302 567 should be the main focus and the starting </w:t>
            </w:r>
            <w:proofErr w:type="gramStart"/>
            <w:r>
              <w:t>point  (</w:t>
            </w:r>
            <w:proofErr w:type="gramEnd"/>
            <w:r>
              <w:t>i.e. alt2)</w:t>
            </w:r>
          </w:p>
        </w:tc>
      </w:tr>
      <w:tr w:rsidR="007D7EF3" w:rsidTr="007D7EF3">
        <w:tc>
          <w:tcPr>
            <w:tcW w:w="1555" w:type="dxa"/>
          </w:tcPr>
          <w:p w:rsidR="007D7EF3" w:rsidRDefault="007D7EF3" w:rsidP="00F64097">
            <w:pPr>
              <w:rPr>
                <w:rFonts w:eastAsia="SimSun"/>
                <w:szCs w:val="20"/>
                <w:lang w:eastAsia="zh-CN"/>
              </w:rPr>
            </w:pPr>
            <w:proofErr w:type="spellStart"/>
            <w:r>
              <w:rPr>
                <w:rFonts w:eastAsia="SimSun" w:hint="eastAsia"/>
                <w:szCs w:val="20"/>
                <w:lang w:eastAsia="zh-CN"/>
              </w:rPr>
              <w:t>Potevio</w:t>
            </w:r>
            <w:proofErr w:type="spellEnd"/>
          </w:p>
        </w:tc>
        <w:tc>
          <w:tcPr>
            <w:tcW w:w="7796" w:type="dxa"/>
          </w:tcPr>
          <w:p w:rsidR="007D7EF3" w:rsidRDefault="007D7EF3" w:rsidP="00F64097">
            <w:pPr>
              <w:rPr>
                <w:rFonts w:eastAsia="SimSun"/>
                <w:szCs w:val="20"/>
                <w:lang w:eastAsia="zh-CN"/>
              </w:rPr>
            </w:pPr>
            <w:r>
              <w:rPr>
                <w:rFonts w:eastAsia="SimSun" w:hint="eastAsia"/>
                <w:szCs w:val="20"/>
                <w:lang w:eastAsia="zh-CN"/>
              </w:rPr>
              <w:t>We support Alt.2.</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1"/>
      </w:pPr>
      <w:r>
        <w:t>Others</w:t>
      </w:r>
    </w:p>
    <w:p w:rsidR="00B52596" w:rsidRDefault="00B52596">
      <w:pPr>
        <w:rPr>
          <w:rFonts w:eastAsia="SimSun"/>
          <w:lang w:eastAsia="en-US"/>
        </w:rPr>
      </w:pPr>
    </w:p>
    <w:p w:rsidR="00B52596" w:rsidRDefault="00D05036">
      <w:pPr>
        <w:pStyle w:val="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rsidR="00B52596" w:rsidRDefault="00D05036">
      <w:pPr>
        <w:pStyle w:val="a"/>
        <w:numPr>
          <w:ilvl w:val="0"/>
          <w:numId w:val="17"/>
        </w:numPr>
        <w:ind w:left="360"/>
        <w:rPr>
          <w:rFonts w:eastAsia="SimSun"/>
          <w:lang w:eastAsia="en-US"/>
        </w:rPr>
      </w:pPr>
      <w:bookmarkStart w:id="3" w:name="_Ref48302830"/>
      <w:r>
        <w:rPr>
          <w:rFonts w:eastAsia="SimSun"/>
          <w:lang w:eastAsia="en-US"/>
        </w:rPr>
        <w:t>R1-2005240, Discussion on channel access for NR beyond 52.6 GHz, Lenovo, Motorola Mobility</w:t>
      </w:r>
      <w:bookmarkEnd w:id="3"/>
    </w:p>
    <w:p w:rsidR="00B52596" w:rsidRDefault="00D05036">
      <w:pPr>
        <w:pStyle w:val="a"/>
        <w:numPr>
          <w:ilvl w:val="0"/>
          <w:numId w:val="17"/>
        </w:numPr>
        <w:ind w:left="360"/>
        <w:rPr>
          <w:rFonts w:eastAsia="SimSun"/>
          <w:lang w:eastAsia="en-US"/>
        </w:rPr>
      </w:pPr>
      <w:bookmarkStart w:id="4"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
      <w:proofErr w:type="spellEnd"/>
    </w:p>
    <w:p w:rsidR="00B52596" w:rsidRDefault="00D05036">
      <w:pPr>
        <w:pStyle w:val="a"/>
        <w:numPr>
          <w:ilvl w:val="0"/>
          <w:numId w:val="17"/>
        </w:numPr>
        <w:ind w:left="360"/>
        <w:rPr>
          <w:rFonts w:eastAsia="SimSun"/>
          <w:lang w:eastAsia="en-US"/>
        </w:rPr>
      </w:pPr>
      <w:bookmarkStart w:id="5" w:name="_Ref48302853"/>
      <w:r>
        <w:rPr>
          <w:rFonts w:eastAsia="SimSun"/>
          <w:lang w:eastAsia="en-US"/>
        </w:rPr>
        <w:t>R1-2005282, Considerations on directional LBT and spatial reuse, FUTUREWEI</w:t>
      </w:r>
      <w:bookmarkEnd w:id="5"/>
    </w:p>
    <w:p w:rsidR="00B52596" w:rsidRDefault="00D05036">
      <w:pPr>
        <w:pStyle w:val="a"/>
        <w:numPr>
          <w:ilvl w:val="0"/>
          <w:numId w:val="17"/>
        </w:numPr>
        <w:ind w:left="360"/>
        <w:rPr>
          <w:rFonts w:eastAsia="SimSun"/>
          <w:lang w:eastAsia="en-US"/>
        </w:rPr>
      </w:pPr>
      <w:bookmarkStart w:id="6" w:name="_Ref48302864"/>
      <w:r>
        <w:rPr>
          <w:rFonts w:eastAsia="SimSun"/>
          <w:lang w:eastAsia="en-US"/>
        </w:rPr>
        <w:t>R1-2005372, Discussion on channel access mechanism, vivo</w:t>
      </w:r>
      <w:bookmarkEnd w:id="6"/>
    </w:p>
    <w:p w:rsidR="00B52596" w:rsidRDefault="00D05036">
      <w:pPr>
        <w:pStyle w:val="a"/>
        <w:numPr>
          <w:ilvl w:val="0"/>
          <w:numId w:val="17"/>
        </w:numPr>
        <w:ind w:left="360"/>
        <w:rPr>
          <w:rFonts w:eastAsia="SimSun"/>
          <w:lang w:eastAsia="en-US"/>
        </w:rPr>
      </w:pPr>
      <w:bookmarkStart w:id="7" w:name="_Ref48302877"/>
      <w:r>
        <w:rPr>
          <w:rFonts w:eastAsia="SimSun"/>
          <w:lang w:eastAsia="en-US"/>
        </w:rPr>
        <w:t>R1-2005568, Channel access mechanism for 60 GHz unlicensed spectrum, Sony</w:t>
      </w:r>
      <w:bookmarkEnd w:id="7"/>
    </w:p>
    <w:p w:rsidR="00B52596" w:rsidRDefault="00D05036">
      <w:pPr>
        <w:pStyle w:val="a"/>
        <w:numPr>
          <w:ilvl w:val="0"/>
          <w:numId w:val="17"/>
        </w:numPr>
        <w:ind w:left="360"/>
        <w:rPr>
          <w:rFonts w:eastAsia="SimSun"/>
          <w:lang w:eastAsia="en-US"/>
        </w:rPr>
      </w:pPr>
      <w:bookmarkStart w:id="8"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8"/>
      <w:proofErr w:type="spellEnd"/>
    </w:p>
    <w:p w:rsidR="00B52596" w:rsidRDefault="00D05036">
      <w:pPr>
        <w:pStyle w:val="a"/>
        <w:numPr>
          <w:ilvl w:val="0"/>
          <w:numId w:val="17"/>
        </w:numPr>
        <w:ind w:left="360"/>
        <w:rPr>
          <w:rFonts w:eastAsia="SimSun"/>
          <w:lang w:eastAsia="en-US"/>
        </w:rPr>
      </w:pPr>
      <w:bookmarkStart w:id="9" w:name="_Ref48302971"/>
      <w:r>
        <w:rPr>
          <w:rFonts w:eastAsia="SimSun"/>
          <w:lang w:eastAsia="en-US"/>
        </w:rPr>
        <w:t>R1-2005700, Channel Access Mechanism in support of NR operation in 52.6 to 71 GHz, CATT</w:t>
      </w:r>
      <w:bookmarkEnd w:id="9"/>
    </w:p>
    <w:p w:rsidR="00B52596" w:rsidRDefault="00D05036">
      <w:pPr>
        <w:pStyle w:val="a"/>
        <w:numPr>
          <w:ilvl w:val="0"/>
          <w:numId w:val="17"/>
        </w:numPr>
        <w:ind w:left="360"/>
        <w:rPr>
          <w:rFonts w:eastAsia="SimSun"/>
          <w:lang w:eastAsia="en-US"/>
        </w:rPr>
      </w:pPr>
      <w:bookmarkStart w:id="10" w:name="_Ref48302990"/>
      <w:r>
        <w:rPr>
          <w:rFonts w:eastAsia="SimSun"/>
          <w:lang w:eastAsia="en-US"/>
        </w:rPr>
        <w:t>R1-2005735, Channel access mechanism for NR on 52.6-71 GHz, Beijing Xiaomi Software Tech</w:t>
      </w:r>
      <w:bookmarkEnd w:id="10"/>
    </w:p>
    <w:p w:rsidR="00B52596" w:rsidRDefault="00D05036">
      <w:pPr>
        <w:pStyle w:val="a"/>
        <w:numPr>
          <w:ilvl w:val="0"/>
          <w:numId w:val="17"/>
        </w:numPr>
        <w:ind w:left="360"/>
        <w:rPr>
          <w:rFonts w:eastAsia="SimSun"/>
          <w:lang w:eastAsia="en-US"/>
        </w:rPr>
      </w:pPr>
      <w:bookmarkStart w:id="11" w:name="_Ref48303008"/>
      <w:r>
        <w:rPr>
          <w:rFonts w:eastAsia="SimSun"/>
          <w:lang w:eastAsia="en-US"/>
        </w:rPr>
        <w:lastRenderedPageBreak/>
        <w:t>R1-2005765, Study on the channel access mechanism, NEC</w:t>
      </w:r>
      <w:bookmarkEnd w:id="11"/>
    </w:p>
    <w:p w:rsidR="00B52596" w:rsidRDefault="00D05036">
      <w:pPr>
        <w:pStyle w:val="a"/>
        <w:numPr>
          <w:ilvl w:val="0"/>
          <w:numId w:val="17"/>
        </w:numPr>
        <w:ind w:left="360"/>
        <w:rPr>
          <w:rFonts w:eastAsia="SimSun"/>
          <w:lang w:eastAsia="en-US"/>
        </w:rPr>
      </w:pPr>
      <w:bookmarkStart w:id="12" w:name="_Ref48303019"/>
      <w:r>
        <w:rPr>
          <w:rFonts w:eastAsia="SimSun"/>
          <w:lang w:eastAsia="en-US"/>
        </w:rPr>
        <w:t>R1-2005767, Channel access mechanism, TCL Communication Ltd.</w:t>
      </w:r>
      <w:bookmarkEnd w:id="12"/>
    </w:p>
    <w:p w:rsidR="00B52596" w:rsidRDefault="00D05036">
      <w:pPr>
        <w:pStyle w:val="a"/>
        <w:numPr>
          <w:ilvl w:val="0"/>
          <w:numId w:val="17"/>
        </w:numPr>
        <w:ind w:left="360"/>
        <w:rPr>
          <w:rFonts w:eastAsia="SimSun"/>
          <w:lang w:eastAsia="en-US"/>
        </w:rPr>
      </w:pPr>
      <w:bookmarkStart w:id="13" w:name="_Ref48296888"/>
      <w:r>
        <w:rPr>
          <w:rFonts w:eastAsia="SimSun"/>
          <w:lang w:eastAsia="en-US"/>
        </w:rPr>
        <w:t>R1-2005867, Channel Access Procedure for NR in 52.6 - 71 GHz, Intel Corporation</w:t>
      </w:r>
      <w:bookmarkEnd w:id="13"/>
    </w:p>
    <w:p w:rsidR="00B52596" w:rsidRDefault="00D05036">
      <w:pPr>
        <w:pStyle w:val="a"/>
        <w:numPr>
          <w:ilvl w:val="0"/>
          <w:numId w:val="17"/>
        </w:numPr>
        <w:ind w:left="360"/>
        <w:rPr>
          <w:rFonts w:eastAsia="SimSun"/>
          <w:lang w:eastAsia="en-US"/>
        </w:rPr>
      </w:pPr>
      <w:bookmarkStart w:id="14" w:name="_Ref48303040"/>
      <w:r>
        <w:rPr>
          <w:rFonts w:eastAsia="SimSun"/>
          <w:lang w:eastAsia="en-US"/>
        </w:rPr>
        <w:t>R1-2005921, Channel Access Mechanism, Ericsson</w:t>
      </w:r>
      <w:bookmarkEnd w:id="14"/>
    </w:p>
    <w:p w:rsidR="00B52596" w:rsidRDefault="00D05036">
      <w:pPr>
        <w:pStyle w:val="a"/>
        <w:numPr>
          <w:ilvl w:val="0"/>
          <w:numId w:val="17"/>
        </w:numPr>
        <w:ind w:left="360"/>
        <w:rPr>
          <w:rFonts w:eastAsia="SimSun"/>
          <w:lang w:eastAsia="en-US"/>
        </w:rPr>
      </w:pPr>
      <w:bookmarkStart w:id="15" w:name="_Ref48303058"/>
      <w:r>
        <w:rPr>
          <w:rFonts w:eastAsia="SimSun"/>
          <w:lang w:eastAsia="en-US"/>
        </w:rPr>
        <w:t>R1-2005950, Channel access mechanisms for NR from 52.6-71GHz, AT&amp;T</w:t>
      </w:r>
      <w:bookmarkEnd w:id="15"/>
    </w:p>
    <w:p w:rsidR="00B52596" w:rsidRDefault="00D05036">
      <w:pPr>
        <w:pStyle w:val="a"/>
        <w:numPr>
          <w:ilvl w:val="0"/>
          <w:numId w:val="17"/>
        </w:numPr>
        <w:ind w:left="360"/>
        <w:rPr>
          <w:rFonts w:eastAsia="SimSun"/>
          <w:lang w:eastAsia="en-US"/>
        </w:rPr>
      </w:pPr>
      <w:bookmarkStart w:id="16" w:name="_Ref48303072"/>
      <w:r>
        <w:rPr>
          <w:rFonts w:eastAsia="SimSun"/>
          <w:lang w:eastAsia="en-US"/>
        </w:rPr>
        <w:t>R1-2006027, discussion on channel access mechanism, OPPO</w:t>
      </w:r>
      <w:bookmarkEnd w:id="16"/>
    </w:p>
    <w:p w:rsidR="00B52596" w:rsidRDefault="00D05036">
      <w:pPr>
        <w:pStyle w:val="a"/>
        <w:numPr>
          <w:ilvl w:val="0"/>
          <w:numId w:val="17"/>
        </w:numPr>
        <w:ind w:left="360"/>
        <w:rPr>
          <w:rFonts w:eastAsia="SimSun"/>
          <w:lang w:eastAsia="en-US"/>
        </w:rPr>
      </w:pPr>
      <w:bookmarkStart w:id="17" w:name="_Ref48303099"/>
      <w:r>
        <w:rPr>
          <w:rFonts w:eastAsia="SimSun"/>
          <w:lang w:eastAsia="en-US"/>
        </w:rPr>
        <w:t>R1-2006137, Channel access mechanism for 60 GHz unlicensed spectrum, Samsung</w:t>
      </w:r>
      <w:bookmarkEnd w:id="17"/>
    </w:p>
    <w:p w:rsidR="00B52596" w:rsidRDefault="00D05036">
      <w:pPr>
        <w:pStyle w:val="a"/>
        <w:numPr>
          <w:ilvl w:val="0"/>
          <w:numId w:val="17"/>
        </w:numPr>
        <w:ind w:left="360"/>
        <w:rPr>
          <w:rFonts w:eastAsia="SimSun"/>
          <w:lang w:eastAsia="en-US"/>
        </w:rPr>
      </w:pPr>
      <w:bookmarkStart w:id="18"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18"/>
    </w:p>
    <w:p w:rsidR="00B52596" w:rsidRDefault="00D05036">
      <w:pPr>
        <w:pStyle w:val="a"/>
        <w:numPr>
          <w:ilvl w:val="0"/>
          <w:numId w:val="17"/>
        </w:numPr>
        <w:ind w:left="360"/>
        <w:rPr>
          <w:rFonts w:eastAsia="SimSun"/>
          <w:lang w:eastAsia="en-US"/>
        </w:rPr>
      </w:pPr>
      <w:bookmarkStart w:id="19" w:name="_Ref48303142"/>
      <w:r>
        <w:rPr>
          <w:rFonts w:eastAsia="SimSun"/>
          <w:lang w:eastAsia="en-US"/>
        </w:rPr>
        <w:t>R1-2006305, Considerations on channel access mechanism to support NR above 52.6 GHz, LG Electronics</w:t>
      </w:r>
      <w:bookmarkEnd w:id="19"/>
    </w:p>
    <w:p w:rsidR="00B52596" w:rsidRDefault="00D05036">
      <w:pPr>
        <w:pStyle w:val="a"/>
        <w:numPr>
          <w:ilvl w:val="0"/>
          <w:numId w:val="17"/>
        </w:numPr>
        <w:ind w:left="360"/>
        <w:rPr>
          <w:rFonts w:eastAsia="SimSun"/>
          <w:lang w:eastAsia="en-US"/>
        </w:rPr>
      </w:pPr>
      <w:bookmarkStart w:id="20"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20"/>
    </w:p>
    <w:p w:rsidR="00B52596" w:rsidRDefault="00D05036">
      <w:pPr>
        <w:pStyle w:val="a"/>
        <w:numPr>
          <w:ilvl w:val="0"/>
          <w:numId w:val="17"/>
        </w:numPr>
        <w:ind w:left="360"/>
        <w:rPr>
          <w:rFonts w:eastAsia="SimSun"/>
          <w:lang w:eastAsia="en-US"/>
        </w:rPr>
      </w:pPr>
      <w:bookmarkStart w:id="21" w:name="_Ref48303167"/>
      <w:r>
        <w:rPr>
          <w:rFonts w:eastAsia="SimSun"/>
          <w:lang w:eastAsia="en-US"/>
        </w:rPr>
        <w:t xml:space="preserve">R1-2006513, On Channel Access </w:t>
      </w:r>
      <w:proofErr w:type="gramStart"/>
      <w:r>
        <w:rPr>
          <w:rFonts w:eastAsia="SimSun"/>
          <w:lang w:eastAsia="en-US"/>
        </w:rPr>
        <w:t>Mechanisms  for</w:t>
      </w:r>
      <w:proofErr w:type="gramEnd"/>
      <w:r>
        <w:rPr>
          <w:rFonts w:eastAsia="SimSun"/>
          <w:lang w:eastAsia="en-US"/>
        </w:rPr>
        <w:t xml:space="preserve"> Unlicensed Access above 52.6 GHz, Apple</w:t>
      </w:r>
      <w:bookmarkEnd w:id="21"/>
    </w:p>
    <w:p w:rsidR="00B52596" w:rsidRDefault="00D05036">
      <w:pPr>
        <w:pStyle w:val="a"/>
        <w:numPr>
          <w:ilvl w:val="0"/>
          <w:numId w:val="17"/>
        </w:numPr>
        <w:ind w:left="360"/>
        <w:rPr>
          <w:rFonts w:eastAsia="SimSun"/>
          <w:lang w:eastAsia="en-US"/>
        </w:rPr>
      </w:pPr>
      <w:bookmarkStart w:id="22" w:name="_Ref48303180"/>
      <w:r>
        <w:rPr>
          <w:rFonts w:eastAsia="SimSun"/>
          <w:lang w:eastAsia="en-US"/>
        </w:rPr>
        <w:t>R1-2006571, Channel access mechanism, Sharp</w:t>
      </w:r>
      <w:bookmarkEnd w:id="22"/>
    </w:p>
    <w:p w:rsidR="00B52596" w:rsidRDefault="00D05036">
      <w:pPr>
        <w:pStyle w:val="a"/>
        <w:numPr>
          <w:ilvl w:val="0"/>
          <w:numId w:val="17"/>
        </w:numPr>
        <w:ind w:left="360"/>
        <w:rPr>
          <w:rFonts w:eastAsia="SimSun"/>
          <w:lang w:eastAsia="en-US"/>
        </w:rPr>
      </w:pPr>
      <w:bookmarkStart w:id="23"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23"/>
    </w:p>
    <w:p w:rsidR="00B52596" w:rsidRDefault="00D05036">
      <w:pPr>
        <w:pStyle w:val="a"/>
        <w:numPr>
          <w:ilvl w:val="0"/>
          <w:numId w:val="17"/>
        </w:numPr>
        <w:ind w:left="360"/>
        <w:rPr>
          <w:rFonts w:eastAsia="SimSun"/>
          <w:lang w:eastAsia="en-US"/>
        </w:rPr>
      </w:pPr>
      <w:bookmarkStart w:id="24" w:name="_Ref48303208"/>
      <w:r>
        <w:rPr>
          <w:rFonts w:eastAsia="SimSun"/>
          <w:lang w:eastAsia="en-US"/>
        </w:rPr>
        <w:t>R1-2006650, Channel access considerations for the indoor scenario, Charter Communications</w:t>
      </w:r>
      <w:bookmarkEnd w:id="24"/>
    </w:p>
    <w:p w:rsidR="00B52596" w:rsidRDefault="00D05036">
      <w:pPr>
        <w:pStyle w:val="a"/>
        <w:numPr>
          <w:ilvl w:val="0"/>
          <w:numId w:val="17"/>
        </w:numPr>
        <w:ind w:left="360"/>
        <w:rPr>
          <w:rFonts w:eastAsia="SimSun"/>
          <w:lang w:eastAsia="en-US"/>
        </w:rPr>
      </w:pPr>
      <w:bookmarkStart w:id="25" w:name="_Ref48303234"/>
      <w:r>
        <w:rPr>
          <w:rFonts w:eastAsia="SimSun"/>
          <w:lang w:eastAsia="en-US"/>
        </w:rPr>
        <w:t>R1-2006655, Discussion on channel access mechanism, ITRI</w:t>
      </w:r>
      <w:bookmarkEnd w:id="25"/>
    </w:p>
    <w:p w:rsidR="00B52596" w:rsidRDefault="00D05036">
      <w:pPr>
        <w:pStyle w:val="a"/>
        <w:numPr>
          <w:ilvl w:val="0"/>
          <w:numId w:val="17"/>
        </w:numPr>
        <w:ind w:left="360"/>
        <w:rPr>
          <w:rFonts w:eastAsia="SimSun"/>
          <w:lang w:eastAsia="en-US"/>
        </w:rPr>
      </w:pPr>
      <w:bookmarkStart w:id="26" w:name="_Ref48303249"/>
      <w:r>
        <w:rPr>
          <w:rFonts w:eastAsia="SimSun"/>
          <w:lang w:eastAsia="en-US"/>
        </w:rPr>
        <w:t>R1-2006726, Channel Access Mechanism for NR in 60 GHz unlicensed spectrum, NTT DOCOMO, INC.</w:t>
      </w:r>
      <w:bookmarkEnd w:id="26"/>
    </w:p>
    <w:p w:rsidR="00B52596" w:rsidRDefault="00D05036">
      <w:pPr>
        <w:pStyle w:val="a"/>
        <w:numPr>
          <w:ilvl w:val="0"/>
          <w:numId w:val="17"/>
        </w:numPr>
        <w:ind w:left="360"/>
        <w:rPr>
          <w:rFonts w:eastAsia="SimSun"/>
          <w:lang w:eastAsia="en-US"/>
        </w:rPr>
      </w:pPr>
      <w:bookmarkStart w:id="27" w:name="_Ref48303264"/>
      <w:r>
        <w:rPr>
          <w:rFonts w:eastAsia="SimSun"/>
          <w:lang w:eastAsia="en-US"/>
        </w:rPr>
        <w:t>R1-2006798, Channel access mechanism for NR in 52.6 to 71GHz band, Qualcomm Incorporated</w:t>
      </w:r>
      <w:bookmarkEnd w:id="27"/>
    </w:p>
    <w:p w:rsidR="00B52596" w:rsidRDefault="00D05036">
      <w:pPr>
        <w:pStyle w:val="a"/>
        <w:numPr>
          <w:ilvl w:val="0"/>
          <w:numId w:val="17"/>
        </w:numPr>
        <w:ind w:left="360"/>
        <w:rPr>
          <w:rFonts w:eastAsia="SimSun"/>
          <w:lang w:eastAsia="en-US"/>
        </w:rPr>
      </w:pPr>
      <w:bookmarkStart w:id="28" w:name="_Ref48303346"/>
      <w:r>
        <w:rPr>
          <w:rFonts w:eastAsia="SimSun"/>
          <w:lang w:eastAsia="en-US"/>
        </w:rPr>
        <w:t>R1-2006854, Discussions on channel access mechanism on supporting NR from 52.6GHz to 71 GHz, CAICT</w:t>
      </w:r>
      <w:bookmarkEnd w:id="28"/>
    </w:p>
    <w:p w:rsidR="00B52596" w:rsidRDefault="00D05036">
      <w:pPr>
        <w:pStyle w:val="a"/>
        <w:numPr>
          <w:ilvl w:val="0"/>
          <w:numId w:val="17"/>
        </w:numPr>
        <w:ind w:left="360"/>
        <w:rPr>
          <w:rFonts w:eastAsia="SimSun"/>
          <w:lang w:eastAsia="en-US"/>
        </w:rPr>
      </w:pPr>
      <w:bookmarkStart w:id="29"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29"/>
      <w:proofErr w:type="spellEnd"/>
    </w:p>
    <w:p w:rsidR="00B52596" w:rsidRDefault="00D05036">
      <w:pPr>
        <w:pStyle w:val="a"/>
        <w:numPr>
          <w:ilvl w:val="0"/>
          <w:numId w:val="17"/>
        </w:numPr>
        <w:ind w:left="360"/>
        <w:rPr>
          <w:rFonts w:eastAsia="SimSun"/>
          <w:lang w:eastAsia="en-US"/>
        </w:rPr>
      </w:pPr>
      <w:bookmarkStart w:id="30" w:name="_Ref48303321"/>
      <w:r>
        <w:rPr>
          <w:rFonts w:eastAsia="SimSun"/>
          <w:lang w:eastAsia="en-US"/>
        </w:rPr>
        <w:t>R1-2006908, NR coexistence mechanisms for 60 GHz unlicensed band, Nokia, Nokia Shanghai Bell</w:t>
      </w:r>
      <w:bookmarkEnd w:id="30"/>
    </w:p>
    <w:p w:rsidR="00B52596" w:rsidRDefault="00D05036">
      <w:pPr>
        <w:pStyle w:val="a"/>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rsidR="00B52596" w:rsidRDefault="00D05036">
      <w:pPr>
        <w:pStyle w:val="a"/>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rsidR="00B52596" w:rsidRDefault="00D05036">
      <w:pPr>
        <w:pStyle w:val="a"/>
        <w:numPr>
          <w:ilvl w:val="0"/>
          <w:numId w:val="17"/>
        </w:numPr>
        <w:ind w:left="360"/>
        <w:rPr>
          <w:rFonts w:eastAsia="SimSun"/>
          <w:lang w:eastAsia="en-US"/>
        </w:rPr>
      </w:pPr>
      <w:r>
        <w:rPr>
          <w:rFonts w:eastAsia="SimSun"/>
          <w:lang w:eastAsia="en-US"/>
        </w:rPr>
        <w:t xml:space="preserve">CEPT ECC, ERC, "ERC Recommendation 70-03: Relating to the use of </w:t>
      </w:r>
      <w:proofErr w:type="gramStart"/>
      <w:r>
        <w:rPr>
          <w:rFonts w:eastAsia="SimSun"/>
          <w:lang w:eastAsia="en-US"/>
        </w:rPr>
        <w:t>Short Range</w:t>
      </w:r>
      <w:proofErr w:type="gramEnd"/>
      <w:r>
        <w:rPr>
          <w:rFonts w:eastAsia="SimSun"/>
          <w:lang w:eastAsia="en-US"/>
        </w:rPr>
        <w:t xml:space="preserv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84D" w:rsidRDefault="00DF784D">
      <w:pPr>
        <w:spacing w:after="0" w:line="240" w:lineRule="auto"/>
      </w:pPr>
      <w:r>
        <w:separator/>
      </w:r>
    </w:p>
  </w:endnote>
  <w:endnote w:type="continuationSeparator" w:id="0">
    <w:p w:rsidR="00DF784D" w:rsidRDefault="00DF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7A7" w:rsidRDefault="0010745D">
    <w:pPr>
      <w:pStyle w:val="af"/>
      <w:rPr>
        <w:rStyle w:val="af9"/>
      </w:rPr>
    </w:pPr>
    <w:r>
      <w:rPr>
        <w:rStyle w:val="af9"/>
      </w:rPr>
      <w:fldChar w:fldCharType="begin"/>
    </w:r>
    <w:r w:rsidR="00B147A7">
      <w:rPr>
        <w:rStyle w:val="af9"/>
      </w:rPr>
      <w:instrText xml:space="preserve">PAGE  </w:instrText>
    </w:r>
    <w:r>
      <w:rPr>
        <w:rStyle w:val="af9"/>
      </w:rPr>
      <w:fldChar w:fldCharType="end"/>
    </w:r>
  </w:p>
  <w:p w:rsidR="00B147A7" w:rsidRDefault="00B147A7">
    <w:pPr>
      <w:pStyle w:val="af"/>
    </w:pPr>
  </w:p>
  <w:p w:rsidR="00B147A7" w:rsidRDefault="00B147A7"/>
  <w:p w:rsidR="00B147A7" w:rsidRDefault="00B147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7A7" w:rsidRDefault="0010745D">
    <w:pPr>
      <w:pStyle w:val="af"/>
      <w:rPr>
        <w:rStyle w:val="af9"/>
      </w:rPr>
    </w:pPr>
    <w:r>
      <w:rPr>
        <w:rStyle w:val="af9"/>
      </w:rPr>
      <w:fldChar w:fldCharType="begin"/>
    </w:r>
    <w:r w:rsidR="00B147A7">
      <w:rPr>
        <w:rStyle w:val="af9"/>
      </w:rPr>
      <w:instrText xml:space="preserve">PAGE  </w:instrText>
    </w:r>
    <w:r>
      <w:rPr>
        <w:rStyle w:val="af9"/>
      </w:rPr>
      <w:fldChar w:fldCharType="separate"/>
    </w:r>
    <w:r w:rsidR="00EE289B">
      <w:rPr>
        <w:rStyle w:val="af9"/>
        <w:noProof/>
      </w:rPr>
      <w:t>20</w:t>
    </w:r>
    <w:r>
      <w:rPr>
        <w:rStyle w:val="af9"/>
      </w:rPr>
      <w:fldChar w:fldCharType="end"/>
    </w:r>
  </w:p>
  <w:p w:rsidR="00B147A7" w:rsidRDefault="00B147A7">
    <w:pPr>
      <w:pStyle w:val="af"/>
    </w:pPr>
  </w:p>
  <w:p w:rsidR="00B147A7" w:rsidRDefault="00B147A7"/>
  <w:p w:rsidR="00B147A7" w:rsidRDefault="00B147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CE" w:rsidRDefault="00A576C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84D" w:rsidRDefault="00DF784D">
      <w:pPr>
        <w:spacing w:after="0" w:line="240" w:lineRule="auto"/>
      </w:pPr>
      <w:r>
        <w:separator/>
      </w:r>
    </w:p>
  </w:footnote>
  <w:footnote w:type="continuationSeparator" w:id="0">
    <w:p w:rsidR="00DF784D" w:rsidRDefault="00DF7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CE" w:rsidRDefault="00A576C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CE" w:rsidRDefault="00A576C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CE" w:rsidRDefault="00A576C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97B669"/>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9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1">
    <w:name w:val="heading 1"/>
    <w:next w:val="a1"/>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2">
    <w:name w:val="heading 2"/>
    <w:basedOn w:val="1"/>
    <w:next w:val="a1"/>
    <w:qFormat/>
    <w:rsid w:val="0010745D"/>
    <w:pPr>
      <w:numPr>
        <w:ilvl w:val="1"/>
      </w:numPr>
      <w:pBdr>
        <w:top w:val="none" w:sz="0" w:space="0" w:color="auto"/>
      </w:pBdr>
      <w:outlineLvl w:val="1"/>
    </w:pPr>
    <w:rPr>
      <w:sz w:val="32"/>
      <w:szCs w:val="32"/>
    </w:rPr>
  </w:style>
  <w:style w:type="paragraph" w:styleId="3">
    <w:name w:val="heading 3"/>
    <w:basedOn w:val="2"/>
    <w:next w:val="a1"/>
    <w:link w:val="30"/>
    <w:qFormat/>
    <w:rsid w:val="0010745D"/>
    <w:pPr>
      <w:numPr>
        <w:ilvl w:val="2"/>
      </w:numPr>
      <w:spacing w:before="120"/>
      <w:outlineLvl w:val="2"/>
    </w:pPr>
    <w:rPr>
      <w:sz w:val="28"/>
    </w:rPr>
  </w:style>
  <w:style w:type="paragraph" w:styleId="4">
    <w:name w:val="heading 4"/>
    <w:basedOn w:val="a1"/>
    <w:next w:val="a1"/>
    <w:qFormat/>
    <w:rsid w:val="0010745D"/>
    <w:pPr>
      <w:keepNext/>
      <w:jc w:val="center"/>
      <w:outlineLvl w:val="3"/>
    </w:pPr>
    <w:rPr>
      <w:b/>
      <w:bCs/>
    </w:rPr>
  </w:style>
  <w:style w:type="paragraph" w:styleId="5">
    <w:name w:val="heading 5"/>
    <w:basedOn w:val="a1"/>
    <w:next w:val="a1"/>
    <w:qFormat/>
    <w:rsid w:val="0010745D"/>
    <w:pPr>
      <w:keepNext/>
      <w:numPr>
        <w:ilvl w:val="4"/>
        <w:numId w:val="1"/>
      </w:numPr>
      <w:outlineLvl w:val="4"/>
    </w:pPr>
    <w:rPr>
      <w:b/>
      <w:bCs/>
      <w:sz w:val="24"/>
    </w:rPr>
  </w:style>
  <w:style w:type="paragraph" w:styleId="6">
    <w:name w:val="heading 6"/>
    <w:basedOn w:val="a1"/>
    <w:next w:val="a1"/>
    <w:qFormat/>
    <w:rsid w:val="0010745D"/>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10745D"/>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rsid w:val="0010745D"/>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10745D"/>
    <w:pPr>
      <w:ind w:left="1080" w:hanging="360"/>
      <w:contextualSpacing/>
    </w:pPr>
  </w:style>
  <w:style w:type="paragraph" w:styleId="a5">
    <w:name w:val="caption"/>
    <w:basedOn w:val="a1"/>
    <w:next w:val="a1"/>
    <w:link w:val="a6"/>
    <w:qFormat/>
    <w:rsid w:val="0010745D"/>
    <w:pPr>
      <w:widowControl/>
      <w:spacing w:before="120" w:after="120"/>
      <w:jc w:val="left"/>
    </w:pPr>
    <w:rPr>
      <w:b/>
      <w:kern w:val="0"/>
      <w:szCs w:val="20"/>
      <w:lang w:eastAsia="en-US"/>
    </w:rPr>
  </w:style>
  <w:style w:type="paragraph" w:styleId="a0">
    <w:name w:val="List Bullet"/>
    <w:basedOn w:val="a1"/>
    <w:qFormat/>
    <w:rsid w:val="0010745D"/>
    <w:pPr>
      <w:numPr>
        <w:numId w:val="2"/>
      </w:numPr>
      <w:autoSpaceDE/>
      <w:autoSpaceDN/>
      <w:ind w:hangingChars="200" w:hanging="200"/>
    </w:pPr>
    <w:rPr>
      <w:rFonts w:eastAsia="ＭＳ ゴシック"/>
      <w:szCs w:val="20"/>
      <w:lang w:eastAsia="ja-JP"/>
    </w:rPr>
  </w:style>
  <w:style w:type="paragraph" w:styleId="a7">
    <w:name w:val="Document Map"/>
    <w:basedOn w:val="a1"/>
    <w:semiHidden/>
    <w:qFormat/>
    <w:rsid w:val="0010745D"/>
    <w:pPr>
      <w:shd w:val="clear" w:color="auto" w:fill="000080"/>
    </w:pPr>
    <w:rPr>
      <w:rFonts w:ascii="Arial" w:eastAsia="Dotum" w:hAnsi="Arial"/>
    </w:rPr>
  </w:style>
  <w:style w:type="paragraph" w:styleId="a8">
    <w:name w:val="annotation text"/>
    <w:basedOn w:val="a1"/>
    <w:link w:val="a9"/>
    <w:qFormat/>
    <w:rsid w:val="0010745D"/>
    <w:pPr>
      <w:jc w:val="left"/>
    </w:pPr>
  </w:style>
  <w:style w:type="paragraph" w:styleId="aa">
    <w:name w:val="Body Text"/>
    <w:basedOn w:val="a1"/>
    <w:link w:val="ab"/>
    <w:qFormat/>
    <w:rsid w:val="0010745D"/>
    <w:pPr>
      <w:widowControl/>
      <w:autoSpaceDE/>
      <w:autoSpaceDN/>
    </w:pPr>
    <w:rPr>
      <w:snapToGrid/>
      <w:kern w:val="0"/>
      <w:sz w:val="22"/>
      <w:szCs w:val="20"/>
    </w:rPr>
  </w:style>
  <w:style w:type="paragraph" w:styleId="20">
    <w:name w:val="List 2"/>
    <w:basedOn w:val="a1"/>
    <w:qFormat/>
    <w:rsid w:val="0010745D"/>
    <w:pPr>
      <w:ind w:left="720" w:hanging="360"/>
      <w:contextualSpacing/>
    </w:pPr>
  </w:style>
  <w:style w:type="paragraph" w:styleId="32">
    <w:name w:val="toc 3"/>
    <w:basedOn w:val="a1"/>
    <w:next w:val="a1"/>
    <w:qFormat/>
    <w:rsid w:val="0010745D"/>
    <w:pPr>
      <w:spacing w:after="100"/>
      <w:ind w:left="400"/>
    </w:pPr>
  </w:style>
  <w:style w:type="paragraph" w:styleId="ac">
    <w:name w:val="Plain Text"/>
    <w:basedOn w:val="a1"/>
    <w:link w:val="ad"/>
    <w:uiPriority w:val="99"/>
    <w:unhideWhenUsed/>
    <w:qFormat/>
    <w:rsid w:val="0010745D"/>
    <w:pPr>
      <w:jc w:val="left"/>
    </w:pPr>
    <w:rPr>
      <w:rFonts w:ascii="Courier New" w:eastAsia="Gulim" w:hAnsi="Courier New"/>
      <w:szCs w:val="20"/>
      <w:lang w:val="zh-CN" w:eastAsia="zh-CN"/>
    </w:rPr>
  </w:style>
  <w:style w:type="paragraph" w:styleId="80">
    <w:name w:val="toc 8"/>
    <w:basedOn w:val="a1"/>
    <w:next w:val="a1"/>
    <w:qFormat/>
    <w:rsid w:val="0010745D"/>
    <w:pPr>
      <w:ind w:leftChars="1400" w:left="2975"/>
    </w:pPr>
  </w:style>
  <w:style w:type="paragraph" w:styleId="ae">
    <w:name w:val="Balloon Text"/>
    <w:basedOn w:val="a1"/>
    <w:semiHidden/>
    <w:qFormat/>
    <w:rsid w:val="0010745D"/>
    <w:rPr>
      <w:rFonts w:ascii="Arial" w:eastAsia="Dotum" w:hAnsi="Arial"/>
      <w:sz w:val="18"/>
      <w:szCs w:val="18"/>
    </w:rPr>
  </w:style>
  <w:style w:type="paragraph" w:styleId="af">
    <w:name w:val="footer"/>
    <w:basedOn w:val="a1"/>
    <w:link w:val="af0"/>
    <w:qFormat/>
    <w:rsid w:val="0010745D"/>
    <w:pPr>
      <w:tabs>
        <w:tab w:val="center" w:pos="4252"/>
        <w:tab w:val="right" w:pos="8504"/>
      </w:tabs>
      <w:snapToGrid w:val="0"/>
    </w:pPr>
  </w:style>
  <w:style w:type="paragraph" w:styleId="af1">
    <w:name w:val="header"/>
    <w:basedOn w:val="a1"/>
    <w:link w:val="af2"/>
    <w:qFormat/>
    <w:rsid w:val="0010745D"/>
    <w:pPr>
      <w:tabs>
        <w:tab w:val="center" w:pos="4252"/>
        <w:tab w:val="right" w:pos="8504"/>
      </w:tabs>
      <w:snapToGrid w:val="0"/>
    </w:pPr>
  </w:style>
  <w:style w:type="paragraph" w:styleId="af3">
    <w:name w:val="List"/>
    <w:basedOn w:val="a1"/>
    <w:qFormat/>
    <w:rsid w:val="0010745D"/>
    <w:pPr>
      <w:ind w:left="360" w:hanging="360"/>
      <w:contextualSpacing/>
    </w:pPr>
  </w:style>
  <w:style w:type="paragraph" w:styleId="af4">
    <w:name w:val="footnote text"/>
    <w:basedOn w:val="a1"/>
    <w:link w:val="af5"/>
    <w:qFormat/>
    <w:rsid w:val="0010745D"/>
    <w:pPr>
      <w:snapToGrid w:val="0"/>
      <w:jc w:val="left"/>
    </w:pPr>
    <w:rPr>
      <w:lang w:val="zh-CN" w:eastAsia="zh-CN"/>
    </w:rPr>
  </w:style>
  <w:style w:type="paragraph" w:styleId="Web">
    <w:name w:val="Normal (Web)"/>
    <w:basedOn w:val="a1"/>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sid w:val="0010745D"/>
    <w:rPr>
      <w:b/>
      <w:bCs/>
    </w:rPr>
  </w:style>
  <w:style w:type="table" w:styleId="af7">
    <w:name w:val="Table Grid"/>
    <w:aliases w:val="TableGrid"/>
    <w:basedOn w:val="a3"/>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10745D"/>
    <w:rPr>
      <w:b/>
      <w:bCs/>
    </w:rPr>
  </w:style>
  <w:style w:type="character" w:styleId="af9">
    <w:name w:val="page number"/>
    <w:basedOn w:val="a2"/>
    <w:qFormat/>
    <w:rsid w:val="0010745D"/>
  </w:style>
  <w:style w:type="character" w:styleId="afa">
    <w:name w:val="FollowedHyperlink"/>
    <w:basedOn w:val="a2"/>
    <w:semiHidden/>
    <w:unhideWhenUsed/>
    <w:qFormat/>
    <w:rsid w:val="0010745D"/>
    <w:rPr>
      <w:color w:val="954F72" w:themeColor="followedHyperlink"/>
      <w:u w:val="single"/>
    </w:rPr>
  </w:style>
  <w:style w:type="character" w:styleId="afb">
    <w:name w:val="Emphasis"/>
    <w:uiPriority w:val="20"/>
    <w:qFormat/>
    <w:rsid w:val="0010745D"/>
    <w:rPr>
      <w:i/>
      <w:iCs/>
    </w:rPr>
  </w:style>
  <w:style w:type="character" w:styleId="afc">
    <w:name w:val="Hyperlink"/>
    <w:qFormat/>
    <w:rsid w:val="0010745D"/>
    <w:rPr>
      <w:rFonts w:ascii="Arial" w:eastAsia="SimSun" w:hAnsi="Arial" w:cs="Arial"/>
      <w:color w:val="0000FF"/>
      <w:kern w:val="2"/>
      <w:u w:val="single"/>
      <w:lang w:val="en-US" w:eastAsia="zh-CN" w:bidi="ar-SA"/>
    </w:rPr>
  </w:style>
  <w:style w:type="character" w:styleId="afd">
    <w:name w:val="annotation reference"/>
    <w:qFormat/>
    <w:rsid w:val="0010745D"/>
    <w:rPr>
      <w:sz w:val="18"/>
      <w:szCs w:val="18"/>
    </w:rPr>
  </w:style>
  <w:style w:type="character" w:styleId="afe">
    <w:name w:val="footnote reference"/>
    <w:qFormat/>
    <w:rsid w:val="0010745D"/>
    <w:rPr>
      <w:vertAlign w:val="superscript"/>
    </w:rPr>
  </w:style>
  <w:style w:type="paragraph" w:customStyle="1" w:styleId="LGTdoc1">
    <w:name w:val="LGTdoc_제목1"/>
    <w:basedOn w:val="a1"/>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rsid w:val="0010745D"/>
    <w:pPr>
      <w:snapToGrid w:val="0"/>
      <w:spacing w:afterLines="50" w:line="264" w:lineRule="auto"/>
    </w:pPr>
    <w:rPr>
      <w:sz w:val="22"/>
    </w:rPr>
  </w:style>
  <w:style w:type="paragraph" w:customStyle="1" w:styleId="LGTdoc11">
    <w:name w:val="LGTdoc_제목1.1"/>
    <w:basedOn w:val="a1"/>
    <w:qFormat/>
    <w:rsid w:val="0010745D"/>
    <w:pPr>
      <w:snapToGrid w:val="0"/>
      <w:spacing w:beforeLines="100" w:afterLines="50"/>
      <w:ind w:left="391" w:hangingChars="166" w:hanging="391"/>
    </w:pPr>
    <w:rPr>
      <w:b/>
      <w:bCs/>
      <w:sz w:val="24"/>
    </w:rPr>
  </w:style>
  <w:style w:type="paragraph" w:customStyle="1" w:styleId="LGTdoc111">
    <w:name w:val="LGTdoc_제목1.1.1"/>
    <w:basedOn w:val="a1"/>
    <w:qFormat/>
    <w:rsid w:val="0010745D"/>
    <w:pPr>
      <w:snapToGrid w:val="0"/>
      <w:spacing w:beforeLines="50" w:line="264" w:lineRule="auto"/>
      <w:ind w:firstLineChars="100" w:firstLine="220"/>
    </w:pPr>
    <w:rPr>
      <w:b/>
      <w:bCs/>
      <w:sz w:val="22"/>
    </w:rPr>
  </w:style>
  <w:style w:type="paragraph" w:customStyle="1" w:styleId="TAL">
    <w:name w:val="TAL"/>
    <w:basedOn w:val="a1"/>
    <w:qFormat/>
    <w:rsid w:val="0010745D"/>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a1"/>
    <w:link w:val="THChar"/>
    <w:qFormat/>
    <w:rsid w:val="0010745D"/>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a6">
    <w:name w:val="図表番号 (文字)"/>
    <w:link w:val="a5"/>
    <w:qFormat/>
    <w:rsid w:val="0010745D"/>
    <w:rPr>
      <w:b/>
      <w:lang w:val="en-GB" w:eastAsia="en-US" w:bidi="ar-SA"/>
    </w:rPr>
  </w:style>
  <w:style w:type="character" w:customStyle="1" w:styleId="ab">
    <w:name w:val="本文 (文字)"/>
    <w:link w:val="aa"/>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ＭＳ 明朝"/>
      <w:b/>
      <w:bCs/>
      <w:lang w:val="en-GB" w:eastAsia="en-US" w:bidi="ar-SA"/>
    </w:rPr>
  </w:style>
  <w:style w:type="paragraph" w:customStyle="1" w:styleId="Text">
    <w:name w:val="Text"/>
    <w:basedOn w:val="a1"/>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a1"/>
    <w:qFormat/>
    <w:rsid w:val="0010745D"/>
    <w:pPr>
      <w:widowControl/>
      <w:autoSpaceDE/>
      <w:autoSpaceDN/>
    </w:pPr>
    <w:rPr>
      <w:rFonts w:eastAsia="Times New Roman"/>
      <w:kern w:val="0"/>
      <w:sz w:val="16"/>
      <w:lang w:eastAsia="en-US"/>
    </w:rPr>
  </w:style>
  <w:style w:type="paragraph" w:customStyle="1" w:styleId="11">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f2">
    <w:name w:val="ヘッダー (文字)"/>
    <w:link w:val="af1"/>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af5">
    <w:name w:val="脚注文字列 (文字)"/>
    <w:link w:val="af4"/>
    <w:qFormat/>
    <w:rsid w:val="0010745D"/>
    <w:rPr>
      <w:rFonts w:ascii="Batang"/>
      <w:kern w:val="2"/>
      <w:szCs w:val="24"/>
    </w:rPr>
  </w:style>
  <w:style w:type="paragraph" w:customStyle="1" w:styleId="lgtdoc3">
    <w:name w:val="lgtdoc"/>
    <w:basedOn w:val="a1"/>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rsid w:val="0010745D"/>
    <w:rPr>
      <w:rFonts w:ascii="Batang" w:eastAsia="Batang" w:hAnsi="Times New Roman" w:cs="Times New Roman"/>
      <w:kern w:val="2"/>
      <w:szCs w:val="24"/>
    </w:rPr>
  </w:style>
  <w:style w:type="paragraph" w:styleId="a">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a1"/>
    <w:link w:val="aff"/>
    <w:uiPriority w:val="34"/>
    <w:qFormat/>
    <w:rsid w:val="0010745D"/>
    <w:pPr>
      <w:widowControl/>
      <w:numPr>
        <w:numId w:val="5"/>
      </w:numPr>
      <w:autoSpaceDE/>
      <w:autoSpaceDN/>
      <w:jc w:val="left"/>
    </w:pPr>
    <w:rPr>
      <w:rFonts w:eastAsia="Gulim"/>
      <w:kern w:val="0"/>
    </w:rPr>
  </w:style>
  <w:style w:type="character" w:customStyle="1" w:styleId="ad">
    <w:name w:val="書式なし (文字)"/>
    <w:link w:val="ac"/>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ＭＳ 明朝" w:hAnsi="Arial"/>
      <w:b/>
      <w:lang w:val="en-GB" w:eastAsia="en-US"/>
    </w:rPr>
  </w:style>
  <w:style w:type="paragraph" w:styleId="aff0">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ＭＳ 明朝"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a3"/>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목록 단락 (文字),Lista1 (文字),?? ?? (文字),????? (文字),???? (文字),列出段落1 (文字),中等深浅网格 1 - 着色 21 (文字),列表段落1 (文字),—ño’i—Ž (文字),列表段落 (文字),¥¡¡¡¡ì¬º¥¹¥È¶ÎÂä (文字),ÁÐ³ö¶ÎÂä (文字),¥ê¥¹¥È¶ÎÂä (文字),1st level - Bullet List Paragraph (文字),목록단락 (文字)"/>
    <w:link w:val="a"/>
    <w:uiPriority w:val="34"/>
    <w:qFormat/>
    <w:rsid w:val="0010745D"/>
    <w:rPr>
      <w:rFonts w:eastAsia="Gulim"/>
      <w:snapToGrid w:val="0"/>
      <w:szCs w:val="22"/>
      <w:lang w:val="en-GB" w:eastAsia="ko-KR"/>
    </w:rPr>
  </w:style>
  <w:style w:type="character" w:styleId="aff1">
    <w:name w:val="Placeholder Text"/>
    <w:basedOn w:val="a2"/>
    <w:uiPriority w:val="99"/>
    <w:semiHidden/>
    <w:qFormat/>
    <w:rsid w:val="0010745D"/>
    <w:rPr>
      <w:color w:val="808080"/>
    </w:rPr>
  </w:style>
  <w:style w:type="character" w:customStyle="1" w:styleId="30">
    <w:name w:val="見出し 3 (文字)"/>
    <w:basedOn w:val="a2"/>
    <w:link w:val="3"/>
    <w:qFormat/>
    <w:rsid w:val="0010745D"/>
    <w:rPr>
      <w:rFonts w:ascii="Arial" w:hAnsi="Arial"/>
      <w:sz w:val="28"/>
      <w:lang w:val="en-GB"/>
    </w:rPr>
  </w:style>
  <w:style w:type="table" w:customStyle="1" w:styleId="310">
    <w:name w:val="일반 표 31"/>
    <w:basedOn w:val="a3"/>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ＭＳ 明朝" w:hAnsi="Arial"/>
      <w:sz w:val="18"/>
      <w:lang w:val="en-GB"/>
    </w:rPr>
  </w:style>
  <w:style w:type="character" w:customStyle="1" w:styleId="TAHCar">
    <w:name w:val="TAH Car"/>
    <w:link w:val="TAH"/>
    <w:qFormat/>
    <w:rsid w:val="0010745D"/>
    <w:rPr>
      <w:rFonts w:ascii="Arial" w:eastAsia="ＭＳ 明朝" w:hAnsi="Arial"/>
      <w:b/>
      <w:sz w:val="18"/>
      <w:lang w:val="en-GB"/>
    </w:rPr>
  </w:style>
  <w:style w:type="paragraph" w:customStyle="1" w:styleId="Reference">
    <w:name w:val="Reference"/>
    <w:basedOn w:val="a1"/>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a2"/>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a"/>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a1"/>
    <w:next w:val="a1"/>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sid w:val="0010745D"/>
    <w:rPr>
      <w:rFonts w:ascii="Arial" w:hAnsi="Arial" w:cs="Arial"/>
      <w:i/>
      <w:color w:val="00B0F0"/>
      <w:sz w:val="16"/>
      <w:szCs w:val="16"/>
    </w:rPr>
  </w:style>
  <w:style w:type="paragraph" w:customStyle="1" w:styleId="notes">
    <w:name w:val="notes"/>
    <w:basedOn w:val="a1"/>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sid w:val="0010745D"/>
    <w:rPr>
      <w:snapToGrid w:val="0"/>
      <w:kern w:val="2"/>
      <w:szCs w:val="22"/>
      <w:lang w:val="en-GB" w:eastAsia="ko-KR"/>
    </w:rPr>
  </w:style>
  <w:style w:type="paragraph" w:customStyle="1" w:styleId="B1">
    <w:name w:val="B1"/>
    <w:basedOn w:val="af3"/>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a2"/>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a9">
    <w:name w:val="コメント文字列 (文字)"/>
    <w:link w:val="a8"/>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a1"/>
    <w:next w:val="a1"/>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rsid w:val="0010745D"/>
  </w:style>
  <w:style w:type="paragraph" w:customStyle="1" w:styleId="BN">
    <w:name w:val="BN"/>
    <w:basedOn w:val="a1"/>
    <w:qFormat/>
    <w:rsid w:val="0010745D"/>
    <w:pPr>
      <w:widowControl/>
      <w:numPr>
        <w:numId w:val="10"/>
      </w:numPr>
      <w:kinsoku/>
      <w:spacing w:after="180"/>
      <w:jc w:val="left"/>
    </w:pPr>
    <w:rPr>
      <w:rFonts w:eastAsia="Times New Roman"/>
      <w:snapToGrid/>
      <w:kern w:val="0"/>
      <w:szCs w:val="20"/>
      <w:lang w:eastAsia="en-US"/>
    </w:rPr>
  </w:style>
  <w:style w:type="character" w:customStyle="1" w:styleId="13">
    <w:name w:val="メンション1"/>
    <w:basedOn w:val="a2"/>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B97C7314-D7F0-4201-B65C-95CBDA4031E3}">
  <ds:schemaRefs>
    <ds:schemaRef ds:uri="http://schemas.openxmlformats.org/officeDocument/2006/bibliography"/>
  </ds:schemaRefs>
</ds:datastoreItem>
</file>

<file path=customXml/itemProps7.xml><?xml version="1.0" encoding="utf-8"?>
<ds:datastoreItem xmlns:ds="http://schemas.openxmlformats.org/officeDocument/2006/customXml" ds:itemID="{A6C6C707-DD3A-4FD3-A9D3-98ECAE50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8830</Words>
  <Characters>50334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Kusashima, Naoki (Sony)</cp:lastModifiedBy>
  <cp:revision>6</cp:revision>
  <cp:lastPrinted>2019-01-10T09:30:00Z</cp:lastPrinted>
  <dcterms:created xsi:type="dcterms:W3CDTF">2020-08-19T08:18:00Z</dcterms:created>
  <dcterms:modified xsi:type="dcterms:W3CDTF">2020-08-19T09:14:00Z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