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mc:AlternateContent>
                  <mc:Choice Requires="w16se"/>
                  <mc:Fallback>
                    <w:rFonts w:ascii="Segoe UI Emoji" w:eastAsia="Segoe UI Emoji" w:hAnsi="Segoe UI Emoji" w:cs="Segoe UI Emoji"/>
                  </mc:Fallback>
                </mc:AlternateContent>
                <w:color w:val="00B0F0"/>
                <w:kern w:val="2"/>
                <w:lang w:eastAsia="zh-CN"/>
              </w:rPr>
              <mc:AlternateContent>
                <mc:Choice Requires="w16se">
                  <w16se:symEx w16se:font="Segoe UI Emoji" w16se:char="1F60A"/>
                </mc:Choice>
                <mc:Fallback>
                  <w:t>😊</w:t>
                </mc:Fallback>
              </mc:AlternateConten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bookmarkStart w:id="4" w:name="_GoBack"/>
            <w:bookmarkEnd w:id="4"/>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425A939A" w:rsidR="006E3D68" w:rsidRPr="006E3D68" w:rsidRDefault="006E3D68" w:rsidP="00D62F8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AB7756" w14:textId="6C5CE218" w:rsidR="006E3D68" w:rsidRPr="006E3D68" w:rsidRDefault="006E3D68" w:rsidP="00D62F85">
            <w:pPr>
              <w:spacing w:beforeLines="50" w:before="120"/>
              <w:rPr>
                <w:kern w:val="2"/>
                <w:lang w:eastAsia="zh-CN"/>
              </w:rPr>
            </w:pPr>
          </w:p>
        </w:tc>
      </w:tr>
      <w:tr w:rsidR="006E3D6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70413DBE" w:rsidR="006E3D68" w:rsidRPr="006E3D68" w:rsidRDefault="006E3D68" w:rsidP="00D62F8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E91432" w14:textId="27DD4F8B" w:rsidR="006E3D68" w:rsidRPr="006E3D68" w:rsidRDefault="006E3D68" w:rsidP="00D62F85">
            <w:pPr>
              <w:spacing w:beforeLines="50" w:before="120"/>
              <w:rPr>
                <w:iCs/>
                <w:kern w:val="2"/>
                <w:lang w:eastAsia="zh-CN"/>
              </w:rPr>
            </w:pPr>
          </w:p>
        </w:tc>
      </w:tr>
      <w:tr w:rsidR="006E3D6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6E3D68" w:rsidRPr="006E3D68" w:rsidRDefault="006E3D68" w:rsidP="00D62F85">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6E3D68" w:rsidRPr="006E3D68" w:rsidRDefault="006E3D68" w:rsidP="00D62F85">
            <w:pPr>
              <w:spacing w:beforeLines="50" w:before="120"/>
              <w:rPr>
                <w:rFonts w:eastAsia="MS Mincho"/>
                <w:iCs/>
                <w:kern w:val="2"/>
                <w:lang w:eastAsia="ja-JP"/>
              </w:rPr>
            </w:pPr>
          </w:p>
        </w:tc>
      </w:tr>
      <w:tr w:rsidR="006E3D6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6E3D68" w:rsidRPr="006E3D68" w:rsidRDefault="006E3D68" w:rsidP="00D62F85">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6E3D68" w:rsidRPr="006E3D68" w:rsidRDefault="006E3D68" w:rsidP="00D62F85">
            <w:pPr>
              <w:spacing w:beforeLines="50" w:before="120"/>
              <w:rPr>
                <w:rFonts w:eastAsia="Malgun Gothic"/>
                <w:kern w:val="2"/>
                <w:lang w:eastAsia="ko-KR"/>
              </w:rPr>
            </w:pPr>
          </w:p>
        </w:tc>
      </w:tr>
      <w:tr w:rsidR="006E3D68" w:rsidRPr="006E3D68" w14:paraId="06508E0B" w14:textId="77777777" w:rsidTr="00D62F85">
        <w:tc>
          <w:tcPr>
            <w:tcW w:w="2113" w:type="dxa"/>
          </w:tcPr>
          <w:p w14:paraId="05AC4C26" w14:textId="5EA68B6D" w:rsidR="006E3D68" w:rsidRPr="006E3D68" w:rsidRDefault="006E3D68" w:rsidP="00D62F85">
            <w:pPr>
              <w:spacing w:beforeLines="50" w:before="120"/>
              <w:rPr>
                <w:rFonts w:eastAsiaTheme="minorEastAsia"/>
                <w:kern w:val="2"/>
                <w:lang w:eastAsia="zh-CN"/>
              </w:rPr>
            </w:pPr>
          </w:p>
        </w:tc>
        <w:tc>
          <w:tcPr>
            <w:tcW w:w="7194" w:type="dxa"/>
          </w:tcPr>
          <w:p w14:paraId="3DF1F4FE" w14:textId="79662501" w:rsidR="006E3D68" w:rsidRPr="006E3D68" w:rsidRDefault="006E3D68" w:rsidP="00D62F85">
            <w:pPr>
              <w:spacing w:beforeLines="50" w:before="120"/>
              <w:rPr>
                <w:rFonts w:eastAsiaTheme="minorEastAsia"/>
                <w:kern w:val="2"/>
                <w:lang w:eastAsia="zh-CN"/>
              </w:rPr>
            </w:pPr>
          </w:p>
        </w:tc>
      </w:tr>
      <w:tr w:rsidR="006E3D68" w:rsidRPr="006E3D68" w14:paraId="5F6159F6" w14:textId="77777777" w:rsidTr="00D62F85">
        <w:tc>
          <w:tcPr>
            <w:tcW w:w="2113" w:type="dxa"/>
          </w:tcPr>
          <w:p w14:paraId="5B65E056" w14:textId="462A784E" w:rsidR="006E3D68" w:rsidRPr="006E3D68" w:rsidRDefault="006E3D68" w:rsidP="00D62F85">
            <w:pPr>
              <w:spacing w:beforeLines="50" w:before="120"/>
              <w:rPr>
                <w:kern w:val="2"/>
                <w:lang w:eastAsia="zh-CN"/>
              </w:rPr>
            </w:pPr>
          </w:p>
        </w:tc>
        <w:tc>
          <w:tcPr>
            <w:tcW w:w="7194" w:type="dxa"/>
          </w:tcPr>
          <w:p w14:paraId="6E5C20C0" w14:textId="363FBC60" w:rsidR="006E3D68" w:rsidRPr="006E3D68" w:rsidRDefault="006E3D68" w:rsidP="00D62F85">
            <w:pPr>
              <w:spacing w:beforeLines="50" w:before="120"/>
              <w:rPr>
                <w:kern w:val="2"/>
                <w:lang w:eastAsia="zh-CN"/>
              </w:rPr>
            </w:pPr>
          </w:p>
        </w:tc>
      </w:tr>
      <w:tr w:rsidR="006E3D68" w:rsidRPr="006E3D68" w14:paraId="216B22D1" w14:textId="77777777" w:rsidTr="00D62F85">
        <w:tc>
          <w:tcPr>
            <w:tcW w:w="2113" w:type="dxa"/>
          </w:tcPr>
          <w:p w14:paraId="34C52815" w14:textId="11756981" w:rsidR="006E3D68" w:rsidRPr="006E3D68" w:rsidRDefault="006E3D68" w:rsidP="00D62F85">
            <w:pPr>
              <w:spacing w:beforeLines="50" w:before="120"/>
              <w:rPr>
                <w:iCs/>
                <w:kern w:val="2"/>
                <w:lang w:eastAsia="zh-CN"/>
              </w:rPr>
            </w:pPr>
          </w:p>
        </w:tc>
        <w:tc>
          <w:tcPr>
            <w:tcW w:w="7194" w:type="dxa"/>
          </w:tcPr>
          <w:p w14:paraId="0A9F6ED2" w14:textId="66562279" w:rsidR="006E3D68" w:rsidRPr="006E3D68" w:rsidRDefault="006E3D68" w:rsidP="00D62F85">
            <w:pPr>
              <w:spacing w:beforeLines="50" w:before="120"/>
              <w:rPr>
                <w:iCs/>
                <w:kern w:val="2"/>
                <w:lang w:eastAsia="zh-CN"/>
              </w:rPr>
            </w:pPr>
          </w:p>
        </w:tc>
      </w:tr>
    </w:tbl>
    <w:p w14:paraId="105D217B" w14:textId="77777777" w:rsidR="00C3649C" w:rsidRPr="006E3D68" w:rsidRDefault="00C3649C"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Pr>
          <w:b/>
          <w:highlight w:val="yellow"/>
          <w:lang w:eastAsia="zh-CN"/>
        </w:rPr>
        <w:t>P</w:t>
      </w:r>
      <w:r w:rsidR="006E3D68" w:rsidRPr="001C671D">
        <w:rPr>
          <w:b/>
          <w:highlight w:val="yellow"/>
          <w:lang w:eastAsia="zh-CN"/>
        </w:rPr>
        <w:t>roposal 1</w:t>
      </w:r>
      <w:r w:rsidR="006E3D68" w:rsidRPr="001C671D">
        <w:rPr>
          <w:highlight w:val="yellow"/>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w:t>
            </w:r>
            <w:r>
              <w:rPr>
                <w:color w:val="00B0F0"/>
                <w:lang w:eastAsia="zh-CN"/>
              </w:rPr>
              <w:t xml:space="preserve">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C560A0" w14:textId="77777777" w:rsidR="00A43CFF" w:rsidRPr="006E3D68" w:rsidRDefault="00A43CFF" w:rsidP="00A43CFF">
            <w:pPr>
              <w:spacing w:beforeLines="50" w:before="120"/>
              <w:rPr>
                <w:kern w:val="2"/>
                <w:lang w:eastAsia="zh-CN"/>
              </w:rPr>
            </w:pP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4B9B9F" w14:textId="77777777" w:rsidR="00A43CFF" w:rsidRPr="006E3D68" w:rsidRDefault="00A43CFF" w:rsidP="00A43CFF">
            <w:pPr>
              <w:spacing w:beforeLines="50" w:before="120"/>
              <w:rPr>
                <w:iCs/>
                <w:kern w:val="2"/>
                <w:lang w:eastAsia="zh-CN"/>
              </w:rPr>
            </w:pPr>
          </w:p>
        </w:tc>
      </w:tr>
      <w:tr w:rsidR="00A43CFF"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3379173" w14:textId="77777777" w:rsidR="00A43CFF" w:rsidRPr="006E3D68" w:rsidRDefault="00A43CFF" w:rsidP="00A43CFF">
            <w:pPr>
              <w:spacing w:beforeLines="50" w:before="120"/>
              <w:rPr>
                <w:rFonts w:eastAsia="MS Mincho"/>
                <w:iCs/>
                <w:kern w:val="2"/>
                <w:lang w:eastAsia="ja-JP"/>
              </w:rPr>
            </w:pPr>
          </w:p>
        </w:tc>
      </w:tr>
      <w:tr w:rsidR="00A43CFF" w:rsidRPr="006E3D68" w14:paraId="78335C3D" w14:textId="77777777" w:rsidTr="00D62F85">
        <w:tc>
          <w:tcPr>
            <w:tcW w:w="2113" w:type="dxa"/>
            <w:tcBorders>
              <w:top w:val="single" w:sz="4" w:space="0" w:color="auto"/>
              <w:left w:val="single" w:sz="4" w:space="0" w:color="auto"/>
              <w:bottom w:val="single" w:sz="4" w:space="0" w:color="auto"/>
              <w:right w:val="single" w:sz="4" w:space="0" w:color="auto"/>
            </w:tcBorders>
          </w:tcPr>
          <w:p w14:paraId="43A249D4"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3F71026" w14:textId="77777777" w:rsidR="00A43CFF" w:rsidRPr="006E3D68" w:rsidRDefault="00A43CFF" w:rsidP="00A43CFF">
            <w:pPr>
              <w:spacing w:beforeLines="50" w:before="120"/>
              <w:rPr>
                <w:rFonts w:eastAsia="Malgun Gothic"/>
                <w:kern w:val="2"/>
                <w:lang w:eastAsia="ko-KR"/>
              </w:rPr>
            </w:pPr>
          </w:p>
        </w:tc>
      </w:tr>
      <w:tr w:rsidR="00A43CFF" w:rsidRPr="006E3D68" w14:paraId="2E2E2F30" w14:textId="77777777" w:rsidTr="00D62F85">
        <w:tc>
          <w:tcPr>
            <w:tcW w:w="2113" w:type="dxa"/>
          </w:tcPr>
          <w:p w14:paraId="65669994" w14:textId="77777777" w:rsidR="00A43CFF" w:rsidRPr="006E3D68" w:rsidRDefault="00A43CFF" w:rsidP="00A43CFF">
            <w:pPr>
              <w:spacing w:beforeLines="50" w:before="120"/>
              <w:rPr>
                <w:rFonts w:eastAsiaTheme="minorEastAsia"/>
                <w:kern w:val="2"/>
                <w:lang w:eastAsia="zh-CN"/>
              </w:rPr>
            </w:pPr>
          </w:p>
        </w:tc>
        <w:tc>
          <w:tcPr>
            <w:tcW w:w="7194" w:type="dxa"/>
          </w:tcPr>
          <w:p w14:paraId="2C1EA1B4" w14:textId="77777777" w:rsidR="00A43CFF" w:rsidRPr="006E3D68" w:rsidRDefault="00A43CFF" w:rsidP="00A43CFF">
            <w:pPr>
              <w:spacing w:beforeLines="50" w:before="120"/>
              <w:rPr>
                <w:rFonts w:eastAsiaTheme="minorEastAsia"/>
                <w:kern w:val="2"/>
                <w:lang w:eastAsia="zh-CN"/>
              </w:rPr>
            </w:pPr>
          </w:p>
        </w:tc>
      </w:tr>
      <w:tr w:rsidR="00A43CFF" w:rsidRPr="006E3D68" w14:paraId="21EDBB56" w14:textId="77777777" w:rsidTr="00D62F85">
        <w:tc>
          <w:tcPr>
            <w:tcW w:w="2113" w:type="dxa"/>
          </w:tcPr>
          <w:p w14:paraId="3CD51223" w14:textId="77777777" w:rsidR="00A43CFF" w:rsidRPr="006E3D68" w:rsidRDefault="00A43CFF" w:rsidP="00A43CFF">
            <w:pPr>
              <w:spacing w:beforeLines="50" w:before="120"/>
              <w:rPr>
                <w:kern w:val="2"/>
                <w:lang w:eastAsia="zh-CN"/>
              </w:rPr>
            </w:pPr>
          </w:p>
        </w:tc>
        <w:tc>
          <w:tcPr>
            <w:tcW w:w="7194" w:type="dxa"/>
          </w:tcPr>
          <w:p w14:paraId="5525B06A" w14:textId="77777777" w:rsidR="00A43CFF" w:rsidRPr="006E3D68" w:rsidRDefault="00A43CFF" w:rsidP="00A43CFF">
            <w:pPr>
              <w:spacing w:beforeLines="50" w:before="120"/>
              <w:rPr>
                <w:kern w:val="2"/>
                <w:lang w:eastAsia="zh-CN"/>
              </w:rPr>
            </w:pPr>
          </w:p>
        </w:tc>
      </w:tr>
      <w:tr w:rsidR="00A43CFF" w:rsidRPr="006E3D68" w14:paraId="7B70C9E3" w14:textId="77777777" w:rsidTr="00D62F85">
        <w:tc>
          <w:tcPr>
            <w:tcW w:w="2113" w:type="dxa"/>
          </w:tcPr>
          <w:p w14:paraId="38388A24" w14:textId="77777777" w:rsidR="00A43CFF" w:rsidRPr="006E3D68" w:rsidRDefault="00A43CFF" w:rsidP="00A43CFF">
            <w:pPr>
              <w:spacing w:beforeLines="50" w:before="120"/>
              <w:rPr>
                <w:iCs/>
                <w:kern w:val="2"/>
                <w:lang w:eastAsia="zh-CN"/>
              </w:rPr>
            </w:pPr>
          </w:p>
        </w:tc>
        <w:tc>
          <w:tcPr>
            <w:tcW w:w="7194" w:type="dxa"/>
          </w:tcPr>
          <w:p w14:paraId="6C184DE2" w14:textId="77777777" w:rsidR="00A43CFF" w:rsidRPr="006E3D68" w:rsidRDefault="00A43CFF" w:rsidP="00A43CFF">
            <w:pPr>
              <w:spacing w:beforeLines="50" w:before="120"/>
              <w:rPr>
                <w:iCs/>
                <w:kern w:val="2"/>
                <w:lang w:eastAsia="zh-CN"/>
              </w:rPr>
            </w:pPr>
          </w:p>
        </w:tc>
      </w:tr>
    </w:tbl>
    <w:p w14:paraId="30FE1429" w14:textId="77777777" w:rsidR="001F5A97" w:rsidRPr="006E3D68" w:rsidRDefault="001F5A97" w:rsidP="001F5A97">
      <w:pPr>
        <w:rPr>
          <w:lang w:eastAsia="zh-CN"/>
        </w:rPr>
      </w:pPr>
    </w:p>
    <w:p w14:paraId="15BAB778" w14:textId="77777777" w:rsidR="001F5A97" w:rsidRPr="001C671D" w:rsidRDefault="001F5A97"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Pr>
          <w:b/>
          <w:highlight w:val="yellow"/>
          <w:lang w:eastAsia="zh-CN"/>
        </w:rPr>
        <w:t>P</w:t>
      </w:r>
      <w:r w:rsidR="006E3D68" w:rsidRPr="001C671D">
        <w:rPr>
          <w:b/>
          <w:highlight w:val="yellow"/>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We support the FL proposal.</w:t>
            </w:r>
            <w:r>
              <w:rPr>
                <w:color w:val="00B0F0"/>
                <w:lang w:eastAsia="zh-CN"/>
              </w:rPr>
              <w:t xml:space="preserve"> </w:t>
            </w:r>
          </w:p>
        </w:tc>
      </w:tr>
      <w:tr w:rsidR="00A43CF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707CC1" w14:textId="77777777" w:rsidR="00A43CFF" w:rsidRPr="006E3D68" w:rsidRDefault="00A43CFF" w:rsidP="00A43CF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DAFFD1" w14:textId="77777777" w:rsidR="00A43CFF" w:rsidRPr="006E3D68" w:rsidRDefault="00A43CFF" w:rsidP="00A43CFF">
            <w:pPr>
              <w:spacing w:beforeLines="50" w:before="120"/>
              <w:rPr>
                <w:iCs/>
                <w:kern w:val="2"/>
                <w:lang w:eastAsia="zh-CN"/>
              </w:rPr>
            </w:pPr>
          </w:p>
        </w:tc>
      </w:tr>
      <w:tr w:rsidR="00A43CFF" w:rsidRPr="006E3D68" w14:paraId="190FBB38" w14:textId="77777777" w:rsidTr="00D62F85">
        <w:tc>
          <w:tcPr>
            <w:tcW w:w="2113" w:type="dxa"/>
            <w:tcBorders>
              <w:top w:val="single" w:sz="4" w:space="0" w:color="auto"/>
              <w:left w:val="single" w:sz="4" w:space="0" w:color="auto"/>
              <w:bottom w:val="single" w:sz="4" w:space="0" w:color="auto"/>
              <w:right w:val="single" w:sz="4" w:space="0" w:color="auto"/>
            </w:tcBorders>
          </w:tcPr>
          <w:p w14:paraId="2DB0F636"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E234C7" w14:textId="77777777" w:rsidR="00A43CFF" w:rsidRPr="006E3D68" w:rsidRDefault="00A43CFF" w:rsidP="00A43CFF">
            <w:pPr>
              <w:spacing w:beforeLines="50" w:before="120"/>
              <w:rPr>
                <w:rFonts w:eastAsia="MS Mincho"/>
                <w:iCs/>
                <w:kern w:val="2"/>
                <w:lang w:eastAsia="ja-JP"/>
              </w:rPr>
            </w:pPr>
          </w:p>
        </w:tc>
      </w:tr>
      <w:tr w:rsidR="00A43CFF"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64016871" w14:textId="77777777" w:rsidR="00A43CFF" w:rsidRPr="006E3D68" w:rsidRDefault="00A43CFF" w:rsidP="00A43CFF">
            <w:pPr>
              <w:spacing w:beforeLines="50" w:before="120"/>
              <w:rPr>
                <w:rFonts w:eastAsia="Malgun Gothic"/>
                <w:kern w:val="2"/>
                <w:lang w:eastAsia="ko-KR"/>
              </w:rPr>
            </w:pPr>
          </w:p>
        </w:tc>
      </w:tr>
      <w:tr w:rsidR="00A43CFF" w:rsidRPr="006E3D68" w14:paraId="4185DA31" w14:textId="77777777" w:rsidTr="00D62F85">
        <w:tc>
          <w:tcPr>
            <w:tcW w:w="2113" w:type="dxa"/>
          </w:tcPr>
          <w:p w14:paraId="0823060A" w14:textId="77777777" w:rsidR="00A43CFF" w:rsidRPr="006E3D68" w:rsidRDefault="00A43CFF" w:rsidP="00A43CFF">
            <w:pPr>
              <w:spacing w:beforeLines="50" w:before="120"/>
              <w:rPr>
                <w:rFonts w:eastAsiaTheme="minorEastAsia"/>
                <w:kern w:val="2"/>
                <w:lang w:eastAsia="zh-CN"/>
              </w:rPr>
            </w:pPr>
          </w:p>
        </w:tc>
        <w:tc>
          <w:tcPr>
            <w:tcW w:w="7194" w:type="dxa"/>
          </w:tcPr>
          <w:p w14:paraId="42AB526C" w14:textId="77777777" w:rsidR="00A43CFF" w:rsidRPr="006E3D68" w:rsidRDefault="00A43CFF" w:rsidP="00A43CFF">
            <w:pPr>
              <w:spacing w:beforeLines="50" w:before="120"/>
              <w:rPr>
                <w:rFonts w:eastAsiaTheme="minorEastAsia"/>
                <w:kern w:val="2"/>
                <w:lang w:eastAsia="zh-CN"/>
              </w:rPr>
            </w:pPr>
          </w:p>
        </w:tc>
      </w:tr>
      <w:tr w:rsidR="00A43CFF" w:rsidRPr="006E3D68" w14:paraId="40ABF63C" w14:textId="77777777" w:rsidTr="00D62F85">
        <w:tc>
          <w:tcPr>
            <w:tcW w:w="2113" w:type="dxa"/>
          </w:tcPr>
          <w:p w14:paraId="4710654A" w14:textId="77777777" w:rsidR="00A43CFF" w:rsidRPr="006E3D68" w:rsidRDefault="00A43CFF" w:rsidP="00A43CFF">
            <w:pPr>
              <w:spacing w:beforeLines="50" w:before="120"/>
              <w:rPr>
                <w:kern w:val="2"/>
                <w:lang w:eastAsia="zh-CN"/>
              </w:rPr>
            </w:pPr>
          </w:p>
        </w:tc>
        <w:tc>
          <w:tcPr>
            <w:tcW w:w="7194" w:type="dxa"/>
          </w:tcPr>
          <w:p w14:paraId="5B0A9967" w14:textId="77777777" w:rsidR="00A43CFF" w:rsidRPr="006E3D68" w:rsidRDefault="00A43CFF" w:rsidP="00A43CFF">
            <w:pPr>
              <w:spacing w:beforeLines="50" w:before="120"/>
              <w:rPr>
                <w:kern w:val="2"/>
                <w:lang w:eastAsia="zh-CN"/>
              </w:rPr>
            </w:pPr>
          </w:p>
        </w:tc>
      </w:tr>
      <w:tr w:rsidR="00A43CFF" w:rsidRPr="006E3D68" w14:paraId="46F663C6" w14:textId="77777777" w:rsidTr="00D62F85">
        <w:tc>
          <w:tcPr>
            <w:tcW w:w="2113" w:type="dxa"/>
          </w:tcPr>
          <w:p w14:paraId="20123244" w14:textId="77777777" w:rsidR="00A43CFF" w:rsidRPr="006E3D68" w:rsidRDefault="00A43CFF" w:rsidP="00A43CFF">
            <w:pPr>
              <w:spacing w:beforeLines="50" w:before="120"/>
              <w:rPr>
                <w:iCs/>
                <w:kern w:val="2"/>
                <w:lang w:eastAsia="zh-CN"/>
              </w:rPr>
            </w:pPr>
          </w:p>
        </w:tc>
        <w:tc>
          <w:tcPr>
            <w:tcW w:w="7194" w:type="dxa"/>
          </w:tcPr>
          <w:p w14:paraId="751F25B4" w14:textId="77777777" w:rsidR="00A43CFF" w:rsidRPr="006E3D68" w:rsidRDefault="00A43CFF" w:rsidP="00A43CFF">
            <w:pPr>
              <w:spacing w:beforeLines="50" w:before="120"/>
              <w:rPr>
                <w:iCs/>
                <w:kern w:val="2"/>
                <w:lang w:eastAsia="zh-CN"/>
              </w:rPr>
            </w:pPr>
          </w:p>
        </w:tc>
      </w:tr>
    </w:tbl>
    <w:p w14:paraId="755E86A8" w14:textId="77777777" w:rsidR="001F5A97" w:rsidRPr="006E3D68" w:rsidRDefault="001F5A97" w:rsidP="001F5A97">
      <w:pPr>
        <w:rPr>
          <w:lang w:eastAsia="zh-CN"/>
        </w:rPr>
      </w:pPr>
    </w:p>
    <w:p w14:paraId="1E5824C4" w14:textId="77777777" w:rsidR="001F5A97" w:rsidRPr="001C671D"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Pr>
          <w:b/>
          <w:highlight w:val="yellow"/>
          <w:lang w:eastAsia="zh-CN"/>
        </w:rPr>
        <w:t>P</w:t>
      </w:r>
      <w:r w:rsidR="006E3D68" w:rsidRPr="001C671D">
        <w:rPr>
          <w:b/>
          <w:highlight w:val="yellow"/>
          <w:lang w:eastAsia="zh-CN"/>
        </w:rPr>
        <w:t>roposal 3</w:t>
      </w:r>
      <w:r w:rsidR="006E3D68" w:rsidRPr="001C671D">
        <w:rPr>
          <w:highlight w:val="yellow"/>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A43CF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069AC8" w14:textId="77777777" w:rsidR="00A43CFF" w:rsidRPr="006E3D68" w:rsidRDefault="00A43CFF" w:rsidP="00A43CF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6B37D3" w14:textId="77777777" w:rsidR="00A43CFF" w:rsidRPr="006E3D68" w:rsidRDefault="00A43CFF" w:rsidP="00A43CFF">
            <w:pPr>
              <w:spacing w:beforeLines="50" w:before="120"/>
              <w:rPr>
                <w:iCs/>
                <w:kern w:val="2"/>
                <w:lang w:eastAsia="zh-CN"/>
              </w:rPr>
            </w:pPr>
          </w:p>
        </w:tc>
      </w:tr>
      <w:tr w:rsidR="00A43CFF"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F2763B" w14:textId="77777777" w:rsidR="00A43CFF" w:rsidRPr="006E3D68" w:rsidRDefault="00A43CFF" w:rsidP="00A43CFF">
            <w:pPr>
              <w:spacing w:beforeLines="50" w:before="120"/>
              <w:rPr>
                <w:rFonts w:eastAsia="MS Mincho"/>
                <w:iCs/>
                <w:kern w:val="2"/>
                <w:lang w:eastAsia="ja-JP"/>
              </w:rPr>
            </w:pPr>
          </w:p>
        </w:tc>
      </w:tr>
      <w:tr w:rsidR="00A43CFF"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FFBBECD" w14:textId="77777777" w:rsidR="00A43CFF" w:rsidRPr="006E3D68" w:rsidRDefault="00A43CFF" w:rsidP="00A43CFF">
            <w:pPr>
              <w:spacing w:beforeLines="50" w:before="120"/>
              <w:rPr>
                <w:rFonts w:eastAsia="Malgun Gothic"/>
                <w:kern w:val="2"/>
                <w:lang w:eastAsia="ko-KR"/>
              </w:rPr>
            </w:pPr>
          </w:p>
        </w:tc>
      </w:tr>
      <w:tr w:rsidR="00A43CFF" w:rsidRPr="006E3D68" w14:paraId="333ACBBA" w14:textId="77777777" w:rsidTr="00D62F85">
        <w:tc>
          <w:tcPr>
            <w:tcW w:w="2113" w:type="dxa"/>
          </w:tcPr>
          <w:p w14:paraId="25B049FC" w14:textId="77777777" w:rsidR="00A43CFF" w:rsidRPr="006E3D68" w:rsidRDefault="00A43CFF" w:rsidP="00A43CFF">
            <w:pPr>
              <w:spacing w:beforeLines="50" w:before="120"/>
              <w:rPr>
                <w:rFonts w:eastAsiaTheme="minorEastAsia"/>
                <w:kern w:val="2"/>
                <w:lang w:eastAsia="zh-CN"/>
              </w:rPr>
            </w:pPr>
          </w:p>
        </w:tc>
        <w:tc>
          <w:tcPr>
            <w:tcW w:w="7194" w:type="dxa"/>
          </w:tcPr>
          <w:p w14:paraId="77131C8A" w14:textId="77777777" w:rsidR="00A43CFF" w:rsidRPr="006E3D68" w:rsidRDefault="00A43CFF" w:rsidP="00A43CFF">
            <w:pPr>
              <w:spacing w:beforeLines="50" w:before="120"/>
              <w:rPr>
                <w:rFonts w:eastAsiaTheme="minorEastAsia"/>
                <w:kern w:val="2"/>
                <w:lang w:eastAsia="zh-CN"/>
              </w:rPr>
            </w:pPr>
          </w:p>
        </w:tc>
      </w:tr>
      <w:tr w:rsidR="00A43CFF" w:rsidRPr="006E3D68" w14:paraId="4AA797E4" w14:textId="77777777" w:rsidTr="00D62F85">
        <w:tc>
          <w:tcPr>
            <w:tcW w:w="2113" w:type="dxa"/>
          </w:tcPr>
          <w:p w14:paraId="71A66021" w14:textId="77777777" w:rsidR="00A43CFF" w:rsidRPr="006E3D68" w:rsidRDefault="00A43CFF" w:rsidP="00A43CFF">
            <w:pPr>
              <w:spacing w:beforeLines="50" w:before="120"/>
              <w:rPr>
                <w:kern w:val="2"/>
                <w:lang w:eastAsia="zh-CN"/>
              </w:rPr>
            </w:pPr>
          </w:p>
        </w:tc>
        <w:tc>
          <w:tcPr>
            <w:tcW w:w="7194" w:type="dxa"/>
          </w:tcPr>
          <w:p w14:paraId="16C2CFB9" w14:textId="77777777" w:rsidR="00A43CFF" w:rsidRPr="006E3D68" w:rsidRDefault="00A43CFF" w:rsidP="00A43CFF">
            <w:pPr>
              <w:spacing w:beforeLines="50" w:before="120"/>
              <w:rPr>
                <w:kern w:val="2"/>
                <w:lang w:eastAsia="zh-CN"/>
              </w:rPr>
            </w:pPr>
          </w:p>
        </w:tc>
      </w:tr>
      <w:tr w:rsidR="00A43CFF" w:rsidRPr="006E3D68" w14:paraId="3A707CEE" w14:textId="77777777" w:rsidTr="00D62F85">
        <w:tc>
          <w:tcPr>
            <w:tcW w:w="2113" w:type="dxa"/>
          </w:tcPr>
          <w:p w14:paraId="1A7ADBB3" w14:textId="77777777" w:rsidR="00A43CFF" w:rsidRPr="006E3D68" w:rsidRDefault="00A43CFF" w:rsidP="00A43CFF">
            <w:pPr>
              <w:spacing w:beforeLines="50" w:before="120"/>
              <w:rPr>
                <w:iCs/>
                <w:kern w:val="2"/>
                <w:lang w:eastAsia="zh-CN"/>
              </w:rPr>
            </w:pPr>
          </w:p>
        </w:tc>
        <w:tc>
          <w:tcPr>
            <w:tcW w:w="7194" w:type="dxa"/>
          </w:tcPr>
          <w:p w14:paraId="764B1BA5" w14:textId="77777777" w:rsidR="00A43CFF" w:rsidRPr="006E3D68" w:rsidRDefault="00A43CFF" w:rsidP="00A43CFF">
            <w:pPr>
              <w:spacing w:beforeLines="50" w:before="120"/>
              <w:rPr>
                <w:iCs/>
                <w:kern w:val="2"/>
                <w:lang w:eastAsia="zh-CN"/>
              </w:rPr>
            </w:pPr>
          </w:p>
        </w:tc>
      </w:tr>
    </w:tbl>
    <w:p w14:paraId="08759732" w14:textId="77777777" w:rsidR="001F5A97" w:rsidRPr="006E3D68" w:rsidRDefault="001F5A97"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5" w:name="_Ref124589665"/>
      <w:bookmarkStart w:id="6" w:name="_Ref71620620"/>
      <w:bookmarkStart w:id="7"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5"/>
    <w:bookmarkEnd w:id="6"/>
    <w:bookmarkEnd w:id="7"/>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D62F85"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D62F85"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D62F85"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D62F85"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D62F85"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D62F85"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D62F85"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D62F85"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D62F85"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D62F85"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D62F85"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D62F85"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D62F85"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D62F85"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77777777" w:rsidR="00066427" w:rsidRPr="001C671D" w:rsidRDefault="00066427" w:rsidP="00066427">
      <w:pPr>
        <w:pStyle w:val="References"/>
        <w:numPr>
          <w:ilvl w:val="0"/>
          <w:numId w:val="0"/>
        </w:numPr>
        <w:rPr>
          <w:lang w:eastAsia="zh-CN"/>
        </w:rPr>
      </w:pPr>
    </w:p>
    <w:p w14:paraId="71C544FC" w14:textId="636F0911" w:rsidR="008F477A" w:rsidRDefault="00155FB3" w:rsidP="00155FB3">
      <w:pPr>
        <w:pStyle w:val="Heading1"/>
        <w:numPr>
          <w:ilvl w:val="0"/>
          <w:numId w:val="0"/>
        </w:numPr>
        <w:ind w:left="432" w:hanging="432"/>
      </w:pPr>
      <w:r>
        <w:rPr>
          <w:rFonts w:hint="eastAsia"/>
        </w:rPr>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235"/>
        <w:gridCol w:w="1361"/>
        <w:gridCol w:w="1158"/>
        <w:gridCol w:w="1310"/>
        <w:gridCol w:w="1572"/>
        <w:gridCol w:w="1361"/>
        <w:gridCol w:w="1310"/>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Low (can be discussed after determining 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lastRenderedPageBreak/>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lastRenderedPageBreak/>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Pr="00155FB3" w:rsidRDefault="00155FB3" w:rsidP="00155FB3">
      <w:r w:rsidRPr="001C671D">
        <w:rPr>
          <w:lang w:eastAsia="ja-JP"/>
        </w:rPr>
        <w:t>Question G9: Whether or not RAN1 need to further study scenarios, if any, in which gNB knowledge of TCI-state or SSB index for a Scell activation may not be clear enough, such as inter-band CA?</w:t>
      </w:r>
    </w:p>
    <w:sectPr w:rsidR="00155FB3"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ABCA6" w14:textId="77777777" w:rsidR="00D62F85" w:rsidRDefault="00D62F85">
      <w:r>
        <w:separator/>
      </w:r>
    </w:p>
  </w:endnote>
  <w:endnote w:type="continuationSeparator" w:id="0">
    <w:p w14:paraId="62E3AB2F" w14:textId="77777777" w:rsidR="00D62F85" w:rsidRDefault="00D6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D845D" w14:textId="77777777" w:rsidR="00D62F85" w:rsidRDefault="00D62F85">
      <w:r>
        <w:separator/>
      </w:r>
    </w:p>
  </w:footnote>
  <w:footnote w:type="continuationSeparator" w:id="0">
    <w:p w14:paraId="75452B2B" w14:textId="77777777" w:rsidR="00D62F85" w:rsidRDefault="00D6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1F89"/>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5A97"/>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69f6baf6-0e22-4b51-814b-1cf2778135e5"/>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16d3abbb-ac62-4723-a952-e511a3121568"/>
    <ds:schemaRef ds:uri="http://purl.org/dc/dcmitype/"/>
  </ds:schemaRefs>
</ds:datastoreItem>
</file>

<file path=customXml/itemProps4.xml><?xml version="1.0" encoding="utf-8"?>
<ds:datastoreItem xmlns:ds="http://schemas.openxmlformats.org/officeDocument/2006/customXml" ds:itemID="{80A6821E-0E0C-4104-B85B-9666BAF3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2291</Words>
  <Characters>14964</Characters>
  <Application>Microsoft Office Word</Application>
  <DocSecurity>0</DocSecurity>
  <Lines>124</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Schober, Karol (Nokia - FI/Espoo)</cp:lastModifiedBy>
  <cp:revision>7</cp:revision>
  <cp:lastPrinted>2007-06-18T22:08:00Z</cp:lastPrinted>
  <dcterms:created xsi:type="dcterms:W3CDTF">2020-08-20T07:59:00Z</dcterms:created>
  <dcterms:modified xsi:type="dcterms:W3CDTF">2020-08-21T14:49:00Z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