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388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w:t>
      </w:r>
      <w:proofErr w:type="gramStart"/>
      <w:r w:rsidR="0061073C">
        <w:t>summarized</w:t>
      </w:r>
      <w:proofErr w:type="gramEnd"/>
      <w:r w:rsidR="0061073C">
        <w:t xml:space="preserve">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w:t>
      </w:r>
      <w:r w:rsidR="0061073C">
        <w:lastRenderedPageBreak/>
        <w:t>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lastRenderedPageBreak/>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lastRenderedPageBreak/>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lastRenderedPageBreak/>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 xml:space="preserve">If HARQ-ACK multiplexing for multicast and unicast in a slot is not </w:t>
                  </w:r>
                  <w:r w:rsidRPr="00570B4B">
                    <w:rPr>
                      <w:rFonts w:eastAsia="Calibri"/>
                      <w:kern w:val="2"/>
                      <w:lang w:eastAsia="zh-CN"/>
                    </w:rPr>
                    <w:lastRenderedPageBreak/>
                    <w:t>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w:t>
            </w:r>
            <w:r>
              <w:rPr>
                <w:rFonts w:ascii="New York" w:hAnsi="New York" w:hint="eastAsia"/>
                <w:lang w:eastAsia="zh-CN"/>
              </w:rPr>
              <w:lastRenderedPageBreak/>
              <w:t xml:space="preserve">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w:t>
      </w:r>
      <w:r>
        <w:rPr>
          <w:lang w:val="en-GB" w:eastAsia="zh-CN"/>
        </w:rPr>
        <w:lastRenderedPageBreak/>
        <w:t>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lastRenderedPageBreak/>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lastRenderedPageBreak/>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lastRenderedPageBreak/>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lastRenderedPageBreak/>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lastRenderedPageBreak/>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w:t>
            </w:r>
            <w:r w:rsidRPr="00482C4E">
              <w:rPr>
                <w:rFonts w:ascii="Calibri" w:hAnsi="Calibri"/>
                <w:kern w:val="2"/>
                <w:sz w:val="21"/>
                <w:szCs w:val="22"/>
                <w:lang w:eastAsia="zh-CN"/>
              </w:rPr>
              <w:lastRenderedPageBreak/>
              <w:t>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w:t>
            </w:r>
            <w:bookmarkStart w:id="13" w:name="_GoBack"/>
            <w:bookmarkEnd w:id="13"/>
            <w:r w:rsidRPr="005E4656">
              <w:rPr>
                <w:rFonts w:ascii="Calibri" w:hAnsi="Calibri"/>
                <w:kern w:val="2"/>
                <w:sz w:val="21"/>
                <w:szCs w:val="22"/>
                <w:lang w:val="en-GB" w:eastAsia="zh-CN"/>
              </w:rPr>
              <w:t xml:space="preserve">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 xml:space="preserve">we also think </w:t>
            </w:r>
            <w:r w:rsidR="005E4656" w:rsidRPr="005E4656">
              <w:rPr>
                <w:rFonts w:ascii="Calibri" w:hAnsi="Calibri"/>
                <w:kern w:val="2"/>
                <w:sz w:val="21"/>
                <w:szCs w:val="22"/>
                <w:lang w:val="en-GB" w:eastAsia="zh-CN"/>
              </w:rPr>
              <w:t>there is no strong motivation to do any evaluation</w:t>
            </w:r>
            <w:r w:rsidR="005E4656" w:rsidRPr="005E4656">
              <w:rPr>
                <w:rFonts w:ascii="Calibri" w:hAnsi="Calibri"/>
                <w:kern w:val="2"/>
                <w:sz w:val="21"/>
                <w:szCs w:val="22"/>
                <w:lang w:val="en-GB" w:eastAsia="zh-CN"/>
              </w:rPr>
              <w:t>.</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lastRenderedPageBreak/>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lastRenderedPageBreak/>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lastRenderedPageBreak/>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14" w:name="_Ref457730460"/>
      <w:bookmarkStart w:id="15" w:name="_Ref450735844"/>
      <w:bookmarkStart w:id="16" w:name="_Ref450342757"/>
      <w:r w:rsidR="002F77EB" w:rsidRPr="005D74B7">
        <w:rPr>
          <w:rFonts w:hint="eastAsia"/>
        </w:rPr>
        <w:tab/>
      </w:r>
    </w:p>
    <w:bookmarkEnd w:id="14"/>
    <w:bookmarkEnd w:id="15"/>
    <w:bookmarkEnd w:id="16"/>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90B5" w14:textId="77777777" w:rsidR="00895C37" w:rsidRDefault="00895C37">
      <w:r>
        <w:separator/>
      </w:r>
    </w:p>
  </w:endnote>
  <w:endnote w:type="continuationSeparator" w:id="0">
    <w:p w14:paraId="6C0C138B" w14:textId="77777777" w:rsidR="00895C37" w:rsidRDefault="00895C37">
      <w:r>
        <w:continuationSeparator/>
      </w:r>
    </w:p>
  </w:endnote>
  <w:endnote w:type="continuationNotice" w:id="1">
    <w:p w14:paraId="64F07BDD" w14:textId="77777777" w:rsidR="00895C37" w:rsidRDefault="00895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895C37" w:rsidRDefault="00895C37"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895C37" w:rsidRDefault="00895C37"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E04B6D8" w:rsidR="00895C37" w:rsidRDefault="00895C37" w:rsidP="00450D3B">
    <w:pPr>
      <w:pStyle w:val="ac"/>
      <w:ind w:right="360"/>
    </w:pPr>
    <w:r>
      <w:rPr>
        <w:rStyle w:val="af4"/>
      </w:rPr>
      <w:fldChar w:fldCharType="begin"/>
    </w:r>
    <w:r>
      <w:rPr>
        <w:rStyle w:val="af4"/>
      </w:rPr>
      <w:instrText xml:space="preserve"> PAGE </w:instrText>
    </w:r>
    <w:r>
      <w:rPr>
        <w:rStyle w:val="af4"/>
      </w:rPr>
      <w:fldChar w:fldCharType="separate"/>
    </w:r>
    <w:r w:rsidR="00687339">
      <w:rPr>
        <w:rStyle w:val="af4"/>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87339">
      <w:rPr>
        <w:rStyle w:val="af4"/>
      </w:rPr>
      <w:t>19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8A3D" w14:textId="77777777" w:rsidR="00895C37" w:rsidRDefault="00895C37">
      <w:r>
        <w:separator/>
      </w:r>
    </w:p>
  </w:footnote>
  <w:footnote w:type="continuationSeparator" w:id="0">
    <w:p w14:paraId="399D7BE8" w14:textId="77777777" w:rsidR="00895C37" w:rsidRDefault="00895C37">
      <w:r>
        <w:continuationSeparator/>
      </w:r>
    </w:p>
  </w:footnote>
  <w:footnote w:type="continuationNotice" w:id="1">
    <w:p w14:paraId="50410736" w14:textId="77777777" w:rsidR="00895C37" w:rsidRDefault="00895C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895C37" w:rsidRDefault="00895C3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35"/>
  </w:num>
  <w:num w:numId="8">
    <w:abstractNumId w:val="26"/>
  </w:num>
  <w:num w:numId="9">
    <w:abstractNumId w:val="20"/>
  </w:num>
  <w:num w:numId="10">
    <w:abstractNumId w:val="34"/>
  </w:num>
  <w:num w:numId="11">
    <w:abstractNumId w:val="18"/>
  </w:num>
  <w:num w:numId="12">
    <w:abstractNumId w:val="30"/>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3"/>
  </w:num>
  <w:num w:numId="20">
    <w:abstractNumId w:val="24"/>
  </w:num>
  <w:num w:numId="21">
    <w:abstractNumId w:val="32"/>
  </w:num>
  <w:num w:numId="22">
    <w:abstractNumId w:val="29"/>
  </w:num>
  <w:num w:numId="23">
    <w:abstractNumId w:val="11"/>
  </w:num>
  <w:num w:numId="24">
    <w:abstractNumId w:val="9"/>
  </w:num>
  <w:num w:numId="25">
    <w:abstractNumId w:val="23"/>
  </w:num>
  <w:num w:numId="26">
    <w:abstractNumId w:val="28"/>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styleId="5-1">
    <w:name w:val="Grid Table 5 Dark Accent 1"/>
    <w:basedOn w:val="a1"/>
    <w:uiPriority w:val="50"/>
    <w:rsid w:val="00570B4B"/>
    <w:tblPr>
      <w:tblStyleRowBandSize w:val="1"/>
      <w:tblStyleColBandSize w:val="1"/>
      <w:tblBorders>
        <w:top w:val="single" w:sz="4" w:space="0" w:color="B3C587" w:themeColor="background1"/>
        <w:left w:val="single" w:sz="4" w:space="0" w:color="B3C587" w:themeColor="background1"/>
        <w:bottom w:val="single" w:sz="4" w:space="0" w:color="B3C587" w:themeColor="background1"/>
        <w:right w:val="single" w:sz="4" w:space="0" w:color="B3C587" w:themeColor="background1"/>
        <w:insideH w:val="single" w:sz="4" w:space="0" w:color="B3C587" w:themeColor="background1"/>
        <w:insideV w:val="single" w:sz="4" w:space="0" w:color="B3C587" w:themeColor="background1"/>
      </w:tblBorders>
    </w:tblPr>
    <w:tcPr>
      <w:shd w:val="clear" w:color="auto" w:fill="DEEAF6" w:themeFill="accent1" w:themeFillTint="33"/>
    </w:tcPr>
    <w:tblStylePr w:type="firstRow">
      <w:rPr>
        <w:b/>
        <w:bCs/>
        <w:color w:val="B3C587" w:themeColor="background1"/>
      </w:rPr>
      <w:tblPr/>
      <w:tcPr>
        <w:tcBorders>
          <w:top w:val="single" w:sz="4" w:space="0" w:color="B3C587" w:themeColor="background1"/>
          <w:left w:val="single" w:sz="4" w:space="0" w:color="B3C587" w:themeColor="background1"/>
          <w:right w:val="single" w:sz="4" w:space="0" w:color="B3C587" w:themeColor="background1"/>
          <w:insideH w:val="nil"/>
          <w:insideV w:val="nil"/>
        </w:tcBorders>
        <w:shd w:val="clear" w:color="auto" w:fill="5B9BD5" w:themeFill="accent1"/>
      </w:tcPr>
    </w:tblStylePr>
    <w:tblStylePr w:type="lastRow">
      <w:rPr>
        <w:b/>
        <w:bCs/>
        <w:color w:val="B3C587" w:themeColor="background1"/>
      </w:rPr>
      <w:tblPr/>
      <w:tcPr>
        <w:tcBorders>
          <w:left w:val="single" w:sz="4" w:space="0" w:color="B3C587" w:themeColor="background1"/>
          <w:bottom w:val="single" w:sz="4" w:space="0" w:color="B3C587" w:themeColor="background1"/>
          <w:right w:val="single" w:sz="4" w:space="0" w:color="B3C587" w:themeColor="background1"/>
          <w:insideH w:val="nil"/>
          <w:insideV w:val="nil"/>
        </w:tcBorders>
        <w:shd w:val="clear" w:color="auto" w:fill="5B9BD5" w:themeFill="accent1"/>
      </w:tcPr>
    </w:tblStylePr>
    <w:tblStylePr w:type="firstCol">
      <w:rPr>
        <w:b/>
        <w:bCs/>
        <w:color w:val="B3C587" w:themeColor="background1"/>
      </w:rPr>
      <w:tblPr/>
      <w:tcPr>
        <w:tcBorders>
          <w:top w:val="single" w:sz="4" w:space="0" w:color="B3C587" w:themeColor="background1"/>
          <w:left w:val="single" w:sz="4" w:space="0" w:color="B3C587" w:themeColor="background1"/>
          <w:bottom w:val="single" w:sz="4" w:space="0" w:color="B3C587" w:themeColor="background1"/>
          <w:insideV w:val="nil"/>
        </w:tcBorders>
        <w:shd w:val="clear" w:color="auto" w:fill="5B9BD5" w:themeFill="accent1"/>
      </w:tcPr>
    </w:tblStylePr>
    <w:tblStylePr w:type="lastCol">
      <w:rPr>
        <w:b/>
        <w:bCs/>
        <w:color w:val="B3C587" w:themeColor="background1"/>
      </w:rPr>
      <w:tblPr/>
      <w:tcPr>
        <w:tcBorders>
          <w:top w:val="single" w:sz="4" w:space="0" w:color="B3C587" w:themeColor="background1"/>
          <w:bottom w:val="single" w:sz="4" w:space="0" w:color="B3C587" w:themeColor="background1"/>
          <w:right w:val="single" w:sz="4" w:space="0" w:color="B3C587"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611109f9-ed58-4498-a270-1fb2086a5321"/>
    <ds:schemaRef ds:uri="http://schemas.microsoft.com/office/2006/documentManagement/types"/>
    <ds:schemaRef ds:uri="http://schemas.microsoft.com/sharepoint/v4"/>
    <ds:schemaRef ds:uri="f166a696-7b5b-4ccd-9f0c-ffde0cceec81"/>
    <ds:schemaRef ds:uri="d8762117-8292-4133-b1c7-eab5c6487cfd"/>
    <ds:schemaRef ds:uri="http://schemas.microsoft.com/office/2006/metadata/propertie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5.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7DE5FB-0FE2-400F-8633-92659948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19</Pages>
  <Words>6846</Words>
  <Characters>37929</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7</cp:revision>
  <cp:lastPrinted>2014-11-07T12:38:00Z</cp:lastPrinted>
  <dcterms:created xsi:type="dcterms:W3CDTF">2020-08-21T01:22:00Z</dcterms:created>
  <dcterms:modified xsi:type="dcterms:W3CDTF">2020-08-21T02:16:00Z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