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0D0E" w14:textId="74509537" w:rsidR="00F95AC3" w:rsidRPr="00CE0EAD" w:rsidRDefault="00F95AC3" w:rsidP="00F95AC3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>10</w:t>
      </w:r>
      <w:r w:rsidR="00C712E0">
        <w:rPr>
          <w:rStyle w:val="BookTitle"/>
          <w:i w:val="0"/>
        </w:rPr>
        <w:t>2</w:t>
      </w:r>
      <w:r>
        <w:rPr>
          <w:rStyle w:val="BookTitle"/>
          <w:i w:val="0"/>
        </w:rPr>
        <w:t xml:space="preserve">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="00D94180">
        <w:rPr>
          <w:rStyle w:val="BookTitle"/>
          <w:i w:val="0"/>
        </w:rPr>
        <w:t xml:space="preserve">          </w:t>
      </w:r>
      <w:r w:rsidRPr="00CE0EAD">
        <w:rPr>
          <w:rStyle w:val="BookTitle"/>
          <w:i w:val="0"/>
        </w:rPr>
        <w:t>R1-</w:t>
      </w:r>
      <w:r w:rsidR="005A01BD" w:rsidRPr="005A01BD">
        <w:rPr>
          <w:rStyle w:val="BookTitle"/>
          <w:i w:val="0"/>
        </w:rPr>
        <w:t>200682</w:t>
      </w:r>
      <w:r w:rsidR="005A01BD">
        <w:rPr>
          <w:rStyle w:val="BookTitle"/>
          <w:i w:val="0"/>
        </w:rPr>
        <w:t>6</w:t>
      </w:r>
    </w:p>
    <w:p w14:paraId="2B659D04" w14:textId="77777777" w:rsidR="00F95AC3" w:rsidRPr="00CE0EAD" w:rsidRDefault="00C712E0" w:rsidP="00F95AC3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1</w:t>
      </w:r>
      <w:r w:rsidR="00E91B5F">
        <w:rPr>
          <w:rStyle w:val="BookTitle"/>
          <w:i w:val="0"/>
        </w:rPr>
        <w:t>7</w:t>
      </w:r>
      <w:r w:rsidR="00F95AC3" w:rsidRPr="00CE0EAD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Aug</w:t>
      </w:r>
      <w:r w:rsidR="00F95AC3" w:rsidRPr="00CE0EAD">
        <w:rPr>
          <w:rStyle w:val="BookTitle"/>
          <w:i w:val="0"/>
        </w:rPr>
        <w:t xml:space="preserve">– </w:t>
      </w:r>
      <w:r w:rsidR="00E91B5F">
        <w:rPr>
          <w:rStyle w:val="BookTitle"/>
          <w:i w:val="0"/>
        </w:rPr>
        <w:t>28</w:t>
      </w:r>
      <w:r w:rsidR="00F95AC3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 w:rsidR="00E91B5F">
        <w:rPr>
          <w:rStyle w:val="BookTitle"/>
          <w:i w:val="0"/>
        </w:rPr>
        <w:t>August</w:t>
      </w:r>
      <w:r w:rsidR="00F95AC3" w:rsidRPr="00CE0EAD">
        <w:rPr>
          <w:rStyle w:val="BookTitle"/>
          <w:i w:val="0"/>
        </w:rPr>
        <w:t xml:space="preserve"> 20</w:t>
      </w:r>
      <w:r w:rsidR="00F95AC3">
        <w:rPr>
          <w:rStyle w:val="BookTitle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="00706194">
        <w:rPr>
          <w:rStyle w:val="SubtitleChar"/>
        </w:rPr>
        <w:t>8.10.</w:t>
      </w:r>
      <w:r w:rsidR="00652637">
        <w:rPr>
          <w:rStyle w:val="SubtitleChar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="00857285">
        <w:rPr>
          <w:rStyle w:val="SubtitleChar"/>
        </w:rPr>
        <w:t>Moderator (Q</w:t>
      </w:r>
      <w:r w:rsidRPr="002B4616">
        <w:rPr>
          <w:rStyle w:val="SubtitleChar"/>
        </w:rPr>
        <w:t>ualcomm Incorporated</w:t>
      </w:r>
      <w:r w:rsidR="00857285">
        <w:rPr>
          <w:rStyle w:val="SubtitleChar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857285">
        <w:rPr>
          <w:rStyle w:val="SubtitleChar"/>
        </w:rPr>
        <w:t xml:space="preserve">Summary of </w:t>
      </w:r>
      <w:r w:rsidR="00857285" w:rsidRPr="00857285">
        <w:rPr>
          <w:rStyle w:val="SubtitleChar"/>
        </w:rPr>
        <w:t>[102-e-NR-eIAB-0</w:t>
      </w:r>
      <w:r w:rsidR="00857285">
        <w:rPr>
          <w:rStyle w:val="SubtitleChar"/>
        </w:rPr>
        <w:t>2</w:t>
      </w:r>
      <w:r w:rsidR="00857285" w:rsidRPr="00857285">
        <w:rPr>
          <w:rStyle w:val="SubtitleChar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51E2FCD0" w14:textId="77777777" w:rsidR="00806EAC" w:rsidRDefault="00806EAC" w:rsidP="00013C33">
      <w:pPr>
        <w:pStyle w:val="Heading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Heading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</w:t>
      </w:r>
      <w:proofErr w:type="gramStart"/>
      <w:r>
        <w:t>agree</w:t>
      </w:r>
      <w:proofErr w:type="gramEnd"/>
      <w:r>
        <w:t xml:space="preserve"> to discuss the following topics according to the specified priority: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Strong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Heading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>Huawei, HiSilicon</w:t>
            </w:r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BodyText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In addition, new timing alignment cases should be defined for case 3 and case 4 of multiplexing scenario if single </w:t>
            </w:r>
            <w:proofErr w:type="gramStart"/>
            <w:r>
              <w:rPr>
                <w:lang w:eastAsia="ko-KR"/>
              </w:rPr>
              <w:t>panel based</w:t>
            </w:r>
            <w:proofErr w:type="gramEnd"/>
            <w:r>
              <w:rPr>
                <w:lang w:eastAsia="ko-KR"/>
              </w:rPr>
              <w:t xml:space="preserve"> operation is assumed for the scenarios.</w:t>
            </w:r>
          </w:p>
        </w:tc>
      </w:tr>
      <w:tr w:rsidR="008561E2" w14:paraId="01805B58" w14:textId="77777777" w:rsidTr="00EE3866">
        <w:tc>
          <w:tcPr>
            <w:tcW w:w="2245" w:type="dxa"/>
          </w:tcPr>
          <w:p w14:paraId="236A99E9" w14:textId="70E710A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CMCC</w:t>
            </w:r>
          </w:p>
        </w:tc>
        <w:tc>
          <w:tcPr>
            <w:tcW w:w="1980" w:type="dxa"/>
          </w:tcPr>
          <w:p w14:paraId="6B773B6C" w14:textId="77777777" w:rsidR="008561E2" w:rsidRDefault="008561E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f</w:t>
            </w:r>
            <w:r>
              <w:rPr>
                <w:rFonts w:eastAsia="DengXian" w:hint="eastAsia"/>
                <w:lang w:eastAsia="zh-CN"/>
              </w:rPr>
              <w:t>or</w:t>
            </w:r>
            <w:r>
              <w:rPr>
                <w:rFonts w:eastAsia="DengXian"/>
                <w:lang w:eastAsia="zh-CN"/>
              </w:rPr>
              <w:t xml:space="preserve"> Case 1/2; </w:t>
            </w:r>
          </w:p>
          <w:p w14:paraId="4B9F3884" w14:textId="582F8D34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>No, for Case 3/4</w:t>
            </w:r>
          </w:p>
        </w:tc>
        <w:tc>
          <w:tcPr>
            <w:tcW w:w="5404" w:type="dxa"/>
          </w:tcPr>
          <w:p w14:paraId="3647F49F" w14:textId="3348DE2E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 xml:space="preserve">egarding Case 4, with single panel, we believe that case 7 should be considered so that it is beneficial to </w:t>
            </w:r>
            <w:proofErr w:type="spellStart"/>
            <w:r>
              <w:rPr>
                <w:rFonts w:eastAsia="DengXian"/>
                <w:lang w:eastAsia="zh-CN"/>
              </w:rPr>
              <w:t>self interference</w:t>
            </w:r>
            <w:proofErr w:type="spellEnd"/>
            <w:r>
              <w:rPr>
                <w:rFonts w:eastAsia="DengXian"/>
                <w:lang w:eastAsia="zh-CN"/>
              </w:rPr>
              <w:t xml:space="preserve"> cancellation; regarding case 3, it seems that only case 1 can be supported for single panel.</w:t>
            </w:r>
          </w:p>
        </w:tc>
      </w:tr>
      <w:tr w:rsidR="001254FC" w14:paraId="4079D55D" w14:textId="77777777" w:rsidTr="00EE3866">
        <w:tc>
          <w:tcPr>
            <w:tcW w:w="2245" w:type="dxa"/>
          </w:tcPr>
          <w:p w14:paraId="593A1192" w14:textId="15DEDFE2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NTT DOCOMO</w:t>
            </w:r>
          </w:p>
        </w:tc>
        <w:tc>
          <w:tcPr>
            <w:tcW w:w="1980" w:type="dxa"/>
          </w:tcPr>
          <w:p w14:paraId="23C10627" w14:textId="065DBEE5" w:rsidR="001254FC" w:rsidRPr="001254FC" w:rsidRDefault="001254FC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3F15C02A" w14:textId="77777777" w:rsidR="001254FC" w:rsidRDefault="001254FC" w:rsidP="008561E2">
            <w:pPr>
              <w:jc w:val="center"/>
              <w:rPr>
                <w:rFonts w:eastAsia="DengXian"/>
                <w:lang w:eastAsia="zh-CN"/>
              </w:rPr>
            </w:pPr>
          </w:p>
        </w:tc>
      </w:tr>
      <w:tr w:rsidR="00D73872" w14:paraId="15C58A52" w14:textId="77777777" w:rsidTr="00EE3866">
        <w:tc>
          <w:tcPr>
            <w:tcW w:w="2245" w:type="dxa"/>
          </w:tcPr>
          <w:p w14:paraId="738B2428" w14:textId="5658258F" w:rsidR="00D73872" w:rsidRDefault="00D73872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ZTE, </w:t>
            </w:r>
            <w:proofErr w:type="spellStart"/>
            <w:r>
              <w:rPr>
                <w:rFonts w:eastAsia="DengXian"/>
                <w:lang w:eastAsia="zh-CN"/>
              </w:rPr>
              <w:t>Sanechips</w:t>
            </w:r>
            <w:proofErr w:type="spellEnd"/>
          </w:p>
        </w:tc>
        <w:tc>
          <w:tcPr>
            <w:tcW w:w="1980" w:type="dxa"/>
          </w:tcPr>
          <w:p w14:paraId="3BF707CB" w14:textId="0EA5BA84" w:rsidR="00D73872" w:rsidRDefault="00D73872" w:rsidP="008561E2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1F59AED1" w14:textId="77777777" w:rsidR="0013655F" w:rsidRDefault="0013655F" w:rsidP="00D7387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</w:t>
            </w:r>
            <w:proofErr w:type="gramStart"/>
            <w:r>
              <w:rPr>
                <w:rFonts w:eastAsia="DengXian"/>
                <w:lang w:eastAsia="zh-CN"/>
              </w:rPr>
              <w:t>case-3</w:t>
            </w:r>
            <w:proofErr w:type="gramEnd"/>
            <w:r>
              <w:rPr>
                <w:rFonts w:eastAsia="DengXian"/>
                <w:lang w:eastAsia="zh-CN"/>
              </w:rPr>
              <w:t>: if the target of timing alignment is to satisfying both of following conditions:</w:t>
            </w:r>
          </w:p>
          <w:p w14:paraId="2BBB867A" w14:textId="2D154691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 Tx of the IAB node and DL-Tx of its parent are time-aligned;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case-1 timing requirement which seems to be the basis for any inter-node resource coordination. </w:t>
            </w:r>
          </w:p>
          <w:p w14:paraId="7F58036F" w14:textId="77777777" w:rsidR="0013655F" w:rsidRDefault="0013655F" w:rsidP="0013655F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DL-Tx of the IAB node and DL Rx of the same IAB node are time-aligned. </w:t>
            </w:r>
            <w:r w:rsidRPr="0013655F">
              <w:rPr>
                <w:rFonts w:eastAsia="DengXian"/>
                <w:lang w:eastAsia="zh-CN"/>
              </w:rPr>
              <w:sym w:font="Wingdings" w:char="F0DF"/>
            </w:r>
            <w:r>
              <w:rPr>
                <w:rFonts w:eastAsia="DengXian"/>
                <w:lang w:eastAsia="zh-CN"/>
              </w:rPr>
              <w:t xml:space="preserve"> this is what simultaneous MT-Rx/DU-Tx targets.</w:t>
            </w:r>
          </w:p>
          <w:p w14:paraId="2FF584C7" w14:textId="528E8A9E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Then the combination of above two leads to alignment between DL-Tx of the parent and the DL-Rx of the IAB node, which means the one-way propagation delay is z</w:t>
            </w:r>
            <w:r w:rsidR="00034CBA">
              <w:rPr>
                <w:rFonts w:eastAsia="DengXian"/>
                <w:lang w:eastAsia="zh-CN"/>
              </w:rPr>
              <w:t>ero --- infeasible to implement unless giving up case-1 timing</w:t>
            </w:r>
            <w:r>
              <w:rPr>
                <w:rFonts w:eastAsia="DengXian"/>
                <w:lang w:eastAsia="zh-CN"/>
              </w:rPr>
              <w:t xml:space="preserve">. </w:t>
            </w:r>
          </w:p>
          <w:p w14:paraId="33F459CD" w14:textId="77777777" w:rsidR="0013655F" w:rsidRDefault="0013655F" w:rsidP="001365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case-4, I copy our comment from [eIAB-01] to here:</w:t>
            </w:r>
          </w:p>
          <w:p w14:paraId="3F9BF56F" w14:textId="77777777" w:rsidR="00112FE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In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case 4, 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timing alignment possible with parent timing advance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” looks ok in theory but can have serious problem in practice: </w:t>
            </w:r>
          </w:p>
          <w:p w14:paraId="4168C350" w14:textId="77777777" w:rsidR="00034CBA" w:rsidRDefault="00112FE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lastRenderedPageBreak/>
              <w:t xml:space="preserve">Any (controlled or </w:t>
            </w:r>
            <w:r w:rsidRPr="00034CBA">
              <w:rPr>
                <w:rFonts w:ascii="Calibri" w:eastAsia="SimSun" w:hAnsi="Calibri"/>
                <w:bCs/>
                <w:sz w:val="22"/>
                <w:szCs w:val="22"/>
                <w:u w:val="single"/>
                <w:lang w:eastAsia="zh-CN"/>
              </w:rPr>
              <w:t>autonomous</w:t>
            </w: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) adjustment of UL-Tx timing of an IAB node on </w:t>
            </w:r>
            <w:proofErr w:type="spellStart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i-th</w:t>
            </w:r>
            <w:proofErr w:type="spellEnd"/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hop may lead to adjustments of UL-Tx timing in IAB nodes that are on all follow-up hops. The worse is that these adjustments inside IAB nodes may not be able to well sync-up with each other and it is hard for IAB node and its parent to know when the sync-up is well-done.</w:t>
            </w:r>
            <w:r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EF2DAEE" w14:textId="352CE0AA" w:rsidR="0013655F" w:rsidRPr="00112FEA" w:rsidRDefault="00034CBA" w:rsidP="00112FEA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In addition, the case-4 timing requires the UL-Rx timing (or UL Tx timing) are strictly advanced to earlier time as IAB node’s hopping number increases, which could be a new restriction to deployment planning. </w:t>
            </w:r>
            <w:r w:rsidR="00112FEA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12FEA" w:rsidRPr="00353F6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 xml:space="preserve"> </w:t>
            </w:r>
            <w:r w:rsidR="0013655F" w:rsidRPr="0013655F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1271A4" w14:paraId="70CE02E7" w14:textId="77777777" w:rsidTr="00EE3866">
        <w:tc>
          <w:tcPr>
            <w:tcW w:w="2245" w:type="dxa"/>
          </w:tcPr>
          <w:p w14:paraId="1DB82EE2" w14:textId="66EE5D2D" w:rsidR="001271A4" w:rsidRDefault="001271A4" w:rsidP="008561E2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</w:t>
            </w:r>
          </w:p>
        </w:tc>
        <w:tc>
          <w:tcPr>
            <w:tcW w:w="1980" w:type="dxa"/>
          </w:tcPr>
          <w:p w14:paraId="3DEB49C0" w14:textId="7B028801" w:rsidR="001271A4" w:rsidRDefault="001271A4" w:rsidP="008561E2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404" w:type="dxa"/>
          </w:tcPr>
          <w:p w14:paraId="067926B1" w14:textId="77777777" w:rsidR="001271A4" w:rsidRDefault="001271A4" w:rsidP="00D73872">
            <w:pPr>
              <w:rPr>
                <w:rFonts w:eastAsia="DengXian"/>
                <w:lang w:eastAsia="zh-CN"/>
              </w:rPr>
            </w:pPr>
          </w:p>
        </w:tc>
      </w:tr>
      <w:tr w:rsidR="009E025F" w14:paraId="7C233C2E" w14:textId="77777777" w:rsidTr="00EE3866">
        <w:tc>
          <w:tcPr>
            <w:tcW w:w="2245" w:type="dxa"/>
          </w:tcPr>
          <w:p w14:paraId="3BA984AD" w14:textId="1EA0C856" w:rsidR="009E025F" w:rsidRDefault="009E025F" w:rsidP="009E025F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Huawei</w:t>
            </w:r>
          </w:p>
        </w:tc>
        <w:tc>
          <w:tcPr>
            <w:tcW w:w="1980" w:type="dxa"/>
          </w:tcPr>
          <w:p w14:paraId="7153BCB5" w14:textId="3ACD45CA" w:rsidR="009E025F" w:rsidRDefault="009E025F" w:rsidP="009E025F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</w:t>
            </w:r>
          </w:p>
        </w:tc>
        <w:tc>
          <w:tcPr>
            <w:tcW w:w="5404" w:type="dxa"/>
          </w:tcPr>
          <w:p w14:paraId="6FFB1C4A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 xml:space="preserve">ase #6 and Case #7 timing are also applicable for dual panel when there is not </w:t>
            </w:r>
            <w:proofErr w:type="gramStart"/>
            <w:r>
              <w:rPr>
                <w:rFonts w:eastAsia="DengXian"/>
                <w:lang w:eastAsia="zh-CN"/>
              </w:rPr>
              <w:t>sufficient</w:t>
            </w:r>
            <w:proofErr w:type="gramEnd"/>
            <w:r>
              <w:rPr>
                <w:rFonts w:eastAsia="DengXian"/>
                <w:lang w:eastAsia="zh-CN"/>
              </w:rPr>
              <w:t xml:space="preserve"> isolation between MT and DU. In this case, timing alignment is still </w:t>
            </w:r>
            <w:proofErr w:type="spellStart"/>
            <w:r>
              <w:rPr>
                <w:rFonts w:eastAsia="DengXian"/>
                <w:lang w:eastAsia="zh-CN"/>
              </w:rPr>
              <w:t>benefitial</w:t>
            </w:r>
            <w:proofErr w:type="spellEnd"/>
            <w:r>
              <w:rPr>
                <w:rFonts w:eastAsia="DengXian"/>
                <w:lang w:eastAsia="zh-CN"/>
              </w:rPr>
              <w:t xml:space="preserve"> to mitigate the interference. In addition, we don't think the assumption on single/dual panel really matters here </w:t>
            </w:r>
            <w:proofErr w:type="gramStart"/>
            <w:r>
              <w:rPr>
                <w:rFonts w:eastAsia="DengXian"/>
                <w:lang w:eastAsia="zh-CN"/>
              </w:rPr>
              <w:t>as long as</w:t>
            </w:r>
            <w:proofErr w:type="gramEnd"/>
            <w:r>
              <w:rPr>
                <w:rFonts w:eastAsia="DengXian"/>
                <w:lang w:eastAsia="zh-CN"/>
              </w:rPr>
              <w:t xml:space="preserve"> the specification impact is same. </w:t>
            </w:r>
          </w:p>
          <w:p w14:paraId="347B601E" w14:textId="0F792EC8" w:rsidR="009E025F" w:rsidRDefault="009E025F" w:rsidP="009E025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For Case 4, </w:t>
            </w: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 xml:space="preserve">ase #7 timing can be considered to mitigate the self-interference by adjust the UL Rx timing for IAB-DU. Note that there is no fundamental different from signalling point of view comparing with the Case #7 timing for Case 2. </w:t>
            </w:r>
          </w:p>
        </w:tc>
      </w:tr>
      <w:tr w:rsidR="00D472F5" w14:paraId="56EC357B" w14:textId="77777777" w:rsidTr="00EE3866">
        <w:tc>
          <w:tcPr>
            <w:tcW w:w="2245" w:type="dxa"/>
          </w:tcPr>
          <w:p w14:paraId="14C7BC0A" w14:textId="5C9B56B6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980" w:type="dxa"/>
          </w:tcPr>
          <w:p w14:paraId="4D859968" w14:textId="4E5A6812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Yes</w:t>
            </w:r>
            <w:proofErr w:type="gramEnd"/>
            <w:r>
              <w:rPr>
                <w:rFonts w:eastAsiaTheme="minorEastAsia"/>
                <w:lang w:eastAsia="ja-JP"/>
              </w:rPr>
              <w:t xml:space="preserve"> for single panel Case 1 and Case 2, no for Case 3 and Case 4</w:t>
            </w:r>
          </w:p>
        </w:tc>
        <w:tc>
          <w:tcPr>
            <w:tcW w:w="5404" w:type="dxa"/>
          </w:tcPr>
          <w:p w14:paraId="7D576037" w14:textId="7777777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Case 1 ad Case 2, dual panel can be viewed as an enhancement of the single panel case. For that reason, Case 6 timing and Case 7 timing can be used also for these if needed at all.</w:t>
            </w:r>
          </w:p>
          <w:p w14:paraId="1C130A7B" w14:textId="7777777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Case 3 and Case 4 and multi-panel would need to take Case 1 timing requirements into consideration.</w:t>
            </w:r>
          </w:p>
          <w:p w14:paraId="2185C4C3" w14:textId="2854EB87" w:rsidR="00D472F5" w:rsidRDefault="00D472F5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think that the multi-panel configuration should be defined so we share a common understanding of the capabilities </w:t>
            </w:r>
            <w:r w:rsidR="00722E30">
              <w:rPr>
                <w:rFonts w:eastAsia="DengXian"/>
                <w:lang w:eastAsia="zh-CN"/>
              </w:rPr>
              <w:t xml:space="preserve">of </w:t>
            </w:r>
            <w:r>
              <w:rPr>
                <w:rFonts w:eastAsia="DengXian"/>
                <w:lang w:eastAsia="zh-CN"/>
              </w:rPr>
              <w:t xml:space="preserve">such nodes, e.g., </w:t>
            </w:r>
            <w:proofErr w:type="spellStart"/>
            <w:r>
              <w:rPr>
                <w:rFonts w:eastAsia="DengXian"/>
                <w:lang w:eastAsia="zh-CN"/>
              </w:rPr>
              <w:t>w.r.t.</w:t>
            </w:r>
            <w:proofErr w:type="spellEnd"/>
          </w:p>
          <w:p w14:paraId="23DA2989" w14:textId="77777777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Antenna/RF isolation</w:t>
            </w:r>
          </w:p>
          <w:p w14:paraId="2FF0EFF7" w14:textId="77777777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Interference cancellation</w:t>
            </w:r>
          </w:p>
          <w:p w14:paraId="195B1974" w14:textId="0D095CCC" w:rsidR="00D472F5" w:rsidRDefault="00D472F5" w:rsidP="00D472F5">
            <w:pPr>
              <w:pStyle w:val="ListParagraph"/>
              <w:numPr>
                <w:ilvl w:val="0"/>
                <w:numId w:val="48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Baseband timing</w:t>
            </w:r>
          </w:p>
        </w:tc>
      </w:tr>
      <w:tr w:rsidR="00166BE2" w14:paraId="6070A8A1" w14:textId="77777777" w:rsidTr="00EE3866">
        <w:tc>
          <w:tcPr>
            <w:tcW w:w="2245" w:type="dxa"/>
          </w:tcPr>
          <w:p w14:paraId="11C2926D" w14:textId="64E7A475" w:rsidR="00166BE2" w:rsidRPr="00166BE2" w:rsidRDefault="00166BE2" w:rsidP="00D472F5">
            <w:pPr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Intel</w:t>
            </w:r>
          </w:p>
        </w:tc>
        <w:tc>
          <w:tcPr>
            <w:tcW w:w="1980" w:type="dxa"/>
          </w:tcPr>
          <w:p w14:paraId="7078128C" w14:textId="1855D549" w:rsidR="00166BE2" w:rsidRDefault="00166BE2" w:rsidP="00D472F5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</w:t>
            </w:r>
          </w:p>
        </w:tc>
        <w:tc>
          <w:tcPr>
            <w:tcW w:w="5404" w:type="dxa"/>
          </w:tcPr>
          <w:p w14:paraId="496C727B" w14:textId="21558485" w:rsidR="00166BE2" w:rsidRDefault="001C32D6" w:rsidP="00D472F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also agree with Ericsson that multi-panel configuration should be defined as a common understanding. </w:t>
            </w:r>
          </w:p>
        </w:tc>
      </w:tr>
      <w:tr w:rsidR="008B498A" w14:paraId="7D7A4C62" w14:textId="77777777" w:rsidTr="00EE3866">
        <w:tc>
          <w:tcPr>
            <w:tcW w:w="2245" w:type="dxa"/>
          </w:tcPr>
          <w:p w14:paraId="6CFAEB63" w14:textId="2FCFB9DA" w:rsidR="008B498A" w:rsidRDefault="008B498A" w:rsidP="008B498A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Lenovo, Motorola Mobility</w:t>
            </w:r>
          </w:p>
        </w:tc>
        <w:tc>
          <w:tcPr>
            <w:tcW w:w="1980" w:type="dxa"/>
          </w:tcPr>
          <w:p w14:paraId="7125237B" w14:textId="4F19B277" w:rsidR="008B498A" w:rsidRDefault="008B498A" w:rsidP="008B498A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Yes, but with comments for clarification</w:t>
            </w:r>
          </w:p>
        </w:tc>
        <w:tc>
          <w:tcPr>
            <w:tcW w:w="5404" w:type="dxa"/>
          </w:tcPr>
          <w:p w14:paraId="27E06A01" w14:textId="77777777" w:rsidR="008B498A" w:rsidRDefault="008B498A" w:rsidP="008B498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Since we have “Applicability / Benefit” in the description, we could distinguish between the cases where timing alignment Case 6 and Case 7 are not applicable (i.e., Case 3 and Case 4) versus where they may not seem immediately beneficial (i.e., Case 1 and Case 2 with multiple panels). This way:</w:t>
            </w:r>
          </w:p>
          <w:p w14:paraId="674F7BFB" w14:textId="77777777" w:rsidR="008B498A" w:rsidRDefault="008B498A" w:rsidP="008B498A">
            <w:pPr>
              <w:pStyle w:val="ListParagraph"/>
              <w:numPr>
                <w:ilvl w:val="0"/>
                <w:numId w:val="50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don’t rule out the applicability of Case 6 and Case 7 if the spec/implementation chooses to allow them for Case 1/2 with multiple panels.</w:t>
            </w:r>
          </w:p>
          <w:p w14:paraId="6F54414B" w14:textId="77777777" w:rsidR="008B498A" w:rsidRDefault="008B498A" w:rsidP="008B498A">
            <w:pPr>
              <w:pStyle w:val="ListParagraph"/>
              <w:numPr>
                <w:ilvl w:val="0"/>
                <w:numId w:val="50"/>
              </w:num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keep open the possibility of introducing timing alignment beneficial for Case 3/4 </w:t>
            </w:r>
            <w:proofErr w:type="gramStart"/>
            <w:r>
              <w:rPr>
                <w:rFonts w:eastAsia="DengXian"/>
                <w:lang w:eastAsia="zh-CN"/>
              </w:rPr>
              <w:t>at a later time</w:t>
            </w:r>
            <w:proofErr w:type="gramEnd"/>
            <w:r>
              <w:rPr>
                <w:rFonts w:eastAsia="DengXian"/>
                <w:lang w:eastAsia="zh-CN"/>
              </w:rPr>
              <w:t>.</w:t>
            </w:r>
          </w:p>
          <w:p w14:paraId="0E59D6C8" w14:textId="7C52D1B0" w:rsidR="008B498A" w:rsidRPr="00E728FB" w:rsidRDefault="008B498A" w:rsidP="008B498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Hence, for </w:t>
            </w:r>
            <w:proofErr w:type="spellStart"/>
            <w:r>
              <w:rPr>
                <w:rFonts w:eastAsia="DengXian"/>
                <w:lang w:eastAsia="zh-CN"/>
              </w:rPr>
              <w:t>calrification</w:t>
            </w:r>
            <w:proofErr w:type="spellEnd"/>
            <w:r>
              <w:rPr>
                <w:rFonts w:eastAsia="DengXian"/>
                <w:lang w:eastAsia="zh-CN"/>
              </w:rPr>
              <w:t xml:space="preserve">, we suggest </w:t>
            </w:r>
            <w:r>
              <w:rPr>
                <w:rFonts w:eastAsia="DengXian"/>
                <w:lang w:eastAsia="zh-CN"/>
              </w:rPr>
              <w:t>using</w:t>
            </w:r>
            <w:r>
              <w:rPr>
                <w:rFonts w:eastAsia="DengXian"/>
                <w:lang w:eastAsia="zh-CN"/>
              </w:rPr>
              <w:t xml:space="preserve"> an entry other than “N/A” for Case 1/2 with multiple panels.</w:t>
            </w:r>
          </w:p>
          <w:p w14:paraId="38CF22E4" w14:textId="279165F0" w:rsidR="008B498A" w:rsidRDefault="008B498A" w:rsidP="008B498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 xml:space="preserve">Side note: It would be helpful to call the scenarios something other than Case 1/2/3/4 </w:t>
            </w:r>
            <w:proofErr w:type="gramStart"/>
            <w:r>
              <w:rPr>
                <w:rFonts w:eastAsia="DengXian"/>
                <w:lang w:eastAsia="zh-CN"/>
              </w:rPr>
              <w:t>so as to</w:t>
            </w:r>
            <w:proofErr w:type="gramEnd"/>
            <w:r>
              <w:rPr>
                <w:rFonts w:eastAsia="DengXian"/>
                <w:lang w:eastAsia="zh-CN"/>
              </w:rPr>
              <w:t xml:space="preserve"> avoid confusion with timing alignment cases.</w:t>
            </w:r>
          </w:p>
        </w:tc>
      </w:tr>
    </w:tbl>
    <w:p w14:paraId="0D0E285B" w14:textId="4025EAE9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proofErr w:type="spellStart"/>
            <w:r w:rsidRPr="00AC2F9A">
              <w:rPr>
                <w:b/>
                <w:bCs/>
              </w:rPr>
              <w:t>Downselect</w:t>
            </w:r>
            <w:proofErr w:type="spellEnd"/>
            <w:r w:rsidRPr="00AC2F9A">
              <w:rPr>
                <w:b/>
                <w:bCs/>
              </w:rPr>
              <w:t xml:space="preserve"> one of the following:</w:t>
            </w:r>
          </w:p>
          <w:p w14:paraId="2508E730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lastRenderedPageBreak/>
              <w:t xml:space="preserve">Alt 2: quantify the benefits of Case 7 timing mode to determine whether such benefits are </w:t>
            </w:r>
            <w:proofErr w:type="gramStart"/>
            <w:r w:rsidRPr="00AC2F9A">
              <w:rPr>
                <w:b/>
                <w:bCs/>
              </w:rPr>
              <w:t>sufficient</w:t>
            </w:r>
            <w:proofErr w:type="gramEnd"/>
            <w:r w:rsidRPr="00AC2F9A">
              <w:rPr>
                <w:b/>
                <w:bCs/>
              </w:rPr>
              <w:t xml:space="preserve"> to justify the additional complexity. </w:t>
            </w:r>
          </w:p>
          <w:p w14:paraId="65B00B55" w14:textId="77777777" w:rsidR="00374158" w:rsidRDefault="00374158" w:rsidP="00374158">
            <w:pPr>
              <w:pStyle w:val="ListParagraph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 xml:space="preserve">Alt 3: quantify the benefits of Case 6 and Case 7 timing modes to determine whether such benefits are </w:t>
            </w:r>
            <w:proofErr w:type="gramStart"/>
            <w:r w:rsidRPr="00AC2F9A">
              <w:rPr>
                <w:b/>
                <w:bCs/>
              </w:rPr>
              <w:t>sufficient</w:t>
            </w:r>
            <w:proofErr w:type="gramEnd"/>
            <w:r w:rsidRPr="00AC2F9A">
              <w:rPr>
                <w:b/>
                <w:bCs/>
              </w:rPr>
              <w:t xml:space="preserve">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lastRenderedPageBreak/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</w:t>
      </w:r>
      <w:proofErr w:type="spellStart"/>
      <w:r w:rsidR="009A4161">
        <w:t>resul</w:t>
      </w:r>
      <w:proofErr w:type="spellEnd"/>
      <w:r w:rsidR="009A4161">
        <w:t>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</w:t>
            </w:r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  <w:tr w:rsidR="008561E2" w14:paraId="1B88C243" w14:textId="77777777" w:rsidTr="00301DB4">
        <w:tc>
          <w:tcPr>
            <w:tcW w:w="2245" w:type="dxa"/>
          </w:tcPr>
          <w:p w14:paraId="49CF2B94" w14:textId="32F6C833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MCC</w:t>
            </w:r>
          </w:p>
        </w:tc>
        <w:tc>
          <w:tcPr>
            <w:tcW w:w="1980" w:type="dxa"/>
          </w:tcPr>
          <w:p w14:paraId="2BC7A781" w14:textId="406B24F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eed further discussion</w:t>
            </w:r>
          </w:p>
        </w:tc>
        <w:tc>
          <w:tcPr>
            <w:tcW w:w="5404" w:type="dxa"/>
          </w:tcPr>
          <w:p w14:paraId="2571D86E" w14:textId="69767135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generally agree with the first sentence; for the second sentence, case 6 also has its suitable scenarios, which we think is somehow dependent on the discussion in 8.10.1.  </w:t>
            </w:r>
          </w:p>
        </w:tc>
      </w:tr>
      <w:tr w:rsidR="001254FC" w14:paraId="38508A8D" w14:textId="77777777" w:rsidTr="00301DB4">
        <w:tc>
          <w:tcPr>
            <w:tcW w:w="2245" w:type="dxa"/>
          </w:tcPr>
          <w:p w14:paraId="6E901E10" w14:textId="604C853B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ja-JP"/>
              </w:rPr>
              <w:t>NTT DOCOMO</w:t>
            </w:r>
          </w:p>
        </w:tc>
        <w:tc>
          <w:tcPr>
            <w:tcW w:w="1980" w:type="dxa"/>
          </w:tcPr>
          <w:p w14:paraId="29DE4340" w14:textId="72A00B30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rFonts w:hint="eastAsia"/>
                <w:lang w:eastAsia="ja-JP"/>
              </w:rPr>
              <w:t>Yes</w:t>
            </w:r>
            <w:proofErr w:type="gramEnd"/>
            <w:r>
              <w:rPr>
                <w:rFonts w:hint="eastAsia"/>
                <w:lang w:eastAsia="ja-JP"/>
              </w:rPr>
              <w:t xml:space="preserve"> for the 1</w:t>
            </w:r>
            <w:r w:rsidRPr="00906353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sentence</w:t>
            </w:r>
          </w:p>
        </w:tc>
        <w:tc>
          <w:tcPr>
            <w:tcW w:w="5404" w:type="dxa"/>
          </w:tcPr>
          <w:p w14:paraId="4EC6B668" w14:textId="00DA19B7" w:rsidR="001254FC" w:rsidRDefault="001254FC" w:rsidP="001254FC">
            <w:pPr>
              <w:jc w:val="center"/>
              <w:rPr>
                <w:rFonts w:eastAsia="DengXian"/>
                <w:lang w:eastAsia="zh-CN"/>
              </w:rPr>
            </w:pPr>
            <w:r>
              <w:t xml:space="preserve">We prefer to define both case #6 and #7 at the same time. If IAB has a single panel, both case #6 and #7 are necessary for the </w:t>
            </w:r>
            <w:proofErr w:type="spellStart"/>
            <w:r>
              <w:t>simultanouse</w:t>
            </w:r>
            <w:proofErr w:type="spellEnd"/>
            <w:r>
              <w:t xml:space="preserve"> MT and DU operation as in FL conclusion 1. Thus, if we agree to discuss the multiplexing scenarios of case1 and case2, both case #6 and #7 are necessary.</w:t>
            </w:r>
          </w:p>
        </w:tc>
      </w:tr>
      <w:tr w:rsidR="008C3304" w14:paraId="6C2C82AD" w14:textId="77777777" w:rsidTr="00301DB4">
        <w:tc>
          <w:tcPr>
            <w:tcW w:w="2245" w:type="dxa"/>
          </w:tcPr>
          <w:p w14:paraId="6BF94949" w14:textId="029E08A2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ZTE, </w:t>
            </w:r>
            <w:proofErr w:type="spellStart"/>
            <w:r>
              <w:rPr>
                <w:lang w:eastAsia="ja-JP"/>
              </w:rPr>
              <w:t>Sanechips</w:t>
            </w:r>
            <w:proofErr w:type="spellEnd"/>
          </w:p>
        </w:tc>
        <w:tc>
          <w:tcPr>
            <w:tcW w:w="1980" w:type="dxa"/>
          </w:tcPr>
          <w:p w14:paraId="557D6370" w14:textId="03BDE3FB" w:rsidR="008C3304" w:rsidRDefault="008C3304" w:rsidP="001254F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404" w:type="dxa"/>
          </w:tcPr>
          <w:p w14:paraId="6979C640" w14:textId="74CDDF45" w:rsidR="008C3304" w:rsidRDefault="008C3304" w:rsidP="008C3304">
            <w:r>
              <w:t>The Rel-16 SI already showed some issues within case-6 timing</w:t>
            </w:r>
            <w:r w:rsidR="001C525A">
              <w:t xml:space="preserve"> (e.g., “</w:t>
            </w:r>
            <w:r w:rsidR="001C525A" w:rsidRPr="00E23CFA">
              <w:rPr>
                <w:rFonts w:eastAsia="Malgun Gothic"/>
                <w:lang w:eastAsia="ko-KR"/>
              </w:rPr>
              <w:t>require maintenance of separate Rx timings at the parent node for Case 6 UL transmissions from different child nodes</w:t>
            </w:r>
            <w:r w:rsidR="001C525A">
              <w:t>”)</w:t>
            </w:r>
            <w:r>
              <w:t xml:space="preserve">. In addition, we also concern about following issues: </w:t>
            </w:r>
          </w:p>
          <w:p w14:paraId="5E4321B3" w14:textId="32876518" w:rsidR="002D09E3" w:rsidRDefault="008C3304" w:rsidP="002D09E3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t xml:space="preserve">The back-and-forth change of UL-Tx timing </w:t>
            </w:r>
            <w:r w:rsidR="002D09E3">
              <w:t xml:space="preserve">between aligning to DL-Tx (when in case-6 timing mode) and aligning to DL-Rx less TA (when in legacy TA mode) may cause RAN1 to revisit case-1 timing mechanism, such as adding time-stamp information to TA and/or </w:t>
            </w:r>
            <w:proofErr w:type="spellStart"/>
            <w:r w:rsidR="002D09E3">
              <w:t>T_delta</w:t>
            </w:r>
            <w:proofErr w:type="spellEnd"/>
            <w:r w:rsidR="002D09E3">
              <w:t>. Th</w:t>
            </w:r>
            <w:r w:rsidR="00041328">
              <w:t xml:space="preserve">is could be </w:t>
            </w:r>
            <w:r w:rsidR="002D09E3">
              <w:t>time consuming.</w:t>
            </w:r>
          </w:p>
          <w:p w14:paraId="6ED6750A" w14:textId="7C7569D0" w:rsidR="00041328" w:rsidRDefault="002D09E3" w:rsidP="00041328">
            <w:pPr>
              <w:pStyle w:val="ListParagraph"/>
              <w:numPr>
                <w:ilvl w:val="0"/>
                <w:numId w:val="49"/>
              </w:numPr>
              <w:ind w:left="432"/>
            </w:pPr>
            <w:r>
              <w:t xml:space="preserve">It is also uncertain how RAN4 </w:t>
            </w:r>
            <w:r w:rsidR="00041328">
              <w:t>can handle</w:t>
            </w:r>
            <w:r>
              <w:t xml:space="preserve"> the requirement for case-6 timing: Among the two aligned timings, DL-Tx timing has no IAB-specific accuracy requirement, and UL-Tx timing has a quite loose accuracy requirement </w:t>
            </w:r>
            <w:r w:rsidR="00041328">
              <w:t xml:space="preserve">including even the autonomous adjustment component, which results in the timing drift that is larger than what DL-Tx timing </w:t>
            </w:r>
            <w:r w:rsidR="00041328">
              <w:lastRenderedPageBreak/>
              <w:t xml:space="preserve">usually endures, especially in multi-hop scenario. It could be also time-consuming in RAN4 if RAN4 needs to </w:t>
            </w:r>
            <w:r w:rsidR="00481361">
              <w:t>generate</w:t>
            </w:r>
            <w:r w:rsidR="00041328">
              <w:t xml:space="preserve"> a</w:t>
            </w:r>
            <w:r w:rsidR="001C525A">
              <w:t>nother</w:t>
            </w:r>
            <w:r w:rsidR="00041328">
              <w:t xml:space="preserve"> set of </w:t>
            </w:r>
            <w:proofErr w:type="gramStart"/>
            <w:r w:rsidR="00041328">
              <w:t>spec</w:t>
            </w:r>
            <w:proofErr w:type="gramEnd"/>
            <w:r w:rsidR="00041328">
              <w:t xml:space="preserve"> for UL-Tx timing under case-6</w:t>
            </w:r>
            <w:r w:rsidR="001C525A">
              <w:t xml:space="preserve"> timing</w:t>
            </w:r>
            <w:r w:rsidR="00041328">
              <w:t xml:space="preserve"> condition. </w:t>
            </w:r>
          </w:p>
          <w:p w14:paraId="465CAB82" w14:textId="08BA63AC" w:rsidR="008C3304" w:rsidRDefault="00041328" w:rsidP="00041328">
            <w:pPr>
              <w:ind w:left="72"/>
            </w:pPr>
            <w:r>
              <w:t xml:space="preserve">Given the performance concern upon case-6 timing, we just </w:t>
            </w:r>
            <w:r w:rsidR="00481361">
              <w:t>do not feel it</w:t>
            </w:r>
            <w:r>
              <w:t xml:space="preserve"> deserve</w:t>
            </w:r>
            <w:r w:rsidR="00481361">
              <w:t>s</w:t>
            </w:r>
            <w:r>
              <w:t xml:space="preserve"> the expected efforts.  </w:t>
            </w:r>
            <w:r w:rsidR="002D09E3">
              <w:t xml:space="preserve"> </w:t>
            </w:r>
          </w:p>
        </w:tc>
      </w:tr>
      <w:tr w:rsidR="001271A4" w14:paraId="658490FD" w14:textId="77777777" w:rsidTr="00301DB4">
        <w:tc>
          <w:tcPr>
            <w:tcW w:w="2245" w:type="dxa"/>
          </w:tcPr>
          <w:p w14:paraId="3601ACDB" w14:textId="4A91682D" w:rsidR="001271A4" w:rsidRDefault="001271A4" w:rsidP="001254F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980" w:type="dxa"/>
          </w:tcPr>
          <w:p w14:paraId="79512EF6" w14:textId="5479377F" w:rsidR="001271A4" w:rsidRDefault="001271A4" w:rsidP="001254F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First bullet OK</w:t>
            </w:r>
          </w:p>
        </w:tc>
        <w:tc>
          <w:tcPr>
            <w:tcW w:w="5404" w:type="dxa"/>
          </w:tcPr>
          <w:p w14:paraId="3A8398AA" w14:textId="2DF9221D" w:rsidR="001271A4" w:rsidRDefault="001271A4" w:rsidP="001271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is beneficial to identify the enhancement aspects for both case 6 and case 7, it is too early to preclude either case. If the reason for </w:t>
            </w:r>
            <w:proofErr w:type="spellStart"/>
            <w:r>
              <w:rPr>
                <w:lang w:eastAsia="zh-CN"/>
              </w:rPr>
              <w:t>deprioritization</w:t>
            </w:r>
            <w:proofErr w:type="spellEnd"/>
            <w:r>
              <w:rPr>
                <w:lang w:eastAsia="zh-CN"/>
              </w:rPr>
              <w:t xml:space="preserve"> is large spec. effort, we can make decision few meetings later.</w:t>
            </w:r>
          </w:p>
        </w:tc>
      </w:tr>
      <w:tr w:rsidR="009E025F" w14:paraId="33555A84" w14:textId="77777777" w:rsidTr="00301DB4">
        <w:tc>
          <w:tcPr>
            <w:tcW w:w="2245" w:type="dxa"/>
          </w:tcPr>
          <w:p w14:paraId="4289F28D" w14:textId="74FB122D" w:rsidR="009E025F" w:rsidRDefault="009E025F" w:rsidP="009E025F">
            <w:pPr>
              <w:jc w:val="center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</w:t>
            </w:r>
          </w:p>
        </w:tc>
        <w:tc>
          <w:tcPr>
            <w:tcW w:w="1980" w:type="dxa"/>
          </w:tcPr>
          <w:p w14:paraId="412AE3A3" w14:textId="5EF54554" w:rsidR="009E025F" w:rsidRDefault="009E025F" w:rsidP="009E025F">
            <w:pPr>
              <w:jc w:val="center"/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Partially</w:t>
            </w:r>
          </w:p>
        </w:tc>
        <w:tc>
          <w:tcPr>
            <w:tcW w:w="5404" w:type="dxa"/>
          </w:tcPr>
          <w:p w14:paraId="0271978A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Case #6 and Case #7 target different scenarios. There is no need to prioritize one over the other. Maybe one practical way is first </w:t>
            </w:r>
            <w:proofErr w:type="gramStart"/>
            <w:r>
              <w:rPr>
                <w:rFonts w:eastAsia="DengXian"/>
                <w:lang w:eastAsia="zh-CN"/>
              </w:rPr>
              <w:t>agree</w:t>
            </w:r>
            <w:proofErr w:type="gramEnd"/>
            <w:r>
              <w:rPr>
                <w:rFonts w:eastAsia="DengXian"/>
                <w:lang w:eastAsia="zh-CN"/>
              </w:rPr>
              <w:t xml:space="preserve"> on Case #7 timing. </w:t>
            </w:r>
          </w:p>
          <w:p w14:paraId="5ACF2B73" w14:textId="77777777" w:rsidR="009E025F" w:rsidRDefault="009E025F" w:rsidP="009E025F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However, it should be noted that the feasibility of case #6 has already been proven </w:t>
            </w:r>
            <w:r>
              <w:rPr>
                <w:rFonts w:eastAsia="DengXian" w:hint="eastAsia"/>
                <w:lang w:eastAsia="zh-CN"/>
              </w:rPr>
              <w:t>and</w:t>
            </w:r>
            <w:r>
              <w:rPr>
                <w:rFonts w:eastAsia="DengXian"/>
                <w:lang w:eastAsia="zh-CN"/>
              </w:rPr>
              <w:t xml:space="preserve"> different detailed solutions on how to </w:t>
            </w:r>
            <w:proofErr w:type="spellStart"/>
            <w:r>
              <w:rPr>
                <w:rFonts w:eastAsia="DengXian"/>
                <w:lang w:eastAsia="zh-CN"/>
              </w:rPr>
              <w:t>achive</w:t>
            </w:r>
            <w:proofErr w:type="spellEnd"/>
            <w:r>
              <w:rPr>
                <w:rFonts w:eastAsia="DengXian"/>
                <w:lang w:eastAsia="zh-CN"/>
              </w:rPr>
              <w:t xml:space="preserve"> Tx timing alignment have already been </w:t>
            </w:r>
            <w:proofErr w:type="spellStart"/>
            <w:r>
              <w:rPr>
                <w:rFonts w:eastAsia="DengXian" w:hint="eastAsia"/>
                <w:lang w:eastAsia="zh-CN"/>
              </w:rPr>
              <w:t>capured</w:t>
            </w:r>
            <w:proofErr w:type="spellEnd"/>
            <w:r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in</w:t>
            </w:r>
            <w:r>
              <w:rPr>
                <w:rFonts w:eastAsia="DengXian"/>
                <w:lang w:eastAsia="zh-CN"/>
              </w:rPr>
              <w:t xml:space="preserve"> the </w:t>
            </w:r>
            <w:r>
              <w:rPr>
                <w:rFonts w:eastAsia="DengXian" w:hint="eastAsia"/>
                <w:lang w:eastAsia="zh-CN"/>
              </w:rPr>
              <w:t>Rel-16</w:t>
            </w:r>
            <w:r>
              <w:rPr>
                <w:rFonts w:eastAsia="DengXian"/>
                <w:lang w:eastAsia="zh-CN"/>
              </w:rPr>
              <w:t xml:space="preserve"> TR. Case 1 timing has nothing to do with Case 6 timing since they are </w:t>
            </w:r>
            <w:proofErr w:type="spellStart"/>
            <w:r>
              <w:rPr>
                <w:rFonts w:eastAsia="DengXian"/>
                <w:lang w:eastAsia="zh-CN"/>
              </w:rPr>
              <w:t>essentialy</w:t>
            </w:r>
            <w:proofErr w:type="spellEnd"/>
            <w:r>
              <w:rPr>
                <w:rFonts w:eastAsia="DengXian"/>
                <w:lang w:eastAsia="zh-CN"/>
              </w:rPr>
              <w:t xml:space="preserve"> DL Tx timing for DU and UL Tx timing for IAB-MT </w:t>
            </w:r>
            <w:proofErr w:type="spellStart"/>
            <w:r>
              <w:rPr>
                <w:rFonts w:eastAsia="DengXian"/>
                <w:lang w:eastAsia="zh-CN"/>
              </w:rPr>
              <w:t>repectively</w:t>
            </w:r>
            <w:proofErr w:type="spellEnd"/>
            <w:r>
              <w:rPr>
                <w:rFonts w:eastAsia="DengXian"/>
                <w:lang w:eastAsia="zh-CN"/>
              </w:rPr>
              <w:t xml:space="preserve">. </w:t>
            </w:r>
          </w:p>
          <w:p w14:paraId="256BCAF2" w14:textId="58C2BBF6" w:rsidR="009E025F" w:rsidRDefault="009E025F" w:rsidP="009E025F">
            <w:pPr>
              <w:rPr>
                <w:lang w:eastAsia="zh-CN"/>
              </w:rPr>
            </w:pPr>
            <w:r>
              <w:rPr>
                <w:rFonts w:eastAsia="DengXian"/>
                <w:lang w:eastAsia="zh-CN"/>
              </w:rPr>
              <w:t>The concern on RAN4 performance requirement is not valid since the RAN4 requirement is to define how accurate the UE shall set its UL Tx timing</w:t>
            </w:r>
            <w:r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Similar requirement can be defined once case #6 timing is agreed.</w:t>
            </w:r>
          </w:p>
        </w:tc>
      </w:tr>
      <w:tr w:rsidR="00D472F5" w14:paraId="670EFE3C" w14:textId="77777777" w:rsidTr="00301DB4">
        <w:tc>
          <w:tcPr>
            <w:tcW w:w="2245" w:type="dxa"/>
          </w:tcPr>
          <w:p w14:paraId="3AFCF311" w14:textId="27977BF8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1980" w:type="dxa"/>
          </w:tcPr>
          <w:p w14:paraId="797B9B67" w14:textId="77777777" w:rsidR="00D472F5" w:rsidRDefault="00D472F5" w:rsidP="00D472F5">
            <w:pPr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Yes</w:t>
            </w:r>
            <w:proofErr w:type="gramEnd"/>
            <w:r>
              <w:rPr>
                <w:lang w:eastAsia="ja-JP"/>
              </w:rPr>
              <w:t xml:space="preserve"> for Case 7 timing</w:t>
            </w:r>
          </w:p>
          <w:p w14:paraId="1505B1AA" w14:textId="1605B51B" w:rsidR="00D472F5" w:rsidRDefault="00D472F5" w:rsidP="00D472F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t>No for Case 6 timing if DL Tx</w:t>
            </w:r>
          </w:p>
        </w:tc>
        <w:tc>
          <w:tcPr>
            <w:tcW w:w="5404" w:type="dxa"/>
          </w:tcPr>
          <w:p w14:paraId="74019BDB" w14:textId="77777777" w:rsidR="00D472F5" w:rsidRDefault="00D472F5" w:rsidP="00D472F5">
            <w:r>
              <w:t xml:space="preserve">One should not be excluded over the other since a parent node may use Case 6 timing while a child node use Case 7 timing. </w:t>
            </w:r>
          </w:p>
          <w:p w14:paraId="167D7C1C" w14:textId="7CC51299" w:rsidR="00D472F5" w:rsidRDefault="00D472F5" w:rsidP="00D472F5">
            <w:pPr>
              <w:jc w:val="both"/>
              <w:rPr>
                <w:rFonts w:eastAsia="DengXian"/>
                <w:lang w:eastAsia="zh-CN"/>
              </w:rPr>
            </w:pPr>
            <w:r>
              <w:t>Any concerns of UL Rx timing would be irrelevant if Case 6 timing is only applied in DL slots.</w:t>
            </w:r>
          </w:p>
        </w:tc>
      </w:tr>
      <w:tr w:rsidR="009C57E0" w14:paraId="718F8B6A" w14:textId="77777777" w:rsidTr="00301DB4">
        <w:tc>
          <w:tcPr>
            <w:tcW w:w="2245" w:type="dxa"/>
          </w:tcPr>
          <w:p w14:paraId="4B1D7FA7" w14:textId="0467E57B" w:rsidR="009C57E0" w:rsidRDefault="009C57E0" w:rsidP="00D472F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980" w:type="dxa"/>
          </w:tcPr>
          <w:p w14:paraId="45B7095A" w14:textId="0F70B58B" w:rsidR="009C57E0" w:rsidRDefault="009C57E0" w:rsidP="00D472F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Not sure</w:t>
            </w:r>
          </w:p>
        </w:tc>
        <w:tc>
          <w:tcPr>
            <w:tcW w:w="5404" w:type="dxa"/>
          </w:tcPr>
          <w:p w14:paraId="19EE99D0" w14:textId="2BCBFA01" w:rsidR="009C57E0" w:rsidRDefault="004A5E70" w:rsidP="00D472F5">
            <w:r>
              <w:t>We think this conclusion d</w:t>
            </w:r>
            <w:r w:rsidR="009C57E0">
              <w:t xml:space="preserve">epends on </w:t>
            </w:r>
            <w:r>
              <w:t xml:space="preserve">the results of </w:t>
            </w:r>
            <w:r w:rsidR="009C57E0">
              <w:t xml:space="preserve">previous topic. If </w:t>
            </w:r>
            <w:r>
              <w:t xml:space="preserve">we have </w:t>
            </w:r>
            <w:r w:rsidR="009C57E0">
              <w:t xml:space="preserve">common understanding </w:t>
            </w:r>
            <w:r>
              <w:t>to operate on m</w:t>
            </w:r>
            <w:r w:rsidR="009C57E0">
              <w:t>ulti</w:t>
            </w:r>
            <w:r>
              <w:t>-</w:t>
            </w:r>
            <w:proofErr w:type="spellStart"/>
            <w:r w:rsidR="009C57E0">
              <w:t>pannel</w:t>
            </w:r>
            <w:proofErr w:type="spellEnd"/>
            <w:r w:rsidR="009C57E0">
              <w:t>, then nei</w:t>
            </w:r>
            <w:r>
              <w:t xml:space="preserve">ther </w:t>
            </w:r>
            <w:r w:rsidR="009C57E0">
              <w:t>Case 6</w:t>
            </w:r>
            <w:r>
              <w:t xml:space="preserve"> nor C</w:t>
            </w:r>
            <w:r w:rsidR="009C57E0">
              <w:t xml:space="preserve">ase 7 </w:t>
            </w:r>
            <w:r>
              <w:t>must</w:t>
            </w:r>
            <w:r w:rsidR="009C57E0">
              <w:t xml:space="preserve"> be supported. It </w:t>
            </w:r>
            <w:r>
              <w:t xml:space="preserve">seems </w:t>
            </w:r>
            <w:r w:rsidR="009C57E0">
              <w:t>too soon to ju</w:t>
            </w:r>
            <w:r>
              <w:t>mp</w:t>
            </w:r>
            <w:r w:rsidR="009C57E0">
              <w:t xml:space="preserve"> to the conclusion to support Case7. </w:t>
            </w:r>
          </w:p>
        </w:tc>
      </w:tr>
      <w:tr w:rsidR="008B498A" w14:paraId="7F780960" w14:textId="77777777" w:rsidTr="00301DB4">
        <w:tc>
          <w:tcPr>
            <w:tcW w:w="2245" w:type="dxa"/>
          </w:tcPr>
          <w:p w14:paraId="566E1BFB" w14:textId="66B6D360" w:rsidR="008B498A" w:rsidRDefault="008B498A" w:rsidP="008B498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Lenovo, Motorola Mobility</w:t>
            </w:r>
          </w:p>
        </w:tc>
        <w:tc>
          <w:tcPr>
            <w:tcW w:w="1980" w:type="dxa"/>
          </w:tcPr>
          <w:p w14:paraId="5934420D" w14:textId="0ED7FC4B" w:rsidR="008B498A" w:rsidRDefault="008B498A" w:rsidP="008B498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Yes, but no need to deprioritize Case 6</w:t>
            </w:r>
          </w:p>
        </w:tc>
        <w:tc>
          <w:tcPr>
            <w:tcW w:w="5404" w:type="dxa"/>
          </w:tcPr>
          <w:p w14:paraId="44D6CCB5" w14:textId="0EF68ABD" w:rsidR="008B498A" w:rsidRDefault="008B498A" w:rsidP="008B498A">
            <w:r>
              <w:t xml:space="preserve">Case 6 timing alignment is expected to require less specification work in RAN1 than Case 7. We don’t think there is a need for deprioritizing Case 6. RAN1 can introduce Case 6 and Case 7 and introduce spec to </w:t>
            </w:r>
            <w:proofErr w:type="spellStart"/>
            <w:r>
              <w:t>deteremine</w:t>
            </w:r>
            <w:proofErr w:type="spellEnd"/>
            <w:r>
              <w:t xml:space="preserve"> when/where/how each one is applied. This way, the works on the two cases will be independent and can be done in parallel.</w:t>
            </w:r>
            <w:bookmarkStart w:id="1" w:name="_GoBack"/>
            <w:bookmarkEnd w:id="1"/>
          </w:p>
        </w:tc>
      </w:tr>
    </w:tbl>
    <w:p w14:paraId="0CA84653" w14:textId="3454F599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FF33" w14:textId="77777777" w:rsidR="00950780" w:rsidRDefault="00950780">
      <w:pPr>
        <w:spacing w:after="0"/>
      </w:pPr>
      <w:r>
        <w:separator/>
      </w:r>
    </w:p>
  </w:endnote>
  <w:endnote w:type="continuationSeparator" w:id="0">
    <w:p w14:paraId="7F02C08D" w14:textId="77777777" w:rsidR="00950780" w:rsidRDefault="00950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D972" w14:textId="77777777" w:rsidR="002F5350" w:rsidRDefault="002F5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A43F" w14:textId="77777777" w:rsidR="002F5350" w:rsidRDefault="002F5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1ABA" w14:textId="77777777" w:rsidR="002F5350" w:rsidRDefault="002F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8D033" w14:textId="77777777" w:rsidR="00950780" w:rsidRDefault="00950780">
      <w:pPr>
        <w:spacing w:after="0"/>
      </w:pPr>
      <w:r>
        <w:separator/>
      </w:r>
    </w:p>
  </w:footnote>
  <w:footnote w:type="continuationSeparator" w:id="0">
    <w:p w14:paraId="1FC87010" w14:textId="77777777" w:rsidR="00950780" w:rsidRDefault="009507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F386" w14:textId="77777777" w:rsidR="002F5350" w:rsidRDefault="002F5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0989" w14:textId="77777777" w:rsidR="002F5350" w:rsidRDefault="002F5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FCF"/>
    <w:multiLevelType w:val="hybridMultilevel"/>
    <w:tmpl w:val="2C5AE6CE"/>
    <w:lvl w:ilvl="0" w:tplc="728E1A74">
      <w:start w:val="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02121"/>
    <w:multiLevelType w:val="hybridMultilevel"/>
    <w:tmpl w:val="529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6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EC29B3"/>
    <w:multiLevelType w:val="hybridMultilevel"/>
    <w:tmpl w:val="01E645E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2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7"/>
  </w:num>
  <w:num w:numId="4">
    <w:abstractNumId w:val="48"/>
  </w:num>
  <w:num w:numId="5">
    <w:abstractNumId w:val="32"/>
  </w:num>
  <w:num w:numId="6">
    <w:abstractNumId w:val="14"/>
  </w:num>
  <w:num w:numId="7">
    <w:abstractNumId w:val="23"/>
  </w:num>
  <w:num w:numId="8">
    <w:abstractNumId w:val="25"/>
  </w:num>
  <w:num w:numId="9">
    <w:abstractNumId w:val="17"/>
  </w:num>
  <w:num w:numId="10">
    <w:abstractNumId w:val="20"/>
  </w:num>
  <w:num w:numId="11">
    <w:abstractNumId w:val="10"/>
  </w:num>
  <w:num w:numId="12">
    <w:abstractNumId w:val="39"/>
  </w:num>
  <w:num w:numId="13">
    <w:abstractNumId w:val="47"/>
  </w:num>
  <w:num w:numId="14">
    <w:abstractNumId w:val="16"/>
  </w:num>
  <w:num w:numId="15">
    <w:abstractNumId w:val="45"/>
  </w:num>
  <w:num w:numId="16">
    <w:abstractNumId w:val="27"/>
  </w:num>
  <w:num w:numId="17">
    <w:abstractNumId w:val="33"/>
  </w:num>
  <w:num w:numId="18">
    <w:abstractNumId w:val="4"/>
  </w:num>
  <w:num w:numId="19">
    <w:abstractNumId w:val="49"/>
  </w:num>
  <w:num w:numId="20">
    <w:abstractNumId w:val="19"/>
  </w:num>
  <w:num w:numId="21">
    <w:abstractNumId w:val="28"/>
  </w:num>
  <w:num w:numId="22">
    <w:abstractNumId w:val="6"/>
  </w:num>
  <w:num w:numId="23">
    <w:abstractNumId w:val="8"/>
  </w:num>
  <w:num w:numId="24">
    <w:abstractNumId w:val="1"/>
  </w:num>
  <w:num w:numId="25">
    <w:abstractNumId w:val="40"/>
  </w:num>
  <w:num w:numId="26">
    <w:abstractNumId w:val="21"/>
  </w:num>
  <w:num w:numId="27">
    <w:abstractNumId w:val="31"/>
  </w:num>
  <w:num w:numId="28">
    <w:abstractNumId w:val="30"/>
  </w:num>
  <w:num w:numId="29">
    <w:abstractNumId w:val="22"/>
  </w:num>
  <w:num w:numId="30">
    <w:abstractNumId w:val="44"/>
  </w:num>
  <w:num w:numId="31">
    <w:abstractNumId w:val="24"/>
  </w:num>
  <w:num w:numId="32">
    <w:abstractNumId w:val="5"/>
  </w:num>
  <w:num w:numId="33">
    <w:abstractNumId w:val="12"/>
  </w:num>
  <w:num w:numId="34">
    <w:abstractNumId w:val="3"/>
  </w:num>
  <w:num w:numId="35">
    <w:abstractNumId w:val="37"/>
  </w:num>
  <w:num w:numId="36">
    <w:abstractNumId w:val="13"/>
  </w:num>
  <w:num w:numId="37">
    <w:abstractNumId w:val="43"/>
  </w:num>
  <w:num w:numId="38">
    <w:abstractNumId w:val="36"/>
  </w:num>
  <w:num w:numId="39">
    <w:abstractNumId w:val="29"/>
  </w:num>
  <w:num w:numId="40">
    <w:abstractNumId w:val="26"/>
  </w:num>
  <w:num w:numId="41">
    <w:abstractNumId w:val="11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1"/>
  </w:num>
  <w:num w:numId="47">
    <w:abstractNumId w:val="38"/>
  </w:num>
  <w:num w:numId="48">
    <w:abstractNumId w:val="9"/>
  </w:num>
  <w:num w:numId="49">
    <w:abstractNumId w:val="1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C"/>
    <w:rsid w:val="00007B6D"/>
    <w:rsid w:val="00013B20"/>
    <w:rsid w:val="00013C33"/>
    <w:rsid w:val="00034392"/>
    <w:rsid w:val="00034CBA"/>
    <w:rsid w:val="00041328"/>
    <w:rsid w:val="0004200F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2FEA"/>
    <w:rsid w:val="00115503"/>
    <w:rsid w:val="00116EF0"/>
    <w:rsid w:val="00122A1C"/>
    <w:rsid w:val="001254FC"/>
    <w:rsid w:val="0012597C"/>
    <w:rsid w:val="001271A4"/>
    <w:rsid w:val="00131C46"/>
    <w:rsid w:val="00132FEA"/>
    <w:rsid w:val="0013655F"/>
    <w:rsid w:val="00141159"/>
    <w:rsid w:val="00141606"/>
    <w:rsid w:val="0014393E"/>
    <w:rsid w:val="001479C1"/>
    <w:rsid w:val="00152200"/>
    <w:rsid w:val="00152F18"/>
    <w:rsid w:val="001632E3"/>
    <w:rsid w:val="00166BE2"/>
    <w:rsid w:val="00167815"/>
    <w:rsid w:val="00192C21"/>
    <w:rsid w:val="00193028"/>
    <w:rsid w:val="001A0374"/>
    <w:rsid w:val="001A4207"/>
    <w:rsid w:val="001A5C73"/>
    <w:rsid w:val="001B243F"/>
    <w:rsid w:val="001C32D6"/>
    <w:rsid w:val="001C3AED"/>
    <w:rsid w:val="001C525A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2C25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09E3"/>
    <w:rsid w:val="002D1594"/>
    <w:rsid w:val="002D444E"/>
    <w:rsid w:val="002D44EA"/>
    <w:rsid w:val="002E062F"/>
    <w:rsid w:val="002E7E1E"/>
    <w:rsid w:val="002F09CD"/>
    <w:rsid w:val="002F1808"/>
    <w:rsid w:val="002F2F8E"/>
    <w:rsid w:val="002F5350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0518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361"/>
    <w:rsid w:val="00481732"/>
    <w:rsid w:val="00484708"/>
    <w:rsid w:val="00496D28"/>
    <w:rsid w:val="004A239B"/>
    <w:rsid w:val="004A5E70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304E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2E30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1E2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498A"/>
    <w:rsid w:val="008B54CB"/>
    <w:rsid w:val="008B67D2"/>
    <w:rsid w:val="008B6C57"/>
    <w:rsid w:val="008B71BC"/>
    <w:rsid w:val="008C02B5"/>
    <w:rsid w:val="008C1E35"/>
    <w:rsid w:val="008C3304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780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C57E0"/>
    <w:rsid w:val="009D3347"/>
    <w:rsid w:val="009D4796"/>
    <w:rsid w:val="009D5D51"/>
    <w:rsid w:val="009E025F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C3840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450E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472F5"/>
    <w:rsid w:val="00D509CC"/>
    <w:rsid w:val="00D53366"/>
    <w:rsid w:val="00D5640D"/>
    <w:rsid w:val="00D573F6"/>
    <w:rsid w:val="00D63E7A"/>
    <w:rsid w:val="00D72A67"/>
    <w:rsid w:val="00D73872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0D0A"/>
    <w:rsid w:val="00E8137B"/>
    <w:rsid w:val="00E826FE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E38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E386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E386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E3866"/>
    <w:pPr>
      <w:outlineLvl w:val="5"/>
    </w:pPr>
  </w:style>
  <w:style w:type="paragraph" w:styleId="Heading7">
    <w:name w:val="heading 7"/>
    <w:basedOn w:val="H6"/>
    <w:next w:val="Normal"/>
    <w:qFormat/>
    <w:rsid w:val="00EE3866"/>
    <w:pPr>
      <w:outlineLvl w:val="6"/>
    </w:pPr>
  </w:style>
  <w:style w:type="paragraph" w:styleId="Heading8">
    <w:name w:val="heading 8"/>
    <w:basedOn w:val="Heading1"/>
    <w:next w:val="Normal"/>
    <w:qFormat/>
    <w:rsid w:val="00EE386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E3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E3866"/>
    <w:pPr>
      <w:spacing w:before="180"/>
      <w:ind w:left="2693" w:hanging="2693"/>
    </w:pPr>
    <w:rPr>
      <w:b/>
    </w:rPr>
  </w:style>
  <w:style w:type="paragraph" w:styleId="TOC1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E3866"/>
    <w:pPr>
      <w:ind w:left="1701" w:hanging="1701"/>
    </w:pPr>
  </w:style>
  <w:style w:type="paragraph" w:styleId="TOC4">
    <w:name w:val="toc 4"/>
    <w:basedOn w:val="TOC3"/>
    <w:semiHidden/>
    <w:rsid w:val="00EE3866"/>
    <w:pPr>
      <w:ind w:left="1418" w:hanging="1418"/>
    </w:pPr>
  </w:style>
  <w:style w:type="paragraph" w:styleId="TOC3">
    <w:name w:val="toc 3"/>
    <w:basedOn w:val="TOC2"/>
    <w:semiHidden/>
    <w:rsid w:val="00EE3866"/>
    <w:pPr>
      <w:ind w:left="1134" w:hanging="1134"/>
    </w:pPr>
  </w:style>
  <w:style w:type="paragraph" w:styleId="TOC2">
    <w:name w:val="toc 2"/>
    <w:basedOn w:val="TOC1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E3866"/>
    <w:pPr>
      <w:ind w:left="284"/>
    </w:pPr>
  </w:style>
  <w:style w:type="paragraph" w:styleId="Index1">
    <w:name w:val="index 1"/>
    <w:basedOn w:val="Normal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E3866"/>
    <w:pPr>
      <w:outlineLvl w:val="9"/>
    </w:pPr>
  </w:style>
  <w:style w:type="paragraph" w:styleId="ListNumber2">
    <w:name w:val="List Number 2"/>
    <w:basedOn w:val="ListNumber"/>
    <w:semiHidden/>
    <w:rsid w:val="00EE3866"/>
    <w:pPr>
      <w:ind w:left="851"/>
    </w:pPr>
  </w:style>
  <w:style w:type="paragraph" w:styleId="Header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EE3866"/>
    <w:rPr>
      <w:b/>
      <w:position w:val="6"/>
      <w:sz w:val="16"/>
    </w:rPr>
  </w:style>
  <w:style w:type="paragraph" w:styleId="FootnoteText">
    <w:name w:val="footnote text"/>
    <w:basedOn w:val="Normal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Normal"/>
    <w:rsid w:val="00EE3866"/>
    <w:pPr>
      <w:keepLines/>
      <w:ind w:left="1135" w:hanging="851"/>
    </w:pPr>
  </w:style>
  <w:style w:type="paragraph" w:styleId="TOC9">
    <w:name w:val="toc 9"/>
    <w:basedOn w:val="TOC8"/>
    <w:semiHidden/>
    <w:rsid w:val="00EE3866"/>
    <w:pPr>
      <w:ind w:left="1418" w:hanging="1418"/>
    </w:pPr>
  </w:style>
  <w:style w:type="paragraph" w:customStyle="1" w:styleId="EX">
    <w:name w:val="EX"/>
    <w:basedOn w:val="Normal"/>
    <w:rsid w:val="00EE3866"/>
    <w:pPr>
      <w:keepLines/>
      <w:ind w:left="1702" w:hanging="1418"/>
    </w:pPr>
  </w:style>
  <w:style w:type="paragraph" w:customStyle="1" w:styleId="FP">
    <w:name w:val="FP"/>
    <w:basedOn w:val="Normal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TOC6">
    <w:name w:val="toc 6"/>
    <w:basedOn w:val="TOC5"/>
    <w:next w:val="Normal"/>
    <w:semiHidden/>
    <w:rsid w:val="00EE3866"/>
    <w:pPr>
      <w:ind w:left="1985" w:hanging="1985"/>
    </w:pPr>
  </w:style>
  <w:style w:type="paragraph" w:styleId="TOC7">
    <w:name w:val="toc 7"/>
    <w:basedOn w:val="TOC6"/>
    <w:next w:val="Normal"/>
    <w:semiHidden/>
    <w:rsid w:val="00EE3866"/>
    <w:pPr>
      <w:ind w:left="2268" w:hanging="2268"/>
    </w:pPr>
  </w:style>
  <w:style w:type="paragraph" w:styleId="ListBullet2">
    <w:name w:val="List Bullet 2"/>
    <w:basedOn w:val="ListBullet"/>
    <w:semiHidden/>
    <w:rsid w:val="00EE3866"/>
    <w:pPr>
      <w:ind w:left="851"/>
    </w:pPr>
  </w:style>
  <w:style w:type="paragraph" w:styleId="ListBullet3">
    <w:name w:val="List Bullet 3"/>
    <w:basedOn w:val="ListBullet2"/>
    <w:semiHidden/>
    <w:rsid w:val="00EE3866"/>
    <w:pPr>
      <w:ind w:left="1135"/>
    </w:pPr>
  </w:style>
  <w:style w:type="paragraph" w:styleId="ListNumber">
    <w:name w:val="List Number"/>
    <w:basedOn w:val="List"/>
    <w:semiHidden/>
    <w:rsid w:val="00EE3866"/>
  </w:style>
  <w:style w:type="paragraph" w:customStyle="1" w:styleId="EQ">
    <w:name w:val="EQ"/>
    <w:basedOn w:val="Normal"/>
    <w:next w:val="Normal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Heading5"/>
    <w:next w:val="Normal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Normal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List2">
    <w:name w:val="List 2"/>
    <w:basedOn w:val="List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E3866"/>
    <w:pPr>
      <w:ind w:left="1135"/>
    </w:pPr>
  </w:style>
  <w:style w:type="paragraph" w:styleId="List4">
    <w:name w:val="List 4"/>
    <w:basedOn w:val="List3"/>
    <w:semiHidden/>
    <w:rsid w:val="00EE3866"/>
    <w:pPr>
      <w:ind w:left="1418"/>
    </w:pPr>
  </w:style>
  <w:style w:type="paragraph" w:styleId="List5">
    <w:name w:val="List 5"/>
    <w:basedOn w:val="List4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List">
    <w:name w:val="List"/>
    <w:basedOn w:val="Normal"/>
    <w:semiHidden/>
    <w:rsid w:val="00EE3866"/>
    <w:pPr>
      <w:ind w:left="568" w:hanging="284"/>
    </w:pPr>
  </w:style>
  <w:style w:type="paragraph" w:styleId="ListBullet">
    <w:name w:val="List Bullet"/>
    <w:basedOn w:val="List"/>
    <w:semiHidden/>
    <w:rsid w:val="00EE3866"/>
  </w:style>
  <w:style w:type="paragraph" w:styleId="ListBullet4">
    <w:name w:val="List Bullet 4"/>
    <w:basedOn w:val="ListBullet3"/>
    <w:semiHidden/>
    <w:rsid w:val="00EE3866"/>
    <w:pPr>
      <w:ind w:left="1418"/>
    </w:pPr>
  </w:style>
  <w:style w:type="paragraph" w:styleId="ListBullet5">
    <w:name w:val="List Bullet 5"/>
    <w:basedOn w:val="ListBullet4"/>
    <w:semiHidden/>
    <w:rsid w:val="00EE3866"/>
    <w:pPr>
      <w:ind w:left="1702"/>
    </w:pPr>
  </w:style>
  <w:style w:type="paragraph" w:customStyle="1" w:styleId="B1">
    <w:name w:val="B1"/>
    <w:basedOn w:val="List"/>
    <w:rsid w:val="00EE3866"/>
  </w:style>
  <w:style w:type="paragraph" w:customStyle="1" w:styleId="B2">
    <w:name w:val="B2"/>
    <w:basedOn w:val="List2"/>
    <w:rsid w:val="00EE3866"/>
  </w:style>
  <w:style w:type="paragraph" w:customStyle="1" w:styleId="B3">
    <w:name w:val="B3"/>
    <w:basedOn w:val="List3"/>
    <w:rsid w:val="00EE3866"/>
  </w:style>
  <w:style w:type="paragraph" w:customStyle="1" w:styleId="B4">
    <w:name w:val="B4"/>
    <w:basedOn w:val="List4"/>
    <w:rsid w:val="00EE3866"/>
  </w:style>
  <w:style w:type="paragraph" w:customStyle="1" w:styleId="B5">
    <w:name w:val="B5"/>
    <w:basedOn w:val="List5"/>
    <w:rsid w:val="00EE3866"/>
  </w:style>
  <w:style w:type="paragraph" w:styleId="Footer">
    <w:name w:val="footer"/>
    <w:basedOn w:val="Header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basedOn w:val="DefaultParagraphFont"/>
    <w:link w:val="BodyText"/>
    <w:rsid w:val="00AE56E6"/>
    <w:rPr>
      <w:rFonts w:ascii="Times" w:hAnsi="Times"/>
      <w:szCs w:val="24"/>
    </w:rPr>
  </w:style>
  <w:style w:type="paragraph" w:customStyle="1" w:styleId="YJ-Proposal">
    <w:name w:val="YJ-Proposal"/>
    <w:basedOn w:val="Normal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6D50-35BC-4EDC-9DF8-804C7182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8</Pages>
  <Words>2682</Words>
  <Characters>15290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Majid Ghanbarinejad</cp:lastModifiedBy>
  <cp:revision>4</cp:revision>
  <cp:lastPrinted>1900-01-01T08:00:00Z</cp:lastPrinted>
  <dcterms:created xsi:type="dcterms:W3CDTF">2020-08-25T16:35:00Z</dcterms:created>
  <dcterms:modified xsi:type="dcterms:W3CDTF">2020-08-25T16:47:00Z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(2)ya/UDmWwpTqtdApcLyct64rthPviPsuPVwaAxAz1AbGgR+ixH73VG9v5Rh26V5o7QnwDJ5U/
kJsrLI3dQLiqbyJLhLq6kMfhYQosCnuW06rKk+16MGIaQ6n/xQ0synfxbi94KJAavr9NAvz3
FlrlKtsjJXDPHRVXRn2NH9axwanzGTaqTnYvYSH2ToIKcDlzn3zGyWT1cyey3cB4PFotVqHB
AQAj4y2s7pm7oIUli0</vt:lpwstr>
  </property>
  <property fmtid="{D5CDD505-2E9C-101B-9397-08002B2CF9AE}" pid="3" name="_2015_ms_pID_7253431">
    <vt:lpwstr>pLA406LN9B+5B8jckTo4uJFnt7oxMQNbRYnFi9wINrKm1pHidhC1Jv
W1+fKsAMK9zxpHZVmIEjXku/GMtNL2RY8vMEXZaoa0NS61QLNjvW5RgbtRUDrUvew3z3929T
nPOKg7/Hg6Ek7x8GeqnJw6qTbwsnKurQJVgHSyeipEwJpgooN13txGbxw0rNKUU70Mw=</vt:lpwstr>
  </property>
</Properties>
</file>