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BF40C4" w:rsidRDefault="00C309D2">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f4"/>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f4"/>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f4"/>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f4"/>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f4"/>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af4"/>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af4"/>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Support</w:t>
            </w:r>
            <w:bookmarkStart w:id="3" w:name="_GoBack"/>
            <w:bookmarkEnd w:id="3"/>
          </w:p>
        </w:tc>
      </w:tr>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f4"/>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f4"/>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f4"/>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f4"/>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f4"/>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af4"/>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f4"/>
              <w:numPr>
                <w:ilvl w:val="1"/>
                <w:numId w:val="8"/>
              </w:numPr>
              <w:ind w:firstLineChars="0"/>
              <w:rPr>
                <w:sz w:val="22"/>
                <w:szCs w:val="22"/>
                <w:lang w:val="en-GB" w:eastAsia="zh-CN"/>
              </w:rPr>
            </w:pPr>
            <w:r>
              <w:rPr>
                <w:b/>
                <w:bCs/>
                <w:i/>
                <w:iCs/>
                <w:sz w:val="22"/>
                <w:szCs w:val="22"/>
                <w:lang w:val="en-GB" w:eastAsia="zh-CN"/>
              </w:rPr>
              <w:lastRenderedPageBreak/>
              <w:t>FFS: How the two PDCCH candidates should be counted toward the BD limit</w:t>
            </w:r>
          </w:p>
          <w:p w:rsidR="00BF40C4" w:rsidRDefault="00C309D2">
            <w:pPr>
              <w:pStyle w:val="af4"/>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f4"/>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f4"/>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f4"/>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f4"/>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f4"/>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Reply to ZTE:  </w:t>
            </w:r>
            <w:r>
              <w:rPr>
                <w:rFonts w:ascii="Times New Roman" w:eastAsia="宋体" w:hAnsi="Times New Roman" w:cs="Times New Roman"/>
                <w:sz w:val="20"/>
                <w:szCs w:val="20"/>
                <w:lang w:eastAsia="zh-CN"/>
              </w:rPr>
              <w:t>Echo ZTE’s comment “</w:t>
            </w:r>
            <w:r>
              <w:rPr>
                <w:rFonts w:ascii="Times New Roman" w:hAnsi="Times New Roman" w:cs="Times New Roman" w:hint="eastAsia"/>
                <w:sz w:val="20"/>
                <w:szCs w:val="20"/>
                <w:lang w:eastAsia="zh-CN"/>
              </w:rPr>
              <w:t xml:space="preserve">For inter-slot repetition, if some RRC signaling is introduced to let UE know two DCIs take effect in the same slot, UE can also implicitly </w:t>
            </w:r>
            <w:r>
              <w:rPr>
                <w:rFonts w:ascii="Times New Roman" w:hAnsi="Times New Roman" w:cs="Times New Roman" w:hint="eastAsia"/>
                <w:sz w:val="20"/>
                <w:szCs w:val="20"/>
                <w:lang w:eastAsia="zh-CN"/>
              </w:rPr>
              <w:lastRenderedPageBreak/>
              <w:t>know the two DCIs are repetitions.</w:t>
            </w:r>
            <w:r>
              <w:rPr>
                <w:rFonts w:ascii="Times New Roman" w:eastAsia="宋体"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color w:val="FF0000"/>
                <w:sz w:val="20"/>
                <w:szCs w:val="20"/>
                <w:lang w:eastAsia="zh-CN"/>
              </w:rPr>
            </w:pPr>
            <w:r w:rsidRPr="00CA42EF">
              <w:rPr>
                <w:rFonts w:ascii="Times New Roman" w:eastAsia="宋体" w:hAnsi="Times New Roman" w:cs="Times New Roman"/>
                <w:color w:val="FF0000"/>
                <w:sz w:val="20"/>
                <w:szCs w:val="20"/>
                <w:lang w:eastAsia="zh-CN"/>
              </w:rPr>
              <w:t xml:space="preserve">FFS: </w:t>
            </w:r>
            <w:r w:rsidRPr="00CA42EF">
              <w:rPr>
                <w:rFonts w:ascii="Times New Roman" w:eastAsia="宋体" w:hAnsi="Times New Roman" w:cs="Times New Roman"/>
                <w:strike/>
                <w:color w:val="FF0000"/>
                <w:sz w:val="20"/>
                <w:szCs w:val="20"/>
                <w:lang w:eastAsia="zh-CN"/>
              </w:rPr>
              <w:t>Whether this case can support all DCI formats</w:t>
            </w:r>
            <w:r w:rsidRPr="00CA42EF">
              <w:rPr>
                <w:rFonts w:ascii="Times New Roman" w:eastAsia="宋体"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 xml:space="preserve">Regarding Case 1, we </w:t>
            </w:r>
            <w:r>
              <w:rPr>
                <w:rFonts w:ascii="Times New Roman" w:eastAsia="宋体" w:hAnsi="Times New Roman" w:cs="Times New Roman"/>
                <w:sz w:val="20"/>
                <w:szCs w:val="20"/>
                <w:lang w:eastAsia="zh-CN"/>
              </w:rPr>
              <w:t>slightly prefer LG’s revision.</w:t>
            </w:r>
          </w:p>
        </w:tc>
      </w:tr>
    </w:tbl>
    <w:p w:rsidR="00BF40C4" w:rsidRPr="00C309D2" w:rsidRDefault="00C309D2">
      <w:pPr>
        <w:rPr>
          <w:lang w:eastAsia="zh-CN"/>
        </w:rPr>
      </w:pPr>
      <w:r>
        <w:rPr>
          <w:lang w:eastAsia="zh-CN"/>
        </w:rPr>
        <w:lastRenderedPageBreak/>
        <w:tab/>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f4"/>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f4"/>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f4"/>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f4"/>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f4"/>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f4"/>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lastRenderedPageBreak/>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Support</w:t>
            </w:r>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EA" w:rsidRDefault="00EE50EA" w:rsidP="003A3D09">
      <w:pPr>
        <w:spacing w:after="0" w:line="240" w:lineRule="auto"/>
      </w:pPr>
      <w:r>
        <w:separator/>
      </w:r>
    </w:p>
  </w:endnote>
  <w:endnote w:type="continuationSeparator" w:id="0">
    <w:p w:rsidR="00EE50EA" w:rsidRDefault="00EE50EA"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EA" w:rsidRDefault="00EE50EA" w:rsidP="003A3D09">
      <w:pPr>
        <w:spacing w:after="0" w:line="240" w:lineRule="auto"/>
      </w:pPr>
      <w:r>
        <w:separator/>
      </w:r>
    </w:p>
  </w:footnote>
  <w:footnote w:type="continuationSeparator" w:id="0">
    <w:p w:rsidR="00EE50EA" w:rsidRDefault="00EE50EA" w:rsidP="003A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B3AB7"/>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693F3"/>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semiHidden/>
    <w:unhideWhenUsed/>
    <w:qFormat/>
    <w:pPr>
      <w:spacing w:after="120"/>
    </w:p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semiHidden/>
    <w:qFormat/>
  </w:style>
  <w:style w:type="paragraph" w:styleId="af4">
    <w:name w:val="List Paragraph"/>
    <w:basedOn w:val="a"/>
    <w:link w:val="af5"/>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5">
    <w:name w:val="列出段落 字符"/>
    <w:link w:val="af4"/>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1">
    <w:name w:val="批注主题 字符"/>
    <w:basedOn w:val="a6"/>
    <w:link w:val="af0"/>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B1D63-753E-4A7E-B05F-EC41A3C4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4122</Words>
  <Characters>23499</Characters>
  <Application>Microsoft Office Word</Application>
  <DocSecurity>0</DocSecurity>
  <Lines>195</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Zhihua Shi</cp:lastModifiedBy>
  <cp:revision>3</cp:revision>
  <dcterms:created xsi:type="dcterms:W3CDTF">2020-08-27T02:29:00Z</dcterms:created>
  <dcterms:modified xsi:type="dcterms:W3CDTF">2020-08-27T02:30:00Z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