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74pt;mso-width-percent:0;mso-height-percent:0;mso-width-percent:0;mso-height-percent:0" o:ole="">
                  <v:imagedata r:id="rId11" o:title=""/>
                </v:shape>
                <o:OLEObject Type="Embed" ProgID="Visio.Drawing.15" ShapeID="_x0000_i1025" DrawAspect="Content" ObjectID="_1659441842"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7pt;height:94.5pt" o:ole="">
                  <v:imagedata r:id="rId13" o:title=""/>
                </v:shape>
                <o:OLEObject Type="Embed" ProgID="Visio.Drawing.15" ShapeID="_x0000_i1026" DrawAspect="Content" ObjectID="_1659441843"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25pt;height:3in" o:ole="">
            <v:imagedata r:id="rId15" o:title=""/>
          </v:shape>
          <o:OLEObject Type="Embed" ProgID="Visio.Drawing.15" ShapeID="_x0000_i1027" DrawAspect="Content" ObjectID="_1659441844"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lang w:eastAsia="zh-CN"/>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ListParagraph"/>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25pt;height:229.5pt" o:ole="">
                  <v:imagedata r:id="rId19" o:title=""/>
                </v:shape>
                <o:OLEObject Type="Embed" ProgID="Visio.Drawing.15" ShapeID="_x0000_i1028" DrawAspect="Content" ObjectID="_1659441845"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BB6F38" w:rsidP="008970FA">
            <w:pPr>
              <w:snapToGrid w:val="0"/>
              <w:spacing w:before="60" w:line="0" w:lineRule="atLeast"/>
              <w:rPr>
                <w:rFonts w:ascii="Times New Roman" w:hAnsi="Times New Roman" w:cs="Times New Roman"/>
                <w:sz w:val="18"/>
                <w:szCs w:val="20"/>
              </w:rPr>
            </w:pPr>
            <w:r>
              <w:rPr>
                <w:noProof/>
              </w:rPr>
              <w:object w:dxaOrig="19153" w:dyaOrig="19452" w14:anchorId="0B2F43DE">
                <v:shape id="_x0000_i1029" type="#_x0000_t75" alt="" style="width:212.25pt;height:3in" o:ole="">
                  <v:imagedata r:id="rId21" o:title=""/>
                </v:shape>
                <o:OLEObject Type="Embed" ProgID="Visio.Drawing.15" ShapeID="_x0000_i1029" DrawAspect="Content" ObjectID="_1659441846" r:id="rId22"/>
              </w:object>
            </w:r>
            <w:r>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957DB7"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sz w:val="18"/>
                <w:szCs w:val="18"/>
              </w:rPr>
              <w:object w:dxaOrig="12156" w:dyaOrig="3529" w14:anchorId="384A07C6">
                <v:shape id="_x0000_i1030" type="#_x0000_t75" style="width:327pt;height:95.25pt" o:ole="">
                  <v:imagedata r:id="rId23" o:title=""/>
                </v:shape>
                <o:OLEObject Type="Embed" ProgID="Visio.Drawing.15" ShapeID="_x0000_i1030" DrawAspect="Content" ObjectID="_1659441847"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r w:rsidR="005C7E84" w:rsidRPr="00FC633C" w14:paraId="2921C047" w14:textId="77777777" w:rsidTr="002D13CF">
        <w:tc>
          <w:tcPr>
            <w:tcW w:w="1324" w:type="dxa"/>
          </w:tcPr>
          <w:p w14:paraId="1E55ED91" w14:textId="05A01A36" w:rsidR="005C7E84" w:rsidRPr="005C7E84" w:rsidRDefault="005C7E84"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Z</w:t>
            </w:r>
            <w:r>
              <w:rPr>
                <w:rFonts w:ascii="Times New Roman" w:eastAsia="DengXian" w:hAnsi="Times New Roman" w:cs="Times New Roman"/>
                <w:sz w:val="18"/>
                <w:szCs w:val="20"/>
                <w:lang w:eastAsia="zh-CN"/>
              </w:rPr>
              <w:t>TE</w:t>
            </w:r>
          </w:p>
        </w:tc>
        <w:tc>
          <w:tcPr>
            <w:tcW w:w="8571" w:type="dxa"/>
          </w:tcPr>
          <w:p w14:paraId="0A065222" w14:textId="77777777" w:rsidR="005C7E84" w:rsidRDefault="005C7E84" w:rsidP="008970FA">
            <w:pPr>
              <w:snapToGrid w:val="0"/>
              <w:spacing w:before="60" w:line="0" w:lineRule="atLeast"/>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 Alt.1</w:t>
            </w:r>
          </w:p>
          <w:p w14:paraId="4F1249D9" w14:textId="559D7C83" w:rsidR="005C7E84" w:rsidRPr="00EC74A1" w:rsidRDefault="00EC74A1"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u w:val="single"/>
              </w:rPr>
            </w:pPr>
            <w:r>
              <w:rPr>
                <w:rFonts w:ascii="Times New Roman" w:hAnsi="Times New Roman" w:cs="Times New Roman"/>
                <w:sz w:val="18"/>
                <w:szCs w:val="20"/>
                <w:u w:val="single"/>
              </w:rPr>
              <w:t>Latency model for handover</w:t>
            </w:r>
            <w:r w:rsidRPr="00EF61D1">
              <w:rPr>
                <w:rFonts w:ascii="Times New Roman" w:hAnsi="Times New Roman" w:cs="Times New Roman"/>
                <w:sz w:val="18"/>
                <w:szCs w:val="20"/>
              </w:rPr>
              <w:t xml:space="preserve"> </w:t>
            </w:r>
          </w:p>
          <w:p w14:paraId="0A288210" w14:textId="0F5EE555" w:rsidR="005C7E84" w:rsidRDefault="005C7E84"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 xml:space="preserve">In order to simplify evaluation for handover, </w:t>
            </w:r>
            <w:r w:rsidR="00CF4FEE">
              <w:rPr>
                <w:rFonts w:ascii="Times New Roman" w:hAnsi="Times New Roman" w:cs="Times New Roman"/>
                <w:sz w:val="18"/>
                <w:szCs w:val="20"/>
              </w:rPr>
              <w:t xml:space="preserve">we prefer to have </w:t>
            </w:r>
            <w:r>
              <w:rPr>
                <w:rFonts w:ascii="Times New Roman" w:hAnsi="Times New Roman" w:cs="Times New Roman"/>
                <w:sz w:val="18"/>
                <w:szCs w:val="20"/>
              </w:rPr>
              <w:t xml:space="preserve">a fixed latency for </w:t>
            </w:r>
            <w:r w:rsidRPr="00FA6A8F">
              <w:rPr>
                <w:rFonts w:ascii="Times New Roman" w:hAnsi="Times New Roman" w:cs="Times New Roman"/>
                <w:sz w:val="18"/>
                <w:szCs w:val="20"/>
              </w:rPr>
              <w:t>Rel.15/16 L3-based inter-cell mobility</w:t>
            </w:r>
            <w:r>
              <w:rPr>
                <w:rFonts w:ascii="Times New Roman" w:hAnsi="Times New Roman" w:cs="Times New Roman"/>
                <w:sz w:val="18"/>
                <w:szCs w:val="20"/>
              </w:rPr>
              <w:t xml:space="preserve"> is expected, e.g., 200ms (RLM) + 32</w:t>
            </w:r>
            <w:r w:rsidRPr="00FA6A8F">
              <w:rPr>
                <w:rFonts w:ascii="Times New Roman" w:hAnsi="Times New Roman" w:cs="Times New Roman"/>
                <w:sz w:val="18"/>
                <w:szCs w:val="20"/>
              </w:rPr>
              <w:t>0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non-DRX model in our contribution </w:t>
            </w:r>
            <w:r w:rsidRPr="005C7E84">
              <w:rPr>
                <w:rFonts w:ascii="Times New Roman" w:hAnsi="Times New Roman" w:cs="Times New Roman"/>
                <w:sz w:val="18"/>
                <w:szCs w:val="20"/>
              </w:rPr>
              <w:t>R1-2005454</w:t>
            </w:r>
            <w:r>
              <w:rPr>
                <w:rFonts w:ascii="Times New Roman" w:hAnsi="Times New Roman" w:cs="Times New Roman"/>
                <w:sz w:val="18"/>
                <w:szCs w:val="20"/>
              </w:rPr>
              <w:t>)/ 7680</w:t>
            </w:r>
            <w:r w:rsidRPr="00FA6A8F">
              <w:rPr>
                <w:rFonts w:ascii="Times New Roman" w:hAnsi="Times New Roman" w:cs="Times New Roman"/>
                <w:sz w:val="18"/>
                <w:szCs w:val="20"/>
              </w:rPr>
              <w:t xml:space="preserve">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DRX model). But, we are open to discuss other mode</w:t>
            </w:r>
            <w:r w:rsidR="00CF4FEE">
              <w:rPr>
                <w:rFonts w:ascii="Times New Roman" w:hAnsi="Times New Roman" w:cs="Times New Roman"/>
                <w:sz w:val="18"/>
                <w:szCs w:val="20"/>
              </w:rPr>
              <w:t>l, like a uniformly distributed model.</w:t>
            </w:r>
          </w:p>
          <w:p w14:paraId="6E06264D" w14:textId="3196B12F" w:rsidR="001D02AE" w:rsidRDefault="001D02A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hint="eastAsia"/>
                <w:sz w:val="18"/>
                <w:szCs w:val="20"/>
                <w:lang w:eastAsia="zh-CN"/>
              </w:rPr>
              <w:t>F</w:t>
            </w:r>
            <w:r>
              <w:rPr>
                <w:rFonts w:ascii="Times New Roman" w:hAnsi="Times New Roman" w:cs="Times New Roman"/>
                <w:sz w:val="18"/>
                <w:szCs w:val="20"/>
                <w:lang w:eastAsia="zh-CN"/>
              </w:rPr>
              <w:t>or L1-mobility, companies are encourage to provide details of the corresponding handover. Straightforwardly, the UE measure the candidate beam</w:t>
            </w:r>
            <w:r w:rsidR="00CF4FEE">
              <w:rPr>
                <w:rFonts w:ascii="Times New Roman" w:hAnsi="Times New Roman" w:cs="Times New Roman"/>
                <w:sz w:val="18"/>
                <w:szCs w:val="20"/>
                <w:lang w:eastAsia="zh-CN"/>
              </w:rPr>
              <w:t>(s)</w:t>
            </w:r>
            <w:r>
              <w:rPr>
                <w:rFonts w:ascii="Times New Roman" w:hAnsi="Times New Roman" w:cs="Times New Roman"/>
                <w:sz w:val="18"/>
                <w:szCs w:val="20"/>
                <w:lang w:eastAsia="zh-CN"/>
              </w:rPr>
              <w:t xml:space="preserve"> of serving and neighboring cell</w:t>
            </w:r>
            <w:r w:rsidR="00CF4FEE">
              <w:rPr>
                <w:rFonts w:ascii="Times New Roman" w:hAnsi="Times New Roman" w:cs="Times New Roman"/>
                <w:sz w:val="18"/>
                <w:szCs w:val="20"/>
                <w:lang w:eastAsia="zh-CN"/>
              </w:rPr>
              <w:t xml:space="preserve"> in terms of L1-RSRP</w:t>
            </w:r>
            <w:r>
              <w:rPr>
                <w:rFonts w:ascii="Times New Roman" w:hAnsi="Times New Roman" w:cs="Times New Roman"/>
                <w:sz w:val="18"/>
                <w:szCs w:val="20"/>
                <w:lang w:eastAsia="zh-CN"/>
              </w:rPr>
              <w:t>; w</w:t>
            </w:r>
            <w:r w:rsidRPr="001D02AE">
              <w:rPr>
                <w:rFonts w:ascii="Times New Roman" w:hAnsi="Times New Roman" w:cs="Times New Roman"/>
                <w:sz w:val="18"/>
                <w:szCs w:val="20"/>
                <w:lang w:eastAsia="zh-CN"/>
              </w:rPr>
              <w:t>hen the L1-RSRP</w:t>
            </w:r>
            <w:r>
              <w:rPr>
                <w:rFonts w:ascii="Times New Roman" w:hAnsi="Times New Roman" w:cs="Times New Roman"/>
                <w:sz w:val="18"/>
                <w:szCs w:val="20"/>
                <w:lang w:eastAsia="zh-CN"/>
              </w:rPr>
              <w:t xml:space="preserve"> of neighboring</w:t>
            </w:r>
            <w:r w:rsidRPr="001D02AE">
              <w:rPr>
                <w:rFonts w:ascii="Times New Roman" w:hAnsi="Times New Roman" w:cs="Times New Roman"/>
                <w:sz w:val="18"/>
                <w:szCs w:val="20"/>
                <w:lang w:eastAsia="zh-CN"/>
              </w:rPr>
              <w:t xml:space="preserve"> cell is larger than </w:t>
            </w:r>
            <w:r>
              <w:rPr>
                <w:rFonts w:ascii="Times New Roman" w:hAnsi="Times New Roman" w:cs="Times New Roman"/>
                <w:sz w:val="18"/>
                <w:szCs w:val="20"/>
                <w:lang w:eastAsia="zh-CN"/>
              </w:rPr>
              <w:t xml:space="preserve">that of serving cell </w:t>
            </w:r>
            <w:r w:rsidRPr="001D02AE">
              <w:rPr>
                <w:rFonts w:ascii="Times New Roman" w:hAnsi="Times New Roman" w:cs="Times New Roman"/>
                <w:sz w:val="18"/>
                <w:szCs w:val="20"/>
                <w:lang w:eastAsia="zh-CN"/>
              </w:rPr>
              <w:t>by the handover margin (e.g</w:t>
            </w:r>
            <w:r>
              <w:rPr>
                <w:rFonts w:ascii="Times New Roman" w:hAnsi="Times New Roman" w:cs="Times New Roman"/>
                <w:sz w:val="18"/>
                <w:szCs w:val="20"/>
                <w:lang w:eastAsia="zh-CN"/>
              </w:rPr>
              <w:t xml:space="preserve">. 3 dB), </w:t>
            </w:r>
            <w:r w:rsidR="00CF4FEE">
              <w:rPr>
                <w:rFonts w:ascii="Times New Roman" w:hAnsi="Times New Roman" w:cs="Times New Roman"/>
                <w:sz w:val="18"/>
                <w:szCs w:val="20"/>
                <w:lang w:eastAsia="zh-CN"/>
              </w:rPr>
              <w:t xml:space="preserve">L1 </w:t>
            </w:r>
            <w:r>
              <w:rPr>
                <w:rFonts w:ascii="Times New Roman" w:hAnsi="Times New Roman" w:cs="Times New Roman"/>
                <w:sz w:val="18"/>
                <w:szCs w:val="20"/>
                <w:lang w:eastAsia="zh-CN"/>
              </w:rPr>
              <w:t>handover is initiated.</w:t>
            </w:r>
          </w:p>
          <w:p w14:paraId="0BD55EDF" w14:textId="128A3397"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Pr>
                <w:rFonts w:ascii="Times New Roman" w:hAnsi="Times New Roman" w:cs="Times New Roman"/>
                <w:sz w:val="18"/>
                <w:szCs w:val="20"/>
                <w:u w:val="single"/>
              </w:rPr>
              <w:t>Interference Modeling Assumption</w:t>
            </w:r>
          </w:p>
          <w:p w14:paraId="5AE9E8AB" w14:textId="1E649A13" w:rsidR="001D02AE" w:rsidRDefault="00CF4FE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lang w:eastAsia="zh-CN"/>
              </w:rPr>
              <w:t xml:space="preserve">We slightly prefer </w:t>
            </w:r>
            <w:r w:rsidR="001D02AE">
              <w:rPr>
                <w:rFonts w:ascii="Times New Roman" w:hAnsi="Times New Roman" w:cs="Times New Roman"/>
                <w:sz w:val="18"/>
                <w:szCs w:val="20"/>
                <w:lang w:eastAsia="zh-CN"/>
              </w:rPr>
              <w:t xml:space="preserve">Intel suggestion that </w:t>
            </w:r>
            <w:r w:rsidR="001D02AE">
              <w:rPr>
                <w:rFonts w:ascii="Times New Roman" w:hAnsi="Times New Roman" w:cs="Times New Roman"/>
                <w:sz w:val="18"/>
                <w:szCs w:val="20"/>
              </w:rPr>
              <w:t>all other gNBs (not associated to the UE) transmit on random beams for interference modeling.</w:t>
            </w:r>
            <w:r>
              <w:rPr>
                <w:rFonts w:ascii="Times New Roman" w:hAnsi="Times New Roman" w:cs="Times New Roman"/>
                <w:sz w:val="18"/>
                <w:szCs w:val="20"/>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sidRPr="001D02AE">
              <w:rPr>
                <w:rFonts w:ascii="Times New Roman" w:hAnsi="Times New Roman" w:cs="Times New Roman"/>
                <w:sz w:val="18"/>
                <w:szCs w:val="20"/>
                <w:u w:val="single"/>
              </w:rPr>
              <w:t>UE and panel orientation</w:t>
            </w:r>
          </w:p>
          <w:p w14:paraId="61879310" w14:textId="26540A18" w:rsidR="005C7E84" w:rsidRPr="005C7E84" w:rsidRDefault="001D02AE" w:rsidP="00A37361">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We share the same views with Samsung that three panels are located facing the right, left and to the front of the direction of motion</w:t>
            </w:r>
            <w:r w:rsidR="00CF4FEE">
              <w:rPr>
                <w:rFonts w:ascii="Times New Roman" w:hAnsi="Times New Roman" w:cs="Times New Roman"/>
                <w:sz w:val="18"/>
                <w:szCs w:val="20"/>
              </w:rPr>
              <w:t xml:space="preserve"> (in Highway)/along the track towards the RRH (HST). We may have </w:t>
            </w:r>
            <w:r w:rsidR="00A37361">
              <w:rPr>
                <w:rFonts w:ascii="Times New Roman" w:hAnsi="Times New Roman" w:cs="Times New Roman"/>
                <w:sz w:val="18"/>
                <w:szCs w:val="20"/>
              </w:rPr>
              <w:t>different</w:t>
            </w:r>
            <w:r w:rsidR="00CF4FEE">
              <w:rPr>
                <w:rFonts w:ascii="Times New Roman" w:hAnsi="Times New Roman" w:cs="Times New Roman"/>
                <w:sz w:val="18"/>
                <w:szCs w:val="20"/>
              </w:rPr>
              <w:t xml:space="preserve"> results with different panel orientation based on our </w:t>
            </w:r>
            <w:r w:rsidR="004F4B37">
              <w:rPr>
                <w:rFonts w:ascii="Times New Roman" w:hAnsi="Times New Roman" w:cs="Times New Roman"/>
                <w:sz w:val="18"/>
                <w:szCs w:val="20"/>
              </w:rPr>
              <w:t>preliminary evaluation</w:t>
            </w:r>
            <w:r w:rsidR="00CF4FEE">
              <w:rPr>
                <w:rFonts w:ascii="Times New Roman" w:hAnsi="Times New Roman" w:cs="Times New Roman"/>
                <w:sz w:val="18"/>
                <w:szCs w:val="20"/>
              </w:rPr>
              <w:t xml:space="preserve">, and so we prefer to have a basic assumption for this issue. </w:t>
            </w:r>
          </w:p>
        </w:tc>
      </w:tr>
      <w:tr w:rsidR="001D02AE" w:rsidRPr="00FC633C" w14:paraId="44CEF40B" w14:textId="77777777" w:rsidTr="002D13CF">
        <w:tc>
          <w:tcPr>
            <w:tcW w:w="1324" w:type="dxa"/>
          </w:tcPr>
          <w:p w14:paraId="5E37B05A" w14:textId="6B2ADA1E" w:rsidR="001D02AE" w:rsidRDefault="00E06806"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571" w:type="dxa"/>
          </w:tcPr>
          <w:p w14:paraId="4D51445F"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legacy handover procedure in R15 contain the following steps:</w:t>
            </w:r>
          </w:p>
          <w:p w14:paraId="41B8BD17"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Blind detection of a potential candidate cell (before L3 filter is initiated)</w:t>
            </w:r>
          </w:p>
          <w:p w14:paraId="673AE741"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L3 filtering of one or more candidate beams/cells</w:t>
            </w:r>
          </w:p>
          <w:p w14:paraId="59C6A8E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Event-triggering: once the UE determines that a target cell is better than the serving cell in a configurable way (typically 3dB better for ~100ms), an event is triggered</w:t>
            </w:r>
          </w:p>
          <w:p w14:paraId="354A0B78"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UE asks for UL resources to send a measurement report, the NW grants resources, and the UE transmits the report (this delay would depend on e.g., how the SR resources are allocated.</w:t>
            </w:r>
          </w:p>
          <w:p w14:paraId="74A6CFDC"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(most probably) decides to hand over the UE to the reported target</w:t>
            </w:r>
          </w:p>
          <w:p w14:paraId="3E811FE3"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sends the HO command to the UE</w:t>
            </w:r>
          </w:p>
          <w:p w14:paraId="7AB10FC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The UE receives the HO command – up until now the UE is still/may still be communicating with the source </w:t>
            </w:r>
          </w:p>
          <w:p w14:paraId="75B6DD4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After a time, the UE initiates a RACH procedure in the target – either contention-free or contention-based</w:t>
            </w:r>
          </w:p>
          <w:p w14:paraId="03537EB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Once the RACH procedure is completed, the UE applies the new configuration, resets MAC and RLC, RLM. It also starts from scratch related to CQI reporting for instance.</w:t>
            </w:r>
          </w:p>
          <w:p w14:paraId="353082C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Default="00E06806" w:rsidP="00E06806">
            <w:pPr>
              <w:snapToGrid w:val="0"/>
              <w:spacing w:before="60" w:line="0" w:lineRule="atLeast"/>
              <w:rPr>
                <w:rFonts w:ascii="Times New Roman" w:hAnsi="Times New Roman" w:cs="Times New Roman"/>
                <w:sz w:val="18"/>
                <w:szCs w:val="20"/>
              </w:rPr>
            </w:pPr>
          </w:p>
          <w:p w14:paraId="399E6B0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Default="00E06806" w:rsidP="00E06806">
            <w:pPr>
              <w:snapToGrid w:val="0"/>
              <w:spacing w:before="60" w:line="0" w:lineRule="atLeast"/>
              <w:rPr>
                <w:rFonts w:ascii="Times New Roman" w:hAnsi="Times New Roman" w:cs="Times New Roman"/>
                <w:sz w:val="18"/>
                <w:szCs w:val="20"/>
              </w:rPr>
            </w:pPr>
          </w:p>
          <w:p w14:paraId="617CBE99"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All of these comments are related to L3 mobility studies in FR1 – the situation will be even more complex in FR2. </w:t>
            </w:r>
          </w:p>
          <w:p w14:paraId="09A8EAF2" w14:textId="77777777" w:rsidR="00E06806" w:rsidRDefault="00E06806" w:rsidP="00E06806">
            <w:pPr>
              <w:snapToGrid w:val="0"/>
              <w:spacing w:before="60" w:line="0" w:lineRule="atLeast"/>
              <w:rPr>
                <w:rFonts w:ascii="Times New Roman" w:hAnsi="Times New Roman" w:cs="Times New Roman"/>
                <w:sz w:val="18"/>
                <w:szCs w:val="20"/>
              </w:rPr>
            </w:pPr>
          </w:p>
          <w:p w14:paraId="197551C7" w14:textId="05F90345" w:rsidR="001D02AE" w:rsidRDefault="00E06806" w:rsidP="00E06806">
            <w:pPr>
              <w:snapToGrid w:val="0"/>
              <w:spacing w:before="60" w:line="0" w:lineRule="atLeast"/>
              <w:rPr>
                <w:rFonts w:ascii="Times New Roman" w:eastAsia="DengXian" w:hAnsi="Times New Roman" w:cs="Times New Roman"/>
                <w:sz w:val="18"/>
                <w:szCs w:val="20"/>
                <w:lang w:eastAsia="zh-CN"/>
              </w:rPr>
            </w:pPr>
            <w:r>
              <w:rPr>
                <w:rFonts w:ascii="Times New Roman" w:hAnsi="Times New Roman" w:cs="Times New Roman"/>
                <w:sz w:val="18"/>
                <w:szCs w:val="20"/>
              </w:rPr>
              <w:t>To us, it is clear that the performance of a L3 mobility algorithm cannot be modelled by a delay – it would not be representative of the performance of L3 mobility. At all. The purpose for this type of modelling is quite unclear to us</w:t>
            </w:r>
            <w:r>
              <w:rPr>
                <w:rFonts w:ascii="Times New Roman" w:hAnsi="Times New Roman" w:cs="Times New Roman"/>
                <w:sz w:val="18"/>
                <w:szCs w:val="20"/>
              </w:rPr>
              <w:t>. Can someone please explain the motivation?</w:t>
            </w:r>
            <w:bookmarkStart w:id="5" w:name="_GoBack"/>
            <w:bookmarkEnd w:id="5"/>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31" type="#_x0000_t75" alt="" style="width:224.25pt;height:192pt;mso-width-percent:0;mso-height-percent:0;mso-width-percent:0;mso-height-percent:0" o:ole="">
            <v:imagedata r:id="rId11" o:title=""/>
          </v:shape>
          <o:OLEObject Type="Embed" ProgID="Visio.Drawing.15" ShapeID="_x0000_i1031" DrawAspect="Content" ObjectID="_1659441848"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lastRenderedPageBreak/>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2" type="#_x0000_t75" style="width:327pt;height:95.25pt" o:ole="">
                  <v:imagedata r:id="rId26" o:title=""/>
                </v:shape>
                <o:OLEObject Type="Embed" ProgID="Visio.Drawing.15" ShapeID="_x0000_i1032" DrawAspect="Content" ObjectID="_1659441849"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lastRenderedPageBreak/>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lastRenderedPageBreak/>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w:t>
            </w:r>
            <w:r w:rsidRPr="008E1F13">
              <w:rPr>
                <w:rFonts w:ascii="Times New Roman" w:hAnsi="Times New Roman" w:cs="Times New Roman"/>
                <w:color w:val="00B0F0"/>
                <w:sz w:val="18"/>
                <w:szCs w:val="18"/>
              </w:rPr>
              <w:lastRenderedPageBreak/>
              <w:t>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 xml:space="preserve">after contribution </w:t>
      </w:r>
      <w:r>
        <w:rPr>
          <w:rFonts w:ascii="Times New Roman" w:hAnsi="Times New Roman" w:cs="Times New Roman"/>
          <w:sz w:val="28"/>
          <w:szCs w:val="20"/>
        </w:rPr>
        <w:lastRenderedPageBreak/>
        <w:t>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3" type="#_x0000_t75" alt="" style="width:260.25pt;height:263.25pt;mso-width-percent:0;mso-height-percent:0;mso-width-percent:0;mso-height-percent:0" o:ole="">
                  <v:imagedata r:id="rId28" o:title=""/>
                </v:shape>
                <o:OLEObject Type="Embed" ProgID="Visio.Drawing.15" ShapeID="_x0000_i1033" DrawAspect="Content" ObjectID="_1659441850"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4" type="#_x0000_t75" alt="" style="width:189pt;height:162pt;mso-width-percent:0;mso-height-percent:0;mso-width-percent:0;mso-height-percent:0" o:ole="">
                  <v:imagedata r:id="rId11" o:title=""/>
                </v:shape>
                <o:OLEObject Type="Embed" ProgID="Visio.Drawing.15" ShapeID="_x0000_i1034" DrawAspect="Content" ObjectID="_1659441851"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2"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2"/>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lastRenderedPageBreak/>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5493" w14:textId="77777777" w:rsidR="003A2CFD" w:rsidRDefault="003A2CFD" w:rsidP="00FE429F">
      <w:r>
        <w:separator/>
      </w:r>
    </w:p>
  </w:endnote>
  <w:endnote w:type="continuationSeparator" w:id="0">
    <w:p w14:paraId="518BDDC0" w14:textId="77777777" w:rsidR="003A2CFD" w:rsidRDefault="003A2CF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71AFD" w14:textId="77777777" w:rsidR="003A2CFD" w:rsidRDefault="003A2CFD" w:rsidP="00FE429F">
      <w:r>
        <w:separator/>
      </w:r>
    </w:p>
  </w:footnote>
  <w:footnote w:type="continuationSeparator" w:id="0">
    <w:p w14:paraId="78EEE3BE" w14:textId="77777777" w:rsidR="003A2CFD" w:rsidRDefault="003A2CF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8"/>
  </w:num>
  <w:num w:numId="2">
    <w:abstractNumId w:val="15"/>
  </w:num>
  <w:num w:numId="3">
    <w:abstractNumId w:val="3"/>
  </w:num>
  <w:num w:numId="4">
    <w:abstractNumId w:val="4"/>
  </w:num>
  <w:num w:numId="5">
    <w:abstractNumId w:val="39"/>
  </w:num>
  <w:num w:numId="6">
    <w:abstractNumId w:val="46"/>
  </w:num>
  <w:num w:numId="7">
    <w:abstractNumId w:val="29"/>
  </w:num>
  <w:num w:numId="8">
    <w:abstractNumId w:val="40"/>
  </w:num>
  <w:num w:numId="9">
    <w:abstractNumId w:val="5"/>
  </w:num>
  <w:num w:numId="10">
    <w:abstractNumId w:val="11"/>
  </w:num>
  <w:num w:numId="11">
    <w:abstractNumId w:val="10"/>
  </w:num>
  <w:num w:numId="12">
    <w:abstractNumId w:val="31"/>
  </w:num>
  <w:num w:numId="13">
    <w:abstractNumId w:val="16"/>
  </w:num>
  <w:num w:numId="14">
    <w:abstractNumId w:val="53"/>
  </w:num>
  <w:num w:numId="15">
    <w:abstractNumId w:val="51"/>
  </w:num>
  <w:num w:numId="16">
    <w:abstractNumId w:val="14"/>
  </w:num>
  <w:num w:numId="17">
    <w:abstractNumId w:val="7"/>
  </w:num>
  <w:num w:numId="18">
    <w:abstractNumId w:val="27"/>
  </w:num>
  <w:num w:numId="19">
    <w:abstractNumId w:val="35"/>
  </w:num>
  <w:num w:numId="20">
    <w:abstractNumId w:val="44"/>
  </w:num>
  <w:num w:numId="21">
    <w:abstractNumId w:val="30"/>
  </w:num>
  <w:num w:numId="22">
    <w:abstractNumId w:val="52"/>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7"/>
  </w:num>
  <w:num w:numId="26">
    <w:abstractNumId w:val="12"/>
  </w:num>
  <w:num w:numId="27">
    <w:abstractNumId w:val="55"/>
  </w:num>
  <w:num w:numId="28">
    <w:abstractNumId w:val="34"/>
  </w:num>
  <w:num w:numId="29">
    <w:abstractNumId w:val="42"/>
  </w:num>
  <w:num w:numId="30">
    <w:abstractNumId w:val="54"/>
  </w:num>
  <w:num w:numId="31">
    <w:abstractNumId w:val="22"/>
  </w:num>
  <w:num w:numId="32">
    <w:abstractNumId w:val="8"/>
  </w:num>
  <w:num w:numId="33">
    <w:abstractNumId w:val="13"/>
  </w:num>
  <w:num w:numId="34">
    <w:abstractNumId w:val="21"/>
  </w:num>
  <w:num w:numId="35">
    <w:abstractNumId w:val="23"/>
  </w:num>
  <w:num w:numId="36">
    <w:abstractNumId w:val="19"/>
  </w:num>
  <w:num w:numId="37">
    <w:abstractNumId w:val="56"/>
  </w:num>
  <w:num w:numId="38">
    <w:abstractNumId w:val="43"/>
  </w:num>
  <w:num w:numId="39">
    <w:abstractNumId w:val="33"/>
  </w:num>
  <w:num w:numId="40">
    <w:abstractNumId w:val="20"/>
  </w:num>
  <w:num w:numId="41">
    <w:abstractNumId w:val="6"/>
  </w:num>
  <w:num w:numId="42">
    <w:abstractNumId w:val="37"/>
  </w:num>
  <w:num w:numId="43">
    <w:abstractNumId w:val="49"/>
  </w:num>
  <w:num w:numId="44">
    <w:abstractNumId w:val="17"/>
  </w:num>
  <w:num w:numId="45">
    <w:abstractNumId w:val="48"/>
  </w:num>
  <w:num w:numId="46">
    <w:abstractNumId w:val="32"/>
  </w:num>
  <w:num w:numId="47">
    <w:abstractNumId w:val="1"/>
  </w:num>
  <w:num w:numId="48">
    <w:abstractNumId w:val="0"/>
  </w:num>
  <w:num w:numId="49">
    <w:abstractNumId w:val="45"/>
  </w:num>
  <w:num w:numId="50">
    <w:abstractNumId w:val="50"/>
  </w:num>
  <w:num w:numId="51">
    <w:abstractNumId w:val="25"/>
  </w:num>
  <w:num w:numId="52">
    <w:abstractNumId w:val="24"/>
  </w:num>
  <w:num w:numId="53">
    <w:abstractNumId w:val="47"/>
  </w:num>
  <w:num w:numId="54">
    <w:abstractNumId w:val="9"/>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18"/>
  </w:num>
  <w:num w:numId="59">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234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D02AE"/>
    <w:rsid w:val="001E2905"/>
    <w:rsid w:val="001E5507"/>
    <w:rsid w:val="001E5EE5"/>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2CFD"/>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37361"/>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4FEE"/>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136DCA-BA8A-4E9D-89F7-C5A42A3E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13910</Words>
  <Characters>73726</Characters>
  <Application>Microsoft Office Word</Application>
  <DocSecurity>0</DocSecurity>
  <Lines>614</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Claes Tidestav</cp:lastModifiedBy>
  <cp:revision>3</cp:revision>
  <dcterms:created xsi:type="dcterms:W3CDTF">2020-08-20T12:15:00Z</dcterms:created>
  <dcterms:modified xsi:type="dcterms:W3CDTF">2020-08-20T12:16:00Z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