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0CAC" w14:textId="77777777"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7777777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15   Dual active protocol stack based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Dual active protocol stack based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15   Dual active protocol stack based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15   Dual active protocol stack based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725EEC08" w14:textId="77777777" w:rsidR="00EA76F5" w:rsidRDefault="005500CA">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7777777"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2BCCCF7" w14:textId="77777777" w:rsidR="00EA76F5" w:rsidRDefault="00EA76F5">
      <w:pPr>
        <w:pStyle w:val="BodyText"/>
        <w:spacing w:after="0"/>
        <w:rPr>
          <w:rFonts w:ascii="Times New Roman" w:hAnsi="Times New Roman"/>
          <w:sz w:val="22"/>
          <w:szCs w:val="22"/>
          <w:lang w:eastAsia="zh-CN"/>
        </w:rPr>
      </w:pP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221F23BF" w14:textId="77777777">
        <w:trPr>
          <w:trHeight w:val="209"/>
        </w:trPr>
        <w:tc>
          <w:tcPr>
            <w:tcW w:w="1212" w:type="dxa"/>
            <w:tcMar>
              <w:top w:w="0" w:type="dxa"/>
              <w:left w:w="108" w:type="dxa"/>
              <w:bottom w:w="0" w:type="dxa"/>
              <w:right w:w="108" w:type="dxa"/>
            </w:tcMar>
          </w:tcPr>
          <w:p w14:paraId="5DF6BA78" w14:textId="77777777" w:rsidR="00EA76F5" w:rsidRDefault="005500CA">
            <w:pPr>
              <w:spacing w:after="0"/>
            </w:pPr>
            <w:r>
              <w:t>Example</w:t>
            </w:r>
          </w:p>
        </w:tc>
        <w:tc>
          <w:tcPr>
            <w:tcW w:w="8529" w:type="dxa"/>
            <w:tcMar>
              <w:top w:w="0" w:type="dxa"/>
              <w:left w:w="108" w:type="dxa"/>
              <w:bottom w:w="0" w:type="dxa"/>
              <w:right w:w="108" w:type="dxa"/>
            </w:tcMar>
          </w:tcPr>
          <w:p w14:paraId="5D5C6F00" w14:textId="77777777" w:rsidR="00EA76F5" w:rsidRDefault="005500CA">
            <w:pPr>
              <w:overflowPunct/>
              <w:autoSpaceDE/>
              <w:autoSpaceDN/>
              <w:adjustRightInd/>
              <w:spacing w:after="0"/>
              <w:textAlignment w:val="auto"/>
              <w:rPr>
                <w:lang w:eastAsia="zh-CN"/>
              </w:rPr>
            </w:pPr>
            <w:r>
              <w:rPr>
                <w:lang w:eastAsia="zh-CN"/>
              </w:rPr>
              <w:t>Case (1) – behavior C</w:t>
            </w:r>
          </w:p>
          <w:p w14:paraId="3E1B31EF" w14:textId="77777777" w:rsidR="00EA76F5" w:rsidRDefault="005500CA">
            <w:pPr>
              <w:overflowPunct/>
              <w:autoSpaceDE/>
              <w:autoSpaceDN/>
              <w:adjustRightInd/>
              <w:spacing w:after="0"/>
              <w:textAlignment w:val="auto"/>
              <w:rPr>
                <w:lang w:eastAsia="zh-CN"/>
              </w:rPr>
            </w:pPr>
            <w:r>
              <w:rPr>
                <w:lang w:eastAsia="zh-CN"/>
              </w:rPr>
              <w:t>Case (2) – behavior A</w:t>
            </w:r>
          </w:p>
          <w:p w14:paraId="34577CFC" w14:textId="77777777" w:rsidR="00EA76F5" w:rsidRDefault="005500CA">
            <w:pPr>
              <w:overflowPunct/>
              <w:autoSpaceDE/>
              <w:autoSpaceDN/>
              <w:adjustRightInd/>
              <w:spacing w:after="0"/>
              <w:textAlignment w:val="auto"/>
              <w:rPr>
                <w:lang w:eastAsia="zh-CN"/>
              </w:rPr>
            </w:pPr>
            <w:r>
              <w:rPr>
                <w:lang w:eastAsia="zh-CN"/>
              </w:rPr>
              <w:t>Case (3) – behavior C</w:t>
            </w:r>
          </w:p>
          <w:p w14:paraId="1B629D40" w14:textId="77777777" w:rsidR="00EA76F5" w:rsidRDefault="005500CA">
            <w:pPr>
              <w:overflowPunct/>
              <w:autoSpaceDE/>
              <w:autoSpaceDN/>
              <w:adjustRightInd/>
              <w:spacing w:after="0"/>
              <w:textAlignment w:val="auto"/>
              <w:rPr>
                <w:lang w:eastAsia="zh-CN"/>
              </w:rPr>
            </w:pPr>
            <w:r>
              <w:rPr>
                <w:lang w:eastAsia="zh-CN"/>
              </w:rPr>
              <w:t>Case (4) – behavior B</w:t>
            </w:r>
          </w:p>
          <w:p w14:paraId="31376197" w14:textId="77777777" w:rsidR="00EA76F5" w:rsidRDefault="005500CA">
            <w:pPr>
              <w:overflowPunct/>
              <w:autoSpaceDE/>
              <w:autoSpaceDN/>
              <w:adjustRightInd/>
              <w:spacing w:after="0"/>
              <w:textAlignment w:val="auto"/>
              <w:rPr>
                <w:lang w:eastAsia="zh-CN"/>
              </w:rPr>
            </w:pPr>
            <w:r>
              <w:rPr>
                <w:lang w:eastAsia="zh-CN"/>
              </w:rPr>
              <w:t>Case (5) – behavior C</w:t>
            </w:r>
          </w:p>
          <w:p w14:paraId="34A7A051" w14:textId="77777777" w:rsidR="00EA76F5" w:rsidRDefault="005500CA">
            <w:pPr>
              <w:overflowPunct/>
              <w:autoSpaceDE/>
              <w:autoSpaceDN/>
              <w:adjustRightInd/>
              <w:spacing w:after="0"/>
              <w:textAlignment w:val="auto"/>
              <w:rPr>
                <w:lang w:eastAsia="zh-CN"/>
              </w:rPr>
            </w:pPr>
            <w:r>
              <w:rPr>
                <w:lang w:eastAsia="zh-CN"/>
              </w:rPr>
              <w:t>Case (6) – behavior A</w:t>
            </w:r>
          </w:p>
          <w:p w14:paraId="1DBE21B0" w14:textId="77777777" w:rsidR="00EA76F5" w:rsidRDefault="005500CA">
            <w:pPr>
              <w:overflowPunct/>
              <w:autoSpaceDE/>
              <w:autoSpaceDN/>
              <w:adjustRightInd/>
              <w:spacing w:after="0"/>
              <w:textAlignment w:val="auto"/>
              <w:rPr>
                <w:lang w:eastAsia="zh-CN"/>
              </w:rPr>
            </w:pPr>
            <w:r>
              <w:rPr>
                <w:lang w:eastAsia="zh-CN"/>
              </w:rPr>
              <w:t>Additional notes: xxxx</w:t>
            </w:r>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4FBF4AA8" w14:textId="77777777" w:rsidR="00711F24" w:rsidRDefault="00711F24">
            <w:pPr>
              <w:overflowPunct/>
              <w:autoSpaceDE/>
              <w:autoSpaceDN/>
              <w:adjustRightInd/>
              <w:spacing w:after="0"/>
              <w:textAlignment w:val="auto"/>
              <w:rPr>
                <w:lang w:eastAsia="zh-CN"/>
              </w:rPr>
            </w:pPr>
          </w:p>
          <w:p w14:paraId="789FDC47" w14:textId="77777777" w:rsidR="00711F24" w:rsidRDefault="00711F24">
            <w:pPr>
              <w:overflowPunct/>
              <w:autoSpaceDE/>
              <w:autoSpaceDN/>
              <w:adjustRightInd/>
              <w:spacing w:after="0"/>
              <w:textAlignment w:val="auto"/>
              <w:rPr>
                <w:lang w:eastAsia="zh-CN"/>
              </w:rPr>
            </w:pPr>
            <w:r>
              <w:rPr>
                <w:lang w:eastAsia="zh-CN"/>
              </w:rPr>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09B252ED" w14:textId="77777777" w:rsidR="00A661B8" w:rsidRDefault="00A661B8" w:rsidP="009D09B2">
            <w:pPr>
              <w:overflowPunct/>
              <w:autoSpaceDE/>
              <w:adjustRightInd/>
              <w:spacing w:after="0"/>
              <w:rPr>
                <w:lang w:eastAsia="zh-CN"/>
              </w:rPr>
            </w:pPr>
          </w:p>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7F0A8B25" w14:textId="77777777" w:rsidR="00A661B8" w:rsidRDefault="00A661B8" w:rsidP="00A661B8">
            <w:pPr>
              <w:overflowPunct/>
              <w:autoSpaceDE/>
              <w:adjustRightInd/>
              <w:spacing w:after="0"/>
              <w:rPr>
                <w:lang w:eastAsia="zh-CN"/>
              </w:rPr>
            </w:pPr>
            <w:r>
              <w:rPr>
                <w:lang w:eastAsia="zh-CN"/>
              </w:rPr>
              <w:t xml:space="preserve">Case (6) – </w:t>
            </w:r>
            <w:r w:rsidRPr="00A661B8">
              <w:rPr>
                <w:b/>
                <w:bCs/>
                <w:lang w:eastAsia="zh-CN"/>
              </w:rPr>
              <w:t>behavior A</w:t>
            </w:r>
          </w:p>
          <w:p w14:paraId="15F58F39" w14:textId="77777777" w:rsidR="00A661B8" w:rsidRDefault="00A661B8" w:rsidP="009D09B2">
            <w:pPr>
              <w:overflowPunct/>
              <w:autoSpaceDE/>
              <w:adjustRightInd/>
              <w:spacing w:after="0"/>
              <w:rPr>
                <w:lang w:eastAsia="zh-CN"/>
              </w:rPr>
            </w:pPr>
          </w:p>
          <w:p w14:paraId="5411B638" w14:textId="77777777" w:rsidR="00A661B8" w:rsidRDefault="00A661B8" w:rsidP="009D09B2">
            <w:pPr>
              <w:overflowPunct/>
              <w:autoSpaceDE/>
              <w:adjustRightInd/>
              <w:spacing w:after="0"/>
              <w:rPr>
                <w:lang w:eastAsia="zh-CN"/>
              </w:rPr>
            </w:pPr>
          </w:p>
          <w:p w14:paraId="76EF3822" w14:textId="77777777" w:rsidR="00A661B8" w:rsidRDefault="00A661B8" w:rsidP="009D09B2">
            <w:pPr>
              <w:overflowPunct/>
              <w:autoSpaceDE/>
              <w:adjustRightInd/>
              <w:spacing w:after="0"/>
              <w:rPr>
                <w:lang w:eastAsia="zh-CN"/>
              </w:rPr>
            </w:pPr>
          </w:p>
          <w:p w14:paraId="00613492" w14:textId="46885344" w:rsidR="00A661B8" w:rsidRDefault="00A661B8" w:rsidP="009D09B2">
            <w:pPr>
              <w:overflowPunct/>
              <w:autoSpaceDE/>
              <w:adjustRightInd/>
              <w:spacing w:after="0"/>
              <w:rPr>
                <w:lang w:eastAsia="zh-CN"/>
              </w:rPr>
            </w:pP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77777777" w:rsidR="00EA76F5" w:rsidRDefault="00EA76F5">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w:t>
            </w:r>
            <w:r w:rsidR="00CC5738">
              <w:rPr>
                <w:lang w:eastAsia="zh-CN"/>
              </w:rPr>
              <w:t xml:space="preserve"> Similarily, the NW would have to turn of mTRP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264DC321" w14:textId="77777777" w:rsidR="00711F24" w:rsidRPr="00A541FB" w:rsidRDefault="00711F24">
            <w:pPr>
              <w:overflowPunct/>
              <w:autoSpaceDE/>
              <w:autoSpaceDN/>
              <w:adjustRightInd/>
              <w:spacing w:after="0" w:line="240" w:lineRule="auto"/>
              <w:textAlignment w:val="auto"/>
              <w:rPr>
                <w:iCs/>
                <w:lang w:eastAsia="zh-CN"/>
              </w:rPr>
            </w:pPr>
            <w:bookmarkStart w:id="0" w:name="_Hlk48639070"/>
            <w:r>
              <w:rPr>
                <w:color w:val="FF0000"/>
                <w:u w:val="single"/>
              </w:rPr>
              <w:t xml:space="preserve">During DAPS operation, the UE is not expected to be configured with any CORESETs that are associated with </w:t>
            </w:r>
            <w:r>
              <w:rPr>
                <w:i/>
                <w:color w:val="FF0000"/>
                <w:u w:val="single"/>
              </w:rPr>
              <w:t>CORESETPoolIndex</w:t>
            </w:r>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bookmarkEnd w:id="0"/>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bookmarkStart w:id="1" w:name="_GoBack"/>
            <w:bookmarkEnd w:id="1"/>
            <w:r>
              <w:rPr>
                <w:lang w:eastAsia="zh-CN"/>
              </w:rPr>
              <w:t>share the view with Ericsson.</w:t>
            </w:r>
          </w:p>
        </w:tc>
      </w:tr>
    </w:tbl>
    <w:p w14:paraId="18543D91" w14:textId="77777777" w:rsidR="00EA76F5" w:rsidRDefault="00EA76F5">
      <w:pPr>
        <w:pStyle w:val="BodyText"/>
        <w:spacing w:after="0"/>
        <w:rPr>
          <w:rFonts w:ascii="Times New Roman" w:hAnsi="Times New Roman"/>
          <w:sz w:val="22"/>
          <w:szCs w:val="22"/>
          <w:lang w:eastAsia="zh-CN"/>
        </w:rPr>
      </w:pPr>
    </w:p>
    <w:p w14:paraId="72CA938D" w14:textId="77777777" w:rsidR="00EA76F5" w:rsidRDefault="00EA76F5">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of </w:t>
            </w:r>
            <w:r>
              <w:rPr>
                <w:lang w:eastAsia="zh-CN"/>
              </w:rPr>
              <w:t xml:space="preserve"> </w:t>
            </w:r>
            <w:r w:rsidR="00CB3932">
              <w:rPr>
                <w:i/>
              </w:rPr>
              <w:t>simultaneousRxTxInterBandENDC</w:t>
            </w:r>
            <w:r w:rsidR="00CB3932">
              <w:t xml:space="preserve">, </w:t>
            </w:r>
            <w:r w:rsidR="00CB3932">
              <w:rPr>
                <w:i/>
              </w:rPr>
              <w:t>simultaneousRxTxInterBandCA</w:t>
            </w:r>
            <w:r w:rsidR="00CB3932">
              <w:t xml:space="preserve"> </w:t>
            </w:r>
            <w:r w:rsidR="00CB3932">
              <w:rPr>
                <w:i/>
              </w:rPr>
              <w:t xml:space="preserve">or simultaneousRxTxSUL </w:t>
            </w:r>
            <w:r w:rsidR="00CB3932">
              <w:rPr>
                <w:iCs/>
              </w:rPr>
              <w:t>the gap will be applied. There may be a corner case where the UE supports simultaneous RxTx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bl>
    <w:p w14:paraId="6DB350CD" w14:textId="77777777" w:rsidR="00EA76F5" w:rsidRDefault="00EA76F5">
      <w:pPr>
        <w:pStyle w:val="BodyText"/>
        <w:spacing w:after="0"/>
        <w:rPr>
          <w:rFonts w:ascii="Times New Roman" w:hAnsi="Times New Roman"/>
          <w:sz w:val="22"/>
          <w:szCs w:val="22"/>
          <w:lang w:eastAsia="zh-CN"/>
        </w:rPr>
      </w:pPr>
    </w:p>
    <w:p w14:paraId="132FAA55" w14:textId="77777777" w:rsidR="00EA76F5" w:rsidRDefault="00EA76F5">
      <w:pPr>
        <w:pStyle w:val="BodyText"/>
        <w:spacing w:after="0"/>
        <w:rPr>
          <w:rFonts w:ascii="Times New Roman" w:hAnsi="Times New Roman"/>
          <w:sz w:val="22"/>
          <w:szCs w:val="22"/>
          <w:lang w:eastAsia="zh-CN"/>
        </w:rPr>
      </w:pPr>
    </w:p>
    <w:p w14:paraId="26A63B0C" w14:textId="77777777" w:rsidR="00EA76F5" w:rsidRDefault="00EA76F5">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R1-2005627, “Remaining issues on Rel-16 mobility enhancement,” MediaTek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R1-2005794, “Remaining issues on DAPS-HO,” Huawei, HiSilicon</w:t>
      </w:r>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8267" w14:textId="77777777" w:rsidR="00A661B8" w:rsidRDefault="00A661B8">
      <w:pPr>
        <w:spacing w:after="0" w:line="240" w:lineRule="auto"/>
      </w:pPr>
      <w:r>
        <w:separator/>
      </w:r>
    </w:p>
  </w:endnote>
  <w:endnote w:type="continuationSeparator" w:id="0">
    <w:p w14:paraId="4DC28EF2" w14:textId="77777777" w:rsidR="00A661B8" w:rsidRDefault="00A6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B164" w14:textId="77777777" w:rsidR="00A661B8" w:rsidRDefault="00A66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A661B8" w:rsidRDefault="00A661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B580" w14:textId="77777777" w:rsidR="00A661B8" w:rsidRDefault="00A661B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1CDFC" w14:textId="77777777" w:rsidR="00A661B8" w:rsidRDefault="00A661B8">
      <w:pPr>
        <w:spacing w:after="0" w:line="240" w:lineRule="auto"/>
      </w:pPr>
      <w:r>
        <w:separator/>
      </w:r>
    </w:p>
  </w:footnote>
  <w:footnote w:type="continuationSeparator" w:id="0">
    <w:p w14:paraId="6ED81842" w14:textId="77777777" w:rsidR="00A661B8" w:rsidRDefault="00A6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B70D" w14:textId="77777777" w:rsidR="00A661B8" w:rsidRDefault="00A661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http://schemas.microsoft.com/office/infopath/2007/PartnerControls"/>
    <ds:schemaRef ds:uri="71c5aaf6-e6ce-465b-b873-5148d2a4c105"/>
    <ds:schemaRef ds:uri="28d22441-8343-43f8-ac6d-b59b0fa8fca6"/>
    <ds:schemaRef ds:uri="http://www.w3.org/XML/1998/namespace"/>
    <ds:schemaRef ds:uri="http://purl.org/dc/dcmitype/"/>
  </ds:schemaRefs>
</ds:datastoreItem>
</file>

<file path=customXml/itemProps4.xml><?xml version="1.0" encoding="utf-8"?>
<ds:datastoreItem xmlns:ds="http://schemas.openxmlformats.org/officeDocument/2006/customXml" ds:itemID="{A0B48975-296E-4F88-81EE-4E2B0936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6A1BD-5FF1-46A5-B371-F092CF2618A6}">
  <ds:schemaRefs>
    <ds:schemaRef ds:uri="Microsoft.SharePoint.Taxonomy.ContentTypeSync"/>
  </ds:schemaRefs>
</ds:datastoreItem>
</file>

<file path=customXml/itemProps6.xml><?xml version="1.0" encoding="utf-8"?>
<ds:datastoreItem xmlns:ds="http://schemas.openxmlformats.org/officeDocument/2006/customXml" ds:itemID="{4C406A13-AFE9-4519-81B4-C31C17EC46A0}">
  <ds:schemaRefs>
    <ds:schemaRef ds:uri="http://schemas.openxmlformats.org/officeDocument/2006/bibliography"/>
  </ds:schemaRefs>
</ds:datastoreItem>
</file>

<file path=customXml/itemProps7.xml><?xml version="1.0" encoding="utf-8"?>
<ds:datastoreItem xmlns:ds="http://schemas.openxmlformats.org/officeDocument/2006/customXml" ds:itemID="{B73BB427-E8F2-40AC-99BB-8D4EB54D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12</Pages>
  <Words>5263</Words>
  <Characters>27673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R1-200xxxx</dc:subject>
  <dc:creator>Daewon Lee</dc:creator>
  <cp:keywords>CTPClassification=CTP_PUBLIC:VisualMarkings=, CTPClassification=CTP_NT</cp:keywords>
  <dc:description>e-Meeting, August 17th – 28th, 2020</dc:description>
  <cp:lastModifiedBy>Kaikkonen, Jorma (Nokia - FI/Oulu)</cp:lastModifiedBy>
  <cp:revision>3</cp:revision>
  <cp:lastPrinted>2011-11-09T07:49:00Z</cp:lastPrinted>
  <dcterms:created xsi:type="dcterms:W3CDTF">2020-08-18T10:04:00Z</dcterms:created>
  <dcterms:modified xsi:type="dcterms:W3CDTF">2020-08-18T11:46:00Z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2020-08-18 09:04:53Z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