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 xml:space="preserve">The information is hard for RAN3 to extract from the whole RRC spec, which </w:t>
            </w:r>
            <w:r>
              <w:lastRenderedPageBreak/>
              <w:t>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bl>
    <w:p w14:paraId="358B2D17" w14:textId="77777777" w:rsidR="001B664D" w:rsidRDefault="0004115D">
      <w:pPr>
        <w:pStyle w:val="Heading2"/>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whether the LMF can “order” the gnodeB to send the SRS triggered by the code point in the LMF message.</w:t>
      </w:r>
    </w:p>
    <w:p w14:paraId="3934A10B" w14:textId="77777777" w:rsidR="001B664D" w:rsidRDefault="0004115D">
      <w:r>
        <w:tab/>
        <w:t>- whether the gnodeB should trigger all SRS (including SRS mimo and SRS for positioning) associated with the DCI code point</w:t>
      </w:r>
    </w:p>
    <w:p w14:paraId="3312EFCC" w14:textId="77777777" w:rsidR="001B664D" w:rsidRDefault="0004115D">
      <w:r>
        <w:t>Issue with the understanding of the transmission instant for neighbouring gnodeBs:</w:t>
      </w:r>
    </w:p>
    <w:p w14:paraId="788645EA" w14:textId="77777777" w:rsidR="001B664D" w:rsidRDefault="0004115D">
      <w:commentRangeStart w:id="1"/>
      <w:r>
        <w:tab/>
        <w:t xml:space="preserve">- The serving gnodeB should send additional information regarding the delay between the DCI and the actual SRS transmission (slot offset) to the LMF for forwarding to measurement neighboring nodes. </w:t>
      </w:r>
      <w:commentRangeEnd w:id="1"/>
      <w:r>
        <w:rPr>
          <w:rStyle w:val="CommentReference"/>
        </w:rPr>
        <w:commentReference w:id="1"/>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77777777" w:rsidR="001B664D" w:rsidRDefault="0004115D">
      <w:pPr>
        <w:pStyle w:val="Proposal"/>
        <w:numPr>
          <w:ilvl w:val="0"/>
          <w:numId w:val="0"/>
        </w:numPr>
      </w:pPr>
      <w:r>
        <w:tab/>
        <w:t>Option 1: the gNodeB transmitsa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lastRenderedPageBreak/>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bl>
    <w:p w14:paraId="5EB811AB" w14:textId="77777777" w:rsidR="001B664D" w:rsidRDefault="0004115D">
      <w:pPr>
        <w:rPr>
          <w:lang w:eastAsia="ja-JP"/>
        </w:rPr>
      </w:pPr>
      <w:r>
        <w:t xml:space="preserve"> </w:t>
      </w:r>
    </w:p>
    <w:p w14:paraId="568AB858" w14:textId="77777777" w:rsidR="001B664D" w:rsidRDefault="0004115D">
      <w:pPr>
        <w:pStyle w:val="Heading2"/>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2"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w:t>
            </w:r>
            <w:r>
              <w:rPr>
                <w:rFonts w:eastAsia="MS Mincho"/>
                <w:color w:val="000000"/>
                <w:sz w:val="20"/>
              </w:rPr>
              <w:lastRenderedPageBreak/>
              <w:t xml:space="preserve">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lastRenderedPageBreak/>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any)  in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lastRenderedPageBreak/>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hint="eastAsia"/>
                <w:lang w:eastAsia="zh-CN"/>
              </w:rPr>
            </w:pPr>
            <w:r>
              <w:rPr>
                <w:rFonts w:eastAsia="SimSun"/>
                <w:lang w:eastAsia="zh-CN"/>
              </w:rPr>
              <w:t>SS</w:t>
            </w:r>
          </w:p>
        </w:tc>
        <w:tc>
          <w:tcPr>
            <w:tcW w:w="7993" w:type="dxa"/>
          </w:tcPr>
          <w:p w14:paraId="06776098" w14:textId="77777777" w:rsidR="00E81CF6" w:rsidRDefault="00E81CF6">
            <w:pPr>
              <w:rPr>
                <w:rFonts w:eastAsia="SimSun" w:hint="eastAsia"/>
                <w:lang w:eastAsia="zh-CN"/>
              </w:rPr>
            </w:pPr>
            <w:r>
              <w:rPr>
                <w:rFonts w:eastAsia="SimSun"/>
                <w:lang w:eastAsia="zh-CN"/>
              </w:rPr>
              <w:t>Both are OK.</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77777777" w:rsidR="001B664D" w:rsidRDefault="001B664D">
      <w:pPr>
        <w:pStyle w:val="BodyText"/>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r>
        <w:rPr>
          <w:rFonts w:eastAsia="SimSun"/>
          <w:szCs w:val="24"/>
          <w:lang w:val="en-US"/>
        </w:rPr>
        <w:t>in  [[5],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3"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4"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w:t>
            </w:r>
            <w:r>
              <w:rPr>
                <w:color w:val="000000"/>
              </w:rPr>
              <w:lastRenderedPageBreak/>
              <w:t xml:space="preserve">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5" w:author="CATT" w:date="2020-08-01T11:16:00Z">
              <w:r>
                <w:rPr>
                  <w:color w:val="000000"/>
                </w:rPr>
                <w:t xml:space="preserve">configured </w:t>
              </w:r>
            </w:ins>
            <w:r>
              <w:rPr>
                <w:color w:val="000000"/>
              </w:rPr>
              <w:t>with higher layer parameter r</w:t>
            </w:r>
            <w:r>
              <w:rPr>
                <w:i/>
                <w:color w:val="000000"/>
              </w:rPr>
              <w:t>esourceType</w:t>
            </w:r>
            <w:ins w:id="6"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5.25pt" o:ole="">
                  <v:imagedata r:id="rId16" o:title=""/>
                </v:shape>
                <o:OLEObject Type="Embed" ProgID="Equation.3" ShapeID="_x0000_i1025" DrawAspect="Content" ObjectID="_1659251282" r:id="rId17"/>
              </w:object>
            </w:r>
            <w:r>
              <w:rPr>
                <w:color w:val="000000"/>
              </w:rPr>
              <w:t xml:space="preserve">and </w:t>
            </w:r>
            <w:r>
              <w:rPr>
                <w:color w:val="000000"/>
                <w:position w:val="-10"/>
                <w:sz w:val="20"/>
                <w:lang w:val="en-US"/>
              </w:rPr>
              <w:object w:dxaOrig="435" w:dyaOrig="300" w14:anchorId="5B46D9A0">
                <v:shape id="_x0000_i1026" type="#_x0000_t75" style="width:21.7pt;height:15.25pt" o:ole="">
                  <v:imagedata r:id="rId18" o:title=""/>
                </v:shape>
                <o:OLEObject Type="Embed" ProgID="Equation.3" ShapeID="_x0000_i1026" DrawAspect="Content" ObjectID="_1659251283" r:id="rId19"/>
              </w:object>
            </w:r>
            <w:r>
              <w:rPr>
                <w:color w:val="000000"/>
              </w:rPr>
              <w:t xml:space="preserve">, as defined by the higher layer parameter </w:t>
            </w:r>
            <w:r>
              <w:rPr>
                <w:i/>
              </w:rPr>
              <w:t>freqHopping</w:t>
            </w:r>
            <w:r>
              <w:rPr>
                <w:color w:val="000000"/>
              </w:rPr>
              <w:t xml:space="preserve"> </w:t>
            </w:r>
            <w:ins w:id="9"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7pt;height:15.25pt" o:ole="">
                  <v:imagedata r:id="rId16" o:title=""/>
                </v:shape>
                <o:OLEObject Type="Embed" ProgID="Equation.3" ShapeID="_x0000_i1027" DrawAspect="Content" ObjectID="_1659251284"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7pt;height:15.25pt" o:ole="">
                  <v:imagedata r:id="rId21" o:title=""/>
                </v:shape>
                <o:OLEObject Type="Embed" ProgID="Equation.3" ShapeID="_x0000_i1028" DrawAspect="Content" ObjectID="_1659251285" r:id="rId22"/>
              </w:object>
            </w:r>
            <w:r>
              <w:rPr>
                <w:color w:val="000000"/>
              </w:rPr>
              <w:t xml:space="preserve">, as defined by the higher layer parameter </w:t>
            </w:r>
            <w:r>
              <w:rPr>
                <w:i/>
              </w:rPr>
              <w:t>freqHopping</w:t>
            </w:r>
            <w:r>
              <w:rPr>
                <w:i/>
                <w:color w:val="000000"/>
              </w:rPr>
              <w:t xml:space="preserve"> </w:t>
            </w:r>
            <w:ins w:id="10"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7pt;height:15.25pt" o:ole="">
                  <v:imagedata r:id="rId21" o:title=""/>
                </v:shape>
                <o:OLEObject Type="Embed" ProgID="Equation.3" ShapeID="_x0000_i1029" DrawAspect="Content" ObjectID="_1659251286" r:id="rId23"/>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1"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4" w:author="CATT" w:date="2020-08-01T11:57:00Z">
              <w:r>
                <w:rPr>
                  <w:rFonts w:hint="eastAsia"/>
                  <w:i/>
                </w:rPr>
                <w:t xml:space="preserve"> </w:t>
              </w:r>
            </w:ins>
            <w:del w:id="15" w:author="CATT" w:date="2020-08-01T11:57:00Z">
              <w:r>
                <w:delText xml:space="preserve">, </w:delText>
              </w:r>
            </w:del>
            <w:ins w:id="16" w:author="CATT" w:date="2020-08-01T11:57:00Z">
              <w:r>
                <w:rPr>
                  <w:rFonts w:hint="eastAsia"/>
                </w:rPr>
                <w:t>or</w:t>
              </w:r>
              <w:r>
                <w:t xml:space="preserve"> </w:t>
              </w:r>
            </w:ins>
            <w:r>
              <w:rPr>
                <w:i/>
              </w:rPr>
              <w:t>cyclicShift-n4</w:t>
            </w:r>
            <w:del w:id="17" w:author="CATT" w:date="2020-08-01T11:56:00Z">
              <w:r>
                <w:rPr>
                  <w:i/>
                </w:rPr>
                <w:delText>, or cyclicShift-n8</w:delText>
              </w:r>
            </w:del>
            <w:r>
              <w:rPr>
                <w:i/>
              </w:rPr>
              <w:t xml:space="preserve"> </w:t>
            </w:r>
            <w:r>
              <w:rPr>
                <w:color w:val="000000"/>
              </w:rPr>
              <w:t>for transmission comb value 2</w:t>
            </w:r>
            <w:ins w:id="18" w:author="CATT" w:date="2020-08-01T11:56:00Z">
              <w:r>
                <w:rPr>
                  <w:rFonts w:hint="eastAsia"/>
                  <w:color w:val="000000"/>
                </w:rPr>
                <w:t xml:space="preserve"> </w:t>
              </w:r>
            </w:ins>
            <w:ins w:id="19" w:author="CATT" w:date="2020-08-01T11:57:00Z">
              <w:r>
                <w:rPr>
                  <w:rFonts w:hint="eastAsia"/>
                  <w:color w:val="000000"/>
                </w:rPr>
                <w:t>or</w:t>
              </w:r>
            </w:ins>
            <w:del w:id="20" w:author="CATT" w:date="2020-08-01T11:56:00Z">
              <w:r>
                <w:rPr>
                  <w:color w:val="000000"/>
                </w:rPr>
                <w:delText>,</w:delText>
              </w:r>
            </w:del>
            <w:r>
              <w:rPr>
                <w:color w:val="000000"/>
              </w:rPr>
              <w:t xml:space="preserve"> 4</w:t>
            </w:r>
            <w:del w:id="21" w:author="CATT" w:date="2020-08-01T11:56:00Z">
              <w:r>
                <w:rPr>
                  <w:color w:val="000000"/>
                </w:rPr>
                <w:delText xml:space="preserve"> and 8</w:delText>
              </w:r>
            </w:del>
            <w:ins w:id="22"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3" w:author="CATT" w:date="2020-08-01T11:55:00Z">
              <w:r>
                <w:rPr>
                  <w:rFonts w:hint="eastAsia"/>
                  <w:color w:val="000000"/>
                </w:rPr>
                <w:t xml:space="preserve">and </w:t>
              </w:r>
              <w:r>
                <w:rPr>
                  <w:color w:val="000000"/>
                </w:rPr>
                <w:t xml:space="preserve">defined by the higher layer parameter </w:t>
              </w:r>
              <w:r>
                <w:rPr>
                  <w:i/>
                </w:rPr>
                <w:t>cyclicShift-n2</w:t>
              </w:r>
            </w:ins>
            <w:ins w:id="24" w:author="CATT" w:date="2020-08-01T11:56:00Z">
              <w:r>
                <w:rPr>
                  <w:rFonts w:hint="eastAsia"/>
                  <w:i/>
                </w:rPr>
                <w:t>-r16</w:t>
              </w:r>
            </w:ins>
            <w:ins w:id="25" w:author="CATT" w:date="2020-08-01T11:55:00Z">
              <w:r>
                <w:t xml:space="preserve">, </w:t>
              </w:r>
              <w:r>
                <w:rPr>
                  <w:i/>
                </w:rPr>
                <w:t>cyclicShift-n4</w:t>
              </w:r>
            </w:ins>
            <w:ins w:id="26" w:author="CATT" w:date="2020-08-01T11:56:00Z">
              <w:r>
                <w:rPr>
                  <w:rFonts w:hint="eastAsia"/>
                  <w:i/>
                </w:rPr>
                <w:t>-r16</w:t>
              </w:r>
            </w:ins>
            <w:ins w:id="27" w:author="CATT" w:date="2020-08-01T11:55:00Z">
              <w:r>
                <w:rPr>
                  <w:i/>
                </w:rPr>
                <w:t>, or cyclicShift-n8</w:t>
              </w:r>
            </w:ins>
            <w:ins w:id="28" w:author="CATT" w:date="2020-08-01T11:56:00Z">
              <w:r>
                <w:rPr>
                  <w:rFonts w:hint="eastAsia"/>
                  <w:i/>
                </w:rPr>
                <w:t>-r16</w:t>
              </w:r>
            </w:ins>
            <w:ins w:id="29" w:author="CATT" w:date="2020-08-01T11:55:00Z">
              <w:r>
                <w:rPr>
                  <w:i/>
                </w:rPr>
                <w:t xml:space="preserve"> </w:t>
              </w:r>
              <w:r>
                <w:rPr>
                  <w:color w:val="000000"/>
                </w:rPr>
                <w:t xml:space="preserve">for transmission comb value 2, 4 </w:t>
              </w:r>
            </w:ins>
            <w:ins w:id="30" w:author="CATT" w:date="2020-08-01T11:57:00Z">
              <w:r>
                <w:rPr>
                  <w:rFonts w:hint="eastAsia"/>
                  <w:color w:val="000000"/>
                </w:rPr>
                <w:t>or</w:t>
              </w:r>
            </w:ins>
            <w:ins w:id="31" w:author="CATT" w:date="2020-08-01T11:55:00Z">
              <w:r>
                <w:rPr>
                  <w:color w:val="000000"/>
                </w:rPr>
                <w:t xml:space="preserve"> 8 for an SRS </w:t>
              </w:r>
              <w:r>
                <w:rPr>
                  <w:rFonts w:hint="eastAsia"/>
                  <w:color w:val="000000"/>
                </w:rPr>
                <w:t xml:space="preserve">configured by </w:t>
              </w:r>
              <w:r>
                <w:rPr>
                  <w:rFonts w:hint="eastAsia"/>
                  <w:i/>
                  <w:color w:val="000000"/>
                </w:rPr>
                <w:t>SRS-</w:t>
              </w:r>
            </w:ins>
            <w:ins w:id="32" w:author="CATT" w:date="2020-08-01T11:56:00Z">
              <w:r>
                <w:rPr>
                  <w:rFonts w:hint="eastAsia"/>
                  <w:i/>
                  <w:color w:val="000000"/>
                </w:rPr>
                <w:t>Pos</w:t>
              </w:r>
            </w:ins>
            <w:ins w:id="33" w:author="CATT" w:date="2020-08-01T11:55:00Z">
              <w:r>
                <w:rPr>
                  <w:rFonts w:hint="eastAsia"/>
                  <w:i/>
                  <w:color w:val="000000"/>
                </w:rPr>
                <w:t>Resource</w:t>
              </w:r>
            </w:ins>
            <w:ins w:id="34" w:author="CATT" w:date="2020-08-01T11:56:00Z">
              <w:r>
                <w:rPr>
                  <w:rFonts w:hint="eastAsia"/>
                  <w:i/>
                  <w:color w:val="000000"/>
                </w:rPr>
                <w:t>-r16</w:t>
              </w:r>
            </w:ins>
            <w:ins w:id="35"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6"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7" w:author="CATT" w:date="2020-08-01T12:01:00Z">
              <w:r>
                <w:rPr>
                  <w:rFonts w:hint="eastAsia"/>
                </w:rPr>
                <w:t xml:space="preserve"> or</w:t>
              </w:r>
            </w:ins>
            <w:del w:id="38" w:author="CATT" w:date="2020-08-01T12:01:00Z">
              <w:r>
                <w:rPr>
                  <w:color w:val="000000"/>
                </w:rPr>
                <w:delText>,</w:delText>
              </w:r>
            </w:del>
            <w:r>
              <w:rPr>
                <w:color w:val="000000"/>
              </w:rPr>
              <w:t xml:space="preserve"> </w:t>
            </w:r>
            <w:r>
              <w:rPr>
                <w:i/>
                <w:color w:val="000000"/>
              </w:rPr>
              <w:t>combOffset-n4</w:t>
            </w:r>
            <w:del w:id="39" w:author="CATT" w:date="2020-08-01T12:01:00Z">
              <w:r>
                <w:rPr>
                  <w:color w:val="000000"/>
                </w:rPr>
                <w:delText xml:space="preserve">, or </w:delText>
              </w:r>
              <w:r>
                <w:rPr>
                  <w:i/>
                  <w:color w:val="000000"/>
                </w:rPr>
                <w:delText>combOffset-n8</w:delText>
              </w:r>
            </w:del>
            <w:r>
              <w:rPr>
                <w:color w:val="000000"/>
              </w:rPr>
              <w:t xml:space="preserve"> for transmission comb value 2</w:t>
            </w:r>
            <w:ins w:id="40" w:author="CATT" w:date="2020-08-01T12:01:00Z">
              <w:r>
                <w:rPr>
                  <w:rFonts w:hint="eastAsia"/>
                </w:rPr>
                <w:t xml:space="preserve"> or</w:t>
              </w:r>
            </w:ins>
            <w:del w:id="41" w:author="CATT" w:date="2020-08-01T12:01:00Z">
              <w:r>
                <w:rPr>
                  <w:color w:val="000000"/>
                </w:rPr>
                <w:delText>,</w:delText>
              </w:r>
            </w:del>
            <w:r>
              <w:rPr>
                <w:color w:val="000000"/>
              </w:rPr>
              <w:t xml:space="preserve"> 4</w:t>
            </w:r>
            <w:ins w:id="42"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3" w:author="CATT" w:date="2020-08-01T12:01:00Z">
              <w:r>
                <w:rPr>
                  <w:color w:val="000000"/>
                </w:rPr>
                <w:delText>, or 8</w:delText>
              </w:r>
            </w:del>
            <w:del w:id="44" w:author="CATT" w:date="2020-08-01T12:03:00Z">
              <w:r>
                <w:rPr>
                  <w:color w:val="000000"/>
                </w:rPr>
                <w:delText xml:space="preserve"> </w:delText>
              </w:r>
            </w:del>
            <w:ins w:id="45" w:author="CATT" w:date="2020-08-01T12:03:00Z">
              <w:r>
                <w:rPr>
                  <w:rFonts w:hint="eastAsia"/>
                  <w:color w:val="000000"/>
                </w:rPr>
                <w:t xml:space="preserve">, </w:t>
              </w:r>
            </w:ins>
            <w:r>
              <w:rPr>
                <w:color w:val="000000"/>
              </w:rPr>
              <w:t xml:space="preserve">respectively, </w:t>
            </w:r>
            <w:ins w:id="46"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7"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8"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49"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0"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1"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2"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lastRenderedPageBreak/>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3" w:author="Author">
              <w:r>
                <w:rPr>
                  <w:i/>
                  <w:color w:val="000000"/>
                </w:rPr>
                <w:delText>SRS</w:delText>
              </w:r>
            </w:del>
            <w:ins w:id="54"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5" w:author="Author">
              <w:r>
                <w:rPr>
                  <w:i/>
                  <w:color w:val="000000"/>
                </w:rPr>
                <w:t>-r16</w:t>
              </w:r>
            </w:ins>
            <w:r>
              <w:rPr>
                <w:color w:val="000000"/>
              </w:rPr>
              <w:t xml:space="preserve"> set to 'aperiodic</w:t>
            </w:r>
            <w:ins w:id="56"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6pt;height:15.25pt" o:ole="">
                  <v:imagedata r:id="rId16" o:title=""/>
                </v:shape>
                <o:OLEObject Type="Embed" ProgID="Equation.3" ShapeID="_x0000_i1030" DrawAspect="Content" ObjectID="_1659251287" r:id="rId24"/>
              </w:object>
            </w:r>
            <w:r>
              <w:rPr>
                <w:color w:val="000000"/>
              </w:rPr>
              <w:t xml:space="preserve">and </w:t>
            </w:r>
            <w:r>
              <w:rPr>
                <w:color w:val="000000"/>
                <w:position w:val="-10"/>
                <w:sz w:val="20"/>
                <w:lang w:val="en-US"/>
              </w:rPr>
              <w:object w:dxaOrig="450" w:dyaOrig="300" w14:anchorId="4826353A">
                <v:shape id="_x0000_i1031" type="#_x0000_t75" style="width:22.6pt;height:15.25pt" o:ole="">
                  <v:imagedata r:id="rId18" o:title=""/>
                </v:shape>
                <o:OLEObject Type="Embed" ProgID="Equation.3" ShapeID="_x0000_i1031" DrawAspect="Content" ObjectID="_1659251288"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6pt;height:15.25pt" o:ole="">
                  <v:imagedata r:id="rId16" o:title=""/>
                </v:shape>
                <o:OLEObject Type="Embed" ProgID="Equation.3" ShapeID="_x0000_i1032" DrawAspect="Content" ObjectID="_1659251289"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6pt;height:15.25pt" o:ole="">
                  <v:imagedata r:id="rId21" o:title=""/>
                </v:shape>
                <o:OLEObject Type="Embed" ProgID="Equation.3" ShapeID="_x0000_i1033" DrawAspect="Content" ObjectID="_1659251290"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6pt;height:15.25pt" o:ole="">
                  <v:imagedata r:id="rId21" o:title=""/>
                </v:shape>
                <o:OLEObject Type="Embed" ProgID="Equation.3" ShapeID="_x0000_i1034" DrawAspect="Content" ObjectID="_1659251291"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 xml:space="preserve">for transmission comb value 2, 4 and 8, respectively, and described in Clause </w:t>
            </w:r>
            <w:r>
              <w:rPr>
                <w:color w:val="000000"/>
              </w:rPr>
              <w:lastRenderedPageBreak/>
              <w:t>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58"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9"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0" w:author="Author">
              <w:r>
                <w:rPr>
                  <w:i/>
                  <w:color w:val="000000"/>
                </w:rPr>
                <w:t>SRS-PosResourceSet-r16</w:t>
              </w:r>
              <w:r>
                <w:t xml:space="preserve"> </w:t>
              </w:r>
            </w:ins>
            <w:del w:id="61"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lastRenderedPageBreak/>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hint="eastAsia"/>
                <w:lang w:eastAsia="zh-CN"/>
              </w:rPr>
            </w:pPr>
            <w:r>
              <w:rPr>
                <w:rFonts w:eastAsia="SimSun"/>
                <w:lang w:eastAsia="zh-CN"/>
              </w:rPr>
              <w:t>SS</w:t>
            </w:r>
          </w:p>
        </w:tc>
        <w:tc>
          <w:tcPr>
            <w:tcW w:w="7993" w:type="dxa"/>
          </w:tcPr>
          <w:p w14:paraId="7D6C6270" w14:textId="77777777" w:rsidR="00E81CF6" w:rsidRDefault="00E81CF6" w:rsidP="00C215CF">
            <w:pPr>
              <w:rPr>
                <w:rFonts w:eastAsia="SimSun" w:hint="eastAsia"/>
                <w:lang w:eastAsia="zh-CN"/>
              </w:rPr>
            </w:pPr>
            <w:r>
              <w:rPr>
                <w:rFonts w:eastAsia="SimSun"/>
                <w:lang w:eastAsia="zh-CN"/>
              </w:rPr>
              <w:t xml:space="preserve">Both are </w:t>
            </w:r>
            <w:r w:rsidRPr="00E81CF6">
              <w:rPr>
                <w:rFonts w:eastAsia="SimSun"/>
                <w:lang w:eastAsia="zh-CN"/>
              </w:rPr>
              <w:t>acceptable</w:t>
            </w:r>
            <w:bookmarkStart w:id="62" w:name="_GoBack"/>
            <w:bookmarkEnd w:id="62"/>
          </w:p>
        </w:tc>
      </w:tr>
    </w:tbl>
    <w:p w14:paraId="7A7D3518" w14:textId="77777777"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Heading2"/>
      </w:pPr>
      <w:r>
        <w:t>2.5</w:t>
      </w:r>
      <w:r>
        <w:tab/>
        <w:t xml:space="preserve">Aspect #18: Prioritization for Transmission Power Reduction </w:t>
      </w: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77777777" w:rsidR="001B664D" w:rsidRDefault="0004115D">
            <w:pPr>
              <w:pStyle w:val="B1"/>
            </w:pPr>
            <w:r>
              <w:t>-</w:t>
            </w:r>
            <w:r>
              <w:tab/>
              <w:t xml:space="preserve">SRS transmission, with aperiodic SRS having higher priority than semi-persistent and/or periodic SRS, or PRACH transmission on a serving cell other than the PCell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7777777" w:rsidR="001B664D" w:rsidRDefault="0004115D">
            <w:r>
              <w:t>vivo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bl>
    <w:p w14:paraId="5DE91A6A" w14:textId="77777777" w:rsidR="001B664D" w:rsidRDefault="001B664D">
      <w:pPr>
        <w:rPr>
          <w:lang w:eastAsia="ja-JP"/>
        </w:rPr>
      </w:pPr>
    </w:p>
    <w:p w14:paraId="52A7370A" w14:textId="77777777" w:rsidR="001B664D" w:rsidRDefault="0004115D">
      <w:pPr>
        <w:pStyle w:val="Heading2"/>
      </w:pPr>
      <w:r>
        <w:t>2.6</w:t>
      </w:r>
      <w:r>
        <w:tab/>
        <w:t>Aspect #22: Priority of SRS for Positioning</w:t>
      </w:r>
    </w:p>
    <w:p w14:paraId="73F74F00"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For PUCCH and SRS on the same carrier, a UE shall not transmit SRS when semi-persistent and periodic SRS are configured in the same symbol(s) with PUCCH carrying only CSI report(s), or only L1-RSRP report(s), or only L1-SINR report(s). A UE shall not transmit SRS when semi-</w:t>
            </w:r>
            <w:r>
              <w:rPr>
                <w:sz w:val="20"/>
              </w:rPr>
              <w:lastRenderedPageBreak/>
              <w:t xml:space="preserve">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63"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4" w:author="CATT" w:date="2020-05-12T15:01:00Z">
              <w:r>
                <w:rPr>
                  <w:i/>
                  <w:sz w:val="20"/>
                </w:rPr>
                <w:t>srs-PosResource-r16</w:t>
              </w:r>
              <w:r>
                <w:rPr>
                  <w:color w:val="FF0000"/>
                  <w:sz w:val="20"/>
                </w:rPr>
                <w:t xml:space="preserve"> </w:t>
              </w:r>
            </w:ins>
            <w:ins w:id="65"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hint="eastAsia"/>
                <w:lang w:eastAsia="zh-CN"/>
              </w:rPr>
            </w:pPr>
            <w:r>
              <w:rPr>
                <w:rFonts w:eastAsia="SimSun"/>
                <w:lang w:eastAsia="zh-CN"/>
              </w:rPr>
              <w:t>SS</w:t>
            </w:r>
          </w:p>
        </w:tc>
        <w:tc>
          <w:tcPr>
            <w:tcW w:w="7993" w:type="dxa"/>
          </w:tcPr>
          <w:p w14:paraId="05733B2C" w14:textId="77777777" w:rsidR="00E81CF6" w:rsidRDefault="00E81CF6" w:rsidP="00325BC3">
            <w:pPr>
              <w:rPr>
                <w:rFonts w:eastAsia="SimSun" w:hint="eastAsia"/>
                <w:lang w:eastAsia="zh-CN"/>
              </w:rPr>
            </w:pPr>
            <w:r>
              <w:rPr>
                <w:rFonts w:eastAsia="SimSun"/>
                <w:lang w:eastAsia="zh-CN"/>
              </w:rPr>
              <w:t>Agree with Nokia.</w:t>
            </w:r>
          </w:p>
        </w:tc>
      </w:tr>
    </w:tbl>
    <w:p w14:paraId="2F92984A" w14:textId="77777777" w:rsidR="001B664D" w:rsidRDefault="001B664D">
      <w:pPr>
        <w:rPr>
          <w:lang w:eastAsia="ja-JP"/>
        </w:rPr>
      </w:pPr>
    </w:p>
    <w:p w14:paraId="25E90954" w14:textId="77777777" w:rsidR="001B664D" w:rsidRDefault="001B664D">
      <w:pPr>
        <w:rPr>
          <w:lang w:val="en-GB" w:eastAsia="ja-JP"/>
        </w:rPr>
        <w:sectPr w:rsidR="001B664D">
          <w:headerReference w:type="even" r:id="rId29"/>
          <w:footerReference w:type="default" r:id="rId30"/>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66" w:name="_In-sequence_SDU_delivery"/>
      <w:bookmarkEnd w:id="66"/>
      <w:r>
        <w:lastRenderedPageBreak/>
        <w:t>References</w:t>
      </w:r>
    </w:p>
    <w:p w14:paraId="3409D642" w14:textId="77777777" w:rsidR="001B664D" w:rsidRDefault="0004115D">
      <w:pPr>
        <w:pStyle w:val="Reference"/>
      </w:pPr>
      <w:bookmarkStart w:id="67" w:name="_Ref174151459"/>
      <w:bookmarkStart w:id="68" w:name="_Ref189809556"/>
      <w:r>
        <w:t>R1-2006996, Feature lead summary for NR positioning maintenance AI 7.2.8, Moderator (Intel), Ericsson, CATT, Qualcomm</w:t>
      </w:r>
    </w:p>
    <w:p w14:paraId="786D71FF" w14:textId="77777777" w:rsidR="001B664D" w:rsidRDefault="0004115D">
      <w:pPr>
        <w:pStyle w:val="Reference"/>
      </w:pPr>
      <w:bookmarkStart w:id="69" w:name="_Ref48084186"/>
      <w:r>
        <w:t>R1-2005357, Remaining issues on DL RS for NR positioning</w:t>
      </w:r>
      <w:r>
        <w:tab/>
        <w:t>vivo</w:t>
      </w:r>
      <w:bookmarkEnd w:id="69"/>
    </w:p>
    <w:p w14:paraId="19BB438B" w14:textId="77777777" w:rsidR="001B664D" w:rsidRDefault="0004115D">
      <w:pPr>
        <w:pStyle w:val="Reference"/>
      </w:pPr>
      <w:bookmarkStart w:id="70" w:name="_Ref48030502"/>
      <w:r>
        <w:t>R1-2005358, Remaining issues on physical layer procedure for NR positioning</w:t>
      </w:r>
      <w:r>
        <w:tab/>
        <w:t>vivo</w:t>
      </w:r>
      <w:bookmarkEnd w:id="70"/>
    </w:p>
    <w:p w14:paraId="401AE15F" w14:textId="77777777" w:rsidR="001B664D" w:rsidRDefault="0004115D">
      <w:pPr>
        <w:pStyle w:val="Reference"/>
      </w:pPr>
      <w:bookmarkStart w:id="71" w:name="_Ref47978338"/>
      <w:r>
        <w:t>R1-2005452, Maintenance of NR positioning</w:t>
      </w:r>
      <w:r>
        <w:tab/>
        <w:t>ZTE</w:t>
      </w:r>
      <w:bookmarkEnd w:id="71"/>
    </w:p>
    <w:p w14:paraId="6244C3FD" w14:textId="77777777" w:rsidR="001B664D" w:rsidRDefault="0004115D">
      <w:pPr>
        <w:pStyle w:val="Reference"/>
      </w:pPr>
      <w:bookmarkStart w:id="72" w:name="_Ref47978723"/>
      <w:r>
        <w:t>R1-2005681, Remaining issues on DL PRS and measurements for NR Positioning</w:t>
      </w:r>
      <w:r>
        <w:tab/>
        <w:t>CATT</w:t>
      </w:r>
      <w:bookmarkEnd w:id="72"/>
    </w:p>
    <w:p w14:paraId="031FAFE2" w14:textId="77777777" w:rsidR="001B664D" w:rsidRDefault="0004115D">
      <w:pPr>
        <w:pStyle w:val="Reference"/>
      </w:pPr>
      <w:bookmarkStart w:id="73" w:name="_Ref47988693"/>
      <w:r>
        <w:t>R1-2005682, Remaining issues on UL SRS and UL procedures for NR Positioning</w:t>
      </w:r>
      <w:r>
        <w:tab/>
        <w:t>CATT</w:t>
      </w:r>
      <w:bookmarkEnd w:id="73"/>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74" w:name="_Ref47978814"/>
      <w:r>
        <w:t>R1-2005795, NR positioning corrections</w:t>
      </w:r>
      <w:r>
        <w:tab/>
        <w:t>Huawei, HiSilicon</w:t>
      </w:r>
      <w:bookmarkEnd w:id="74"/>
    </w:p>
    <w:p w14:paraId="4501B189" w14:textId="77777777" w:rsidR="001B664D" w:rsidRDefault="0004115D">
      <w:pPr>
        <w:pStyle w:val="Reference"/>
      </w:pPr>
      <w:bookmarkStart w:id="75" w:name="_Ref47972683"/>
      <w:r>
        <w:t>R1-2005806, RAN1 inputs to RAN3 on SRS support</w:t>
      </w:r>
      <w:r>
        <w:tab/>
        <w:t>Huawei, HiSilicon</w:t>
      </w:r>
      <w:bookmarkEnd w:id="75"/>
    </w:p>
    <w:p w14:paraId="6D049BCD" w14:textId="77777777" w:rsidR="001B664D" w:rsidRDefault="0004115D">
      <w:pPr>
        <w:pStyle w:val="Reference"/>
      </w:pPr>
      <w:bookmarkStart w:id="76" w:name="_Ref48041966"/>
      <w:r>
        <w:t>R1-2005978, Remaining Issues on measurements and procedure for NR Positioning OPPO</w:t>
      </w:r>
      <w:bookmarkEnd w:id="76"/>
    </w:p>
    <w:p w14:paraId="64D9E8CD" w14:textId="77777777" w:rsidR="001B664D" w:rsidRDefault="0004115D">
      <w:pPr>
        <w:pStyle w:val="Reference"/>
      </w:pPr>
      <w:bookmarkStart w:id="77" w:name="_Ref48043382"/>
      <w:r>
        <w:t>R1-2005979, Remaining Issues on RS for Positioning OPPO</w:t>
      </w:r>
      <w:bookmarkEnd w:id="77"/>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78" w:name="_Ref47971024"/>
      <w:r>
        <w:t>R1-2006199, Remaining issues on DL PRS processing order</w:t>
      </w:r>
      <w:r>
        <w:tab/>
        <w:t>CMCC</w:t>
      </w:r>
      <w:bookmarkEnd w:id="78"/>
    </w:p>
    <w:p w14:paraId="337AE055" w14:textId="77777777" w:rsidR="001B664D" w:rsidRDefault="0004115D">
      <w:pPr>
        <w:pStyle w:val="Reference"/>
      </w:pPr>
      <w:bookmarkStart w:id="79" w:name="_Ref47969554"/>
      <w:r>
        <w:t>R1-2006372, Discussion on remaining issues on simultaneous SRS transmission and PRS processing priority for NR positioning</w:t>
      </w:r>
      <w:r>
        <w:tab/>
        <w:t>LG Electronics</w:t>
      </w:r>
      <w:bookmarkEnd w:id="79"/>
    </w:p>
    <w:p w14:paraId="0BFCE21E" w14:textId="77777777" w:rsidR="001B664D" w:rsidRDefault="0004115D">
      <w:pPr>
        <w:pStyle w:val="Reference"/>
      </w:pPr>
      <w:bookmarkStart w:id="80" w:name="_Ref47967815"/>
      <w:r>
        <w:t>R1-2006373, Discussion on remaining issues on QCL and spatial relation information for NR positioning</w:t>
      </w:r>
      <w:r>
        <w:tab/>
      </w:r>
      <w:r>
        <w:tab/>
        <w:t>LG Electronics</w:t>
      </w:r>
      <w:bookmarkEnd w:id="80"/>
    </w:p>
    <w:p w14:paraId="7F7B4614" w14:textId="77777777" w:rsidR="001B664D" w:rsidRDefault="0004115D">
      <w:pPr>
        <w:pStyle w:val="Reference"/>
      </w:pPr>
      <w:bookmarkStart w:id="81" w:name="_Ref47967579"/>
      <w:r>
        <w:t>R1-2006425, Maintenance on measurements for NR positioning</w:t>
      </w:r>
      <w:r>
        <w:tab/>
        <w:t>Nokia, Nokia Shanghai Bell</w:t>
      </w:r>
      <w:bookmarkEnd w:id="81"/>
    </w:p>
    <w:p w14:paraId="373C5B69" w14:textId="77777777" w:rsidR="001B664D" w:rsidRDefault="0004115D">
      <w:pPr>
        <w:pStyle w:val="Reference"/>
      </w:pPr>
      <w:bookmarkStart w:id="82" w:name="_Ref47967548"/>
      <w:r>
        <w:t>R1-2006426, Priority of Assistance Data</w:t>
      </w:r>
      <w:r>
        <w:tab/>
        <w:t>Nokia, Nokia Shanghai Bell</w:t>
      </w:r>
      <w:bookmarkEnd w:id="82"/>
    </w:p>
    <w:p w14:paraId="218BA596" w14:textId="77777777" w:rsidR="001B664D" w:rsidRDefault="0004115D">
      <w:pPr>
        <w:pStyle w:val="Reference"/>
      </w:pPr>
      <w:bookmarkStart w:id="83" w:name="_Ref47964520"/>
      <w:r>
        <w:t>R1-2006784, Maintenance on DL Reference Signals for NR Positioning</w:t>
      </w:r>
      <w:r>
        <w:tab/>
        <w:t>Qualcomm Incorporated</w:t>
      </w:r>
      <w:bookmarkEnd w:id="83"/>
    </w:p>
    <w:p w14:paraId="055C2830" w14:textId="77777777" w:rsidR="001B664D" w:rsidRDefault="0004115D">
      <w:pPr>
        <w:pStyle w:val="Reference"/>
      </w:pPr>
      <w:bookmarkStart w:id="84" w:name="_Ref47965715"/>
      <w:r>
        <w:t>R1-2006911, Maintenance of rel16 reference signals for NR positioning</w:t>
      </w:r>
      <w:r>
        <w:tab/>
        <w:t>Ericsson</w:t>
      </w:r>
      <w:bookmarkEnd w:id="84"/>
    </w:p>
    <w:p w14:paraId="3B7E71DC" w14:textId="77777777" w:rsidR="001B664D" w:rsidRDefault="0004115D">
      <w:pPr>
        <w:pStyle w:val="Reference"/>
      </w:pPr>
      <w:bookmarkStart w:id="85" w:name="_Ref47967628"/>
      <w:r>
        <w:t>R1-2006912, Maintenance of rel16 Physical-layer procedures to support UE - gNB measurements</w:t>
      </w:r>
      <w:r>
        <w:tab/>
        <w:t>Ericsson</w:t>
      </w:r>
      <w:bookmarkEnd w:id="85"/>
    </w:p>
    <w:bookmarkEnd w:id="67"/>
    <w:bookmarkEnd w:id="68"/>
    <w:p w14:paraId="7CE2D624" w14:textId="77777777" w:rsidR="001B664D" w:rsidRDefault="0004115D">
      <w:pPr>
        <w:pStyle w:val="Reference"/>
        <w:numPr>
          <w:ilvl w:val="0"/>
          <w:numId w:val="0"/>
        </w:numPr>
        <w:ind w:left="567" w:hanging="567"/>
      </w:pPr>
      <w:r>
        <w:t xml:space="preserve"> </w:t>
      </w:r>
    </w:p>
    <w:sectPr w:rsidR="001B664D">
      <w:headerReference w:type="even" r:id="rId31"/>
      <w:footerReference w:type="default" r:id="rId3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1B664D" w:rsidRDefault="0004115D">
      <w:pPr>
        <w:pStyle w:val="CommentText"/>
      </w:pPr>
      <w:r>
        <w:rPr>
          <w:rFonts w:hint="eastAsia"/>
        </w:rPr>
        <w:t>T</w:t>
      </w:r>
      <w:r>
        <w:t>h</w:t>
      </w:r>
      <w:r>
        <w:rPr>
          <w:rFonts w:hint="eastAsia"/>
        </w:rPr>
        <w:t>e</w:t>
      </w:r>
      <w:r>
        <w:t xml:space="preserve"> text is not fully aligned with our t-doc. Suggest to change the description as follows:</w:t>
      </w:r>
    </w:p>
    <w:p w14:paraId="0862AAE2" w14:textId="77777777" w:rsidR="001B664D" w:rsidRDefault="001B664D">
      <w:pPr>
        <w:pStyle w:val="CommentText"/>
      </w:pPr>
    </w:p>
    <w:p w14:paraId="4C425620" w14:textId="77777777" w:rsidR="001B664D" w:rsidRDefault="0004115D">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1B664D" w:rsidRDefault="0004115D">
      <w:pPr>
        <w:pStyle w:val="CommentText"/>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4D42" w14:textId="77777777" w:rsidR="00002D36" w:rsidRDefault="00002D36">
      <w:pPr>
        <w:spacing w:after="0" w:line="240" w:lineRule="auto"/>
      </w:pPr>
      <w:r>
        <w:separator/>
      </w:r>
    </w:p>
  </w:endnote>
  <w:endnote w:type="continuationSeparator" w:id="0">
    <w:p w14:paraId="7ECBAF7D" w14:textId="77777777" w:rsidR="00002D36" w:rsidRDefault="0000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1B664D" w:rsidRDefault="000411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1CF6">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1CF6">
      <w:rPr>
        <w:rStyle w:val="PageNumber"/>
        <w:noProof/>
      </w:rPr>
      <w:t>13</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1B664D" w:rsidRDefault="0004115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1CF6">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1CF6">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79369" w14:textId="77777777" w:rsidR="00002D36" w:rsidRDefault="00002D36">
      <w:pPr>
        <w:spacing w:after="0" w:line="240" w:lineRule="auto"/>
      </w:pPr>
      <w:r>
        <w:separator/>
      </w:r>
    </w:p>
  </w:footnote>
  <w:footnote w:type="continuationSeparator" w:id="0">
    <w:p w14:paraId="2BAB4992" w14:textId="77777777" w:rsidR="00002D36" w:rsidRDefault="0000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1B664D" w:rsidRDefault="0004115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1B664D" w:rsidRDefault="0004115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CATT">
    <w15:presenceInfo w15:providerId="None" w15:userId="CATT"/>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80BEC"/>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1CF6"/>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B4C8D4BC-B928-4E32-B084-7F8DE0C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2.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58DA3A9-6FB1-44C1-84D2-6135A032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Yinan Qi</cp:lastModifiedBy>
  <cp:revision>2</cp:revision>
  <cp:lastPrinted>2008-01-31T07:09:00Z</cp:lastPrinted>
  <dcterms:created xsi:type="dcterms:W3CDTF">2020-08-18T09:19:00Z</dcterms:created>
  <dcterms:modified xsi:type="dcterms:W3CDTF">2020-08-18T09:19:00Z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ies>
</file>