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Heading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TableGrid"/>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Heading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TableGrid"/>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BodyText"/>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[7]</w:t>
            </w:r>
            <w:r w:rsidRPr="00A456B6">
              <w:rPr>
                <w:rFonts w:ascii="Arial" w:eastAsia="SimSun"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 xml:space="preserve">[8] </w:t>
            </w:r>
            <w:r w:rsidRPr="00A456B6">
              <w:rPr>
                <w:rFonts w:ascii="Arial" w:eastAsia="SimSun"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“From RAN1 perspective, while designing full power transmission feature, there is no differentiation between 2 methods” before the proposal, but we need to answer the question that feasible or not from RAN1 perspective.</w:t>
            </w:r>
          </w:p>
        </w:tc>
      </w:tr>
      <w:tr w:rsidR="00320C0D" w14:paraId="46091ABC" w14:textId="77777777" w:rsidTr="00FB11C2">
        <w:tc>
          <w:tcPr>
            <w:tcW w:w="2263" w:type="dxa"/>
          </w:tcPr>
          <w:p w14:paraId="56205C4F" w14:textId="66CE3273" w:rsidR="00320C0D" w:rsidRDefault="00320C0D" w:rsidP="00E4399D">
            <w:pPr>
              <w:spacing w:after="60"/>
              <w:rPr>
                <w:rFonts w:eastAsiaTheme="minorEastAsia" w:hint="eastAsia"/>
                <w:kern w:val="2"/>
                <w:lang w:eastAsia="zh-CN"/>
              </w:rPr>
            </w:pPr>
            <w:r>
              <w:rPr>
                <w:rFonts w:eastAsiaTheme="minorEastAsia"/>
                <w:kern w:val="2"/>
                <w:lang w:eastAsia="zh-CN"/>
              </w:rPr>
              <w:lastRenderedPageBreak/>
              <w:t>Futurewei</w:t>
            </w:r>
          </w:p>
        </w:tc>
        <w:tc>
          <w:tcPr>
            <w:tcW w:w="7044" w:type="dxa"/>
          </w:tcPr>
          <w:p w14:paraId="3282266E" w14:textId="158F4DF1" w:rsidR="00320C0D" w:rsidRDefault="00320C0D" w:rsidP="00E4399D">
            <w:pPr>
              <w:spacing w:after="60"/>
              <w:rPr>
                <w:rFonts w:hint="eastAsia"/>
                <w:kern w:val="2"/>
                <w:lang w:eastAsia="zh-CN"/>
              </w:rPr>
            </w:pPr>
            <w:r>
              <w:rPr>
                <w:kern w:val="2"/>
                <w:lang w:eastAsia="zh-CN"/>
              </w:rPr>
              <w:t>Support</w:t>
            </w: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TableGrid"/>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ListParagraph"/>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SimSun" w:hAnsi="Arial" w:cs="Arial" w:hint="eastAsia"/>
                <w:szCs w:val="20"/>
                <w:lang w:val="en-US" w:eastAsia="zh-CN"/>
              </w:rPr>
              <w:t>+</w:t>
            </w:r>
            <w:r w:rsidRPr="00A456B6">
              <w:rPr>
                <w:rFonts w:ascii="Arial" w:eastAsia="SimSun"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ListParagraph"/>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BodyText"/>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Header"/>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Header"/>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Header"/>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SimSun" w:hAnsi="Arial" w:cs="Arial"/>
                <w:b w:val="0"/>
                <w:snapToGrid/>
                <w:sz w:val="20"/>
                <w:lang w:val="en-US" w:eastAsia="zh-CN"/>
              </w:rPr>
            </w:pPr>
            <w:r w:rsidRPr="008711A7">
              <w:rPr>
                <w:rFonts w:ascii="Arial" w:eastAsia="SimSun" w:hAnsi="Arial" w:cs="Arial" w:hint="eastAsia"/>
                <w:snapToGrid/>
                <w:sz w:val="20"/>
                <w:lang w:val="en-US" w:eastAsia="zh-CN"/>
              </w:rPr>
              <w:lastRenderedPageBreak/>
              <w:t>[</w:t>
            </w:r>
            <w:r w:rsidRPr="008711A7">
              <w:rPr>
                <w:rFonts w:ascii="Arial" w:eastAsia="SimSun" w:hAnsi="Arial" w:cs="Arial"/>
                <w:snapToGrid/>
                <w:sz w:val="20"/>
                <w:lang w:val="en-US" w:eastAsia="zh-CN"/>
              </w:rPr>
              <w:t>6</w:t>
            </w:r>
            <w:r w:rsidRPr="008711A7">
              <w:rPr>
                <w:rFonts w:ascii="Arial" w:eastAsia="SimSun" w:hAnsi="Arial" w:cs="Arial" w:hint="eastAsia"/>
                <w:snapToGrid/>
                <w:sz w:val="20"/>
                <w:lang w:val="en-US" w:eastAsia="zh-CN"/>
              </w:rPr>
              <w:t>]</w:t>
            </w:r>
            <w:r w:rsidR="00F50101" w:rsidRPr="008711A7">
              <w:rPr>
                <w:rFonts w:ascii="Arial" w:eastAsia="SimSun" w:hAnsi="Arial" w:cs="Arial"/>
                <w:snapToGrid/>
                <w:sz w:val="20"/>
                <w:lang w:val="en-US" w:eastAsia="zh-CN"/>
              </w:rPr>
              <w:t xml:space="preserve"> </w:t>
            </w:r>
            <w:r w:rsidR="00F50101" w:rsidRPr="00A456B6">
              <w:rPr>
                <w:rFonts w:ascii="Arial" w:eastAsia="SimSun"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Heade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r w:rsidR="007C3292" w14:paraId="6BA4ED0B" w14:textId="77777777" w:rsidTr="005B0C2B">
        <w:tc>
          <w:tcPr>
            <w:tcW w:w="2263" w:type="dxa"/>
          </w:tcPr>
          <w:p w14:paraId="5BBA02FF" w14:textId="4ED7E95F" w:rsidR="007C3292" w:rsidRDefault="007C3292" w:rsidP="0062148F">
            <w:pPr>
              <w:spacing w:after="60"/>
              <w:rPr>
                <w:rFonts w:eastAsiaTheme="minorEastAsia" w:hint="eastAsia"/>
                <w:kern w:val="2"/>
                <w:lang w:eastAsia="zh-CN"/>
              </w:rPr>
            </w:pPr>
            <w:r>
              <w:rPr>
                <w:rFonts w:eastAsiaTheme="minorEastAsia"/>
                <w:kern w:val="2"/>
                <w:lang w:eastAsia="zh-CN"/>
              </w:rPr>
              <w:t>FUTUREWEI</w:t>
            </w:r>
          </w:p>
        </w:tc>
        <w:tc>
          <w:tcPr>
            <w:tcW w:w="7044" w:type="dxa"/>
          </w:tcPr>
          <w:p w14:paraId="0A11E5AE" w14:textId="543F635A" w:rsidR="007C3292" w:rsidRDefault="007C3292" w:rsidP="0062148F">
            <w:pPr>
              <w:spacing w:after="60"/>
              <w:rPr>
                <w:rFonts w:hint="eastAsia"/>
                <w:kern w:val="2"/>
                <w:lang w:eastAsia="zh-CN"/>
              </w:rPr>
            </w:pPr>
            <w:r>
              <w:rPr>
                <w:kern w:val="2"/>
                <w:lang w:eastAsia="zh-CN"/>
              </w:rPr>
              <w:t>Support</w:t>
            </w:r>
          </w:p>
        </w:tc>
      </w:tr>
    </w:tbl>
    <w:p w14:paraId="7AB8C2E4" w14:textId="77777777" w:rsidR="00263ACF" w:rsidRPr="00263ACF" w:rsidRDefault="00263ACF"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TableGrid"/>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t>
            </w:r>
            <w:r w:rsidRPr="00A456B6">
              <w:rPr>
                <w:rFonts w:ascii="Arial" w:hAnsi="Arial" w:cs="Arial"/>
                <w:sz w:val="20"/>
                <w:szCs w:val="20"/>
                <w:lang w:val="en-GB" w:eastAsia="zh-CN"/>
              </w:rPr>
              <w:lastRenderedPageBreak/>
              <w:t xml:space="preserve">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TableGrid"/>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BodyText"/>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hint="eastAsia"/>
                <w:snapToGrid/>
                <w:sz w:val="20"/>
                <w:lang w:eastAsia="zh-CN"/>
              </w:rPr>
              <w:t>[</w:t>
            </w:r>
            <w:r w:rsidRPr="00B749BF">
              <w:rPr>
                <w:rFonts w:ascii="Arial" w:eastAsia="SimSun" w:hAnsi="Arial" w:cs="Arial"/>
                <w:snapToGrid/>
                <w:sz w:val="20"/>
                <w:lang w:eastAsia="zh-CN"/>
              </w:rPr>
              <w:t>6</w:t>
            </w:r>
            <w:r w:rsidRPr="00B749BF">
              <w:rPr>
                <w:rFonts w:ascii="Arial" w:eastAsia="SimSun" w:hAnsi="Arial" w:cs="Arial" w:hint="eastAsia"/>
                <w:snapToGrid/>
                <w:sz w:val="20"/>
                <w:lang w:eastAsia="zh-CN"/>
              </w:rPr>
              <w:t>]</w:t>
            </w:r>
            <w:r w:rsidR="00B749BF">
              <w:rPr>
                <w:rFonts w:ascii="Arial" w:eastAsia="SimSun" w:hAnsi="Arial" w:cs="Arial"/>
                <w:b w:val="0"/>
                <w:snapToGrid/>
                <w:sz w:val="20"/>
                <w:lang w:eastAsia="zh-CN"/>
              </w:rPr>
              <w:t xml:space="preserve"> </w:t>
            </w:r>
            <w:r w:rsidRPr="00A456B6">
              <w:rPr>
                <w:rFonts w:ascii="Arial" w:eastAsia="SimSun"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snapToGrid/>
                <w:sz w:val="20"/>
                <w:lang w:eastAsia="zh-CN"/>
              </w:rPr>
              <w:t xml:space="preserve">[7] </w:t>
            </w:r>
            <w:r w:rsidRPr="00A456B6">
              <w:rPr>
                <w:rFonts w:ascii="Arial" w:eastAsia="SimSun"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 xml:space="preserve">“Mode0 and Mode2 are designed considering UE is equipped with one or more </w:t>
            </w:r>
            <w:r>
              <w:rPr>
                <w:kern w:val="2"/>
                <w:lang w:eastAsia="zh-CN"/>
              </w:rPr>
              <w:lastRenderedPageBreak/>
              <w:t>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lastRenderedPageBreak/>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 xml:space="preserve">Agree that Mode-0 is for full related PAs, but Mode-2 is not only for full related PAs, as discussed in RAN1, Mode-2 can be based on port virtualization. </w:t>
            </w:r>
          </w:p>
        </w:tc>
      </w:tr>
      <w:tr w:rsidR="007C3292" w14:paraId="5582A718" w14:textId="77777777" w:rsidTr="005B0C2B">
        <w:tc>
          <w:tcPr>
            <w:tcW w:w="2263" w:type="dxa"/>
          </w:tcPr>
          <w:p w14:paraId="42FAFC47" w14:textId="2E1949D4" w:rsidR="007C3292" w:rsidRDefault="007C3292" w:rsidP="0062148F">
            <w:pPr>
              <w:spacing w:after="60"/>
              <w:rPr>
                <w:rFonts w:eastAsiaTheme="minorEastAsia" w:hint="eastAsia"/>
                <w:kern w:val="2"/>
                <w:lang w:eastAsia="zh-CN"/>
              </w:rPr>
            </w:pPr>
            <w:r>
              <w:rPr>
                <w:rFonts w:eastAsiaTheme="minorEastAsia"/>
                <w:kern w:val="2"/>
                <w:lang w:eastAsia="zh-CN"/>
              </w:rPr>
              <w:t>FUTUREWEI</w:t>
            </w:r>
          </w:p>
        </w:tc>
        <w:tc>
          <w:tcPr>
            <w:tcW w:w="7044" w:type="dxa"/>
          </w:tcPr>
          <w:p w14:paraId="31AD0417" w14:textId="2671A909" w:rsidR="007C3292" w:rsidRDefault="007C3292" w:rsidP="0062148F">
            <w:pPr>
              <w:spacing w:after="60"/>
              <w:rPr>
                <w:rFonts w:hint="eastAsia"/>
                <w:kern w:val="2"/>
                <w:lang w:eastAsia="zh-CN"/>
              </w:rPr>
            </w:pPr>
            <w:r>
              <w:rPr>
                <w:kern w:val="2"/>
                <w:lang w:eastAsia="zh-CN"/>
              </w:rPr>
              <w:t>Support</w:t>
            </w:r>
            <w:bookmarkStart w:id="3" w:name="_GoBack"/>
            <w:bookmarkEnd w:id="3"/>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Heading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Heading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Hyperlink"/>
          <w:lang w:eastAsia="x-none"/>
        </w:rPr>
        <w:t>R1-2005325</w:t>
      </w:r>
      <w:r>
        <w:fldChar w:fldCharType="end"/>
      </w:r>
      <w:r>
        <w:t>      Draft reply on LS on clarification of transparent diversity feasibility      vivo</w:t>
      </w:r>
    </w:p>
    <w:p w14:paraId="795FB044" w14:textId="77777777" w:rsidR="002C50AC" w:rsidRDefault="008D7E4A" w:rsidP="002C50AC">
      <w:pPr>
        <w:pStyle w:val="References"/>
      </w:pPr>
      <w:hyperlink r:id="rId8" w:history="1">
        <w:r w:rsidR="002C50AC">
          <w:rPr>
            <w:rStyle w:val="Hyperlink"/>
            <w:lang w:eastAsia="x-none"/>
          </w:rPr>
          <w:t>R1-2005491</w:t>
        </w:r>
      </w:hyperlink>
      <w:r w:rsidR="002C50AC">
        <w:t>      Draft reply LS on feasibility of ULFPTx modes and transparent TxD for certain UE implementations              ZTE</w:t>
      </w:r>
    </w:p>
    <w:p w14:paraId="66FA1943" w14:textId="77777777" w:rsidR="002C50AC" w:rsidRDefault="008D7E4A" w:rsidP="002C50AC">
      <w:pPr>
        <w:pStyle w:val="References"/>
      </w:pPr>
      <w:hyperlink r:id="rId9" w:history="1">
        <w:r w:rsidR="002C50AC">
          <w:rPr>
            <w:rStyle w:val="Hyperlink"/>
            <w:lang w:eastAsia="x-none"/>
          </w:rPr>
          <w:t>R1-2005651</w:t>
        </w:r>
      </w:hyperlink>
      <w:r w:rsidR="002C50AC">
        <w:t>      Draft reply LS to RAN4 on feasibility of ULFPTx modes and transparent TxD for certain UE implementations        CATT</w:t>
      </w:r>
    </w:p>
    <w:p w14:paraId="23A80339" w14:textId="77777777" w:rsidR="002C50AC" w:rsidRDefault="008D7E4A" w:rsidP="002C50AC">
      <w:pPr>
        <w:pStyle w:val="References"/>
      </w:pPr>
      <w:hyperlink r:id="rId10" w:history="1">
        <w:r w:rsidR="002C50AC">
          <w:rPr>
            <w:rStyle w:val="Hyperlink"/>
            <w:lang w:eastAsia="x-none"/>
          </w:rPr>
          <w:t>R1-2005995</w:t>
        </w:r>
      </w:hyperlink>
      <w:r w:rsidR="002C50AC">
        <w:t>      Discussion on feasibility of ULFPTx modes and transparent TxD for certain UE implementations                      OPPO</w:t>
      </w:r>
    </w:p>
    <w:p w14:paraId="7F905A0D" w14:textId="77777777" w:rsidR="002C50AC" w:rsidRDefault="008D7E4A" w:rsidP="002C50AC">
      <w:pPr>
        <w:pStyle w:val="References"/>
      </w:pPr>
      <w:hyperlink r:id="rId11" w:history="1">
        <w:r w:rsidR="002C50AC">
          <w:rPr>
            <w:rStyle w:val="Hyperlink"/>
            <w:lang w:eastAsia="x-none"/>
          </w:rPr>
          <w:t>R1-2006080</w:t>
        </w:r>
      </w:hyperlink>
      <w:r w:rsidR="002C50AC">
        <w:t>      [Draft] Reply LS on clarification of transparent diversity feasibility      Samsung</w:t>
      </w:r>
    </w:p>
    <w:p w14:paraId="5FDB9557" w14:textId="77777777" w:rsidR="002C50AC" w:rsidRDefault="008D7E4A" w:rsidP="002C50AC">
      <w:pPr>
        <w:pStyle w:val="References"/>
      </w:pPr>
      <w:hyperlink r:id="rId12" w:history="1">
        <w:r w:rsidR="002C50AC">
          <w:rPr>
            <w:rStyle w:val="Hyperlink"/>
            <w:lang w:eastAsia="x-none"/>
          </w:rPr>
          <w:t>R1-2006591</w:t>
        </w:r>
      </w:hyperlink>
      <w:r w:rsidR="002C50AC">
        <w:t>      Draft reply LS on feasibility of ULFPTx modes and transparent TxD for certain UE implementations              LG Electronics</w:t>
      </w:r>
    </w:p>
    <w:p w14:paraId="05FD04C0" w14:textId="77777777" w:rsidR="002C50AC" w:rsidRDefault="008D7E4A" w:rsidP="002C50AC">
      <w:pPr>
        <w:pStyle w:val="References"/>
      </w:pPr>
      <w:hyperlink r:id="rId13" w:history="1">
        <w:r w:rsidR="002C50AC">
          <w:rPr>
            <w:rStyle w:val="Hyperlink"/>
            <w:lang w:eastAsia="x-none"/>
          </w:rPr>
          <w:t>R1-2006617</w:t>
        </w:r>
      </w:hyperlink>
      <w:r w:rsidR="002C50AC">
        <w:t>      Draft LS reply on feasibility of ULFPTx modes and transparent TxD for certain UE implementations              Ericsson</w:t>
      </w:r>
    </w:p>
    <w:p w14:paraId="2BDBAFDC" w14:textId="4B6C7765" w:rsidR="002C50AC" w:rsidRDefault="008D7E4A" w:rsidP="002C50AC">
      <w:pPr>
        <w:pStyle w:val="References"/>
      </w:pPr>
      <w:hyperlink r:id="rId14" w:history="1">
        <w:r w:rsidR="002C50AC">
          <w:rPr>
            <w:rStyle w:val="Hyperlink"/>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8D7E4A" w:rsidP="00425A09">
      <w:pPr>
        <w:pStyle w:val="References"/>
        <w:rPr>
          <w:bCs/>
          <w:sz w:val="21"/>
          <w:szCs w:val="21"/>
          <w:lang w:eastAsia="x-none"/>
        </w:rPr>
      </w:pPr>
      <w:hyperlink r:id="rId15" w:history="1">
        <w:r w:rsidR="00425A09" w:rsidRPr="002C50AC">
          <w:rPr>
            <w:rStyle w:val="Hyperlink"/>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465EF" w14:textId="77777777" w:rsidR="008D7E4A" w:rsidRDefault="008D7E4A">
      <w:r>
        <w:separator/>
      </w:r>
    </w:p>
  </w:endnote>
  <w:endnote w:type="continuationSeparator" w:id="0">
    <w:p w14:paraId="20044E34" w14:textId="77777777" w:rsidR="008D7E4A" w:rsidRDefault="008D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AF3E2" w14:textId="77777777" w:rsidR="008D7E4A" w:rsidRDefault="008D7E4A">
      <w:r>
        <w:separator/>
      </w:r>
    </w:p>
  </w:footnote>
  <w:footnote w:type="continuationSeparator" w:id="0">
    <w:p w14:paraId="3144192D" w14:textId="77777777" w:rsidR="008D7E4A" w:rsidRDefault="008D7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C0D"/>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292"/>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4A"/>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132"/>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H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link w:val="Heading5Char"/>
    <w:qFormat/>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link w:val="BodyText2Char"/>
    <w:pPr>
      <w:spacing w:after="0"/>
      <w:jc w:val="left"/>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ListParagraphChar">
    <w:name w:val="List Paragraph Char"/>
    <w:aliases w:val="- Bullets Char,リスト段落 Char,?? ?? Char,????? Char,???? Char,Lista1 Char,中等深浅网格 1 - 着色 21 Char,列出段落1 Char,列表段落 Char,¥¡¡¡¡ì¬º¥¹¥È¶ÎÂä Char,ÁÐ³ö¶ÎÂä Char,列表段落1 Char,—ño’i—Ž Char,¥ê¥¹¥È¶ÎÂä Char,1st level - Bullet List Paragraph Char"/>
    <w:link w:val="ListParagraph"/>
    <w:uiPriority w:val="34"/>
    <w:qFormat/>
    <w:rsid w:val="007163CD"/>
    <w:rPr>
      <w:rFonts w:ascii="Courier-Bold" w:eastAsia="Courier-Bold" w:hAnsi="Courier-Bold"/>
      <w:szCs w:val="21"/>
      <w:lang w:val="x-none" w:eastAsia="x-none"/>
    </w:rPr>
  </w:style>
  <w:style w:type="paragraph" w:customStyle="1" w:styleId="LGTdoc">
    <w:name w:val="LGTdoc_본문"/>
    <w:basedOn w:val="Normal"/>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
    <w:name w:val="1"/>
    <w:next w:val="Normal"/>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Normal"/>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CommentReference">
    <w:name w:val="annotation reference"/>
    <w:qFormat/>
    <w:rsid w:val="00B153C9"/>
    <w:rPr>
      <w:kern w:val="2"/>
      <w:sz w:val="16"/>
      <w:szCs w:val="16"/>
      <w:lang w:val="en-GB" w:eastAsia="zh-CN" w:bidi="ar-SA"/>
    </w:rPr>
  </w:style>
  <w:style w:type="paragraph" w:styleId="CommentText">
    <w:name w:val="annotation text"/>
    <w:basedOn w:val="Normal"/>
    <w:link w:val="CommentTextChar"/>
    <w:uiPriority w:val="99"/>
    <w:qFormat/>
    <w:rsid w:val="00B153C9"/>
    <w:rPr>
      <w:rFonts w:ascii="Courier-Bold" w:hAnsi="Courier-Bold" w:cs="Courier-Bold"/>
      <w:sz w:val="20"/>
      <w:szCs w:val="20"/>
    </w:rPr>
  </w:style>
  <w:style w:type="character" w:customStyle="1" w:styleId="CommentTextChar">
    <w:name w:val="Comment Text Char"/>
    <w:basedOn w:val="DefaultParagraphFont"/>
    <w:link w:val="CommentText"/>
    <w:uiPriority w:val="99"/>
    <w:qFormat/>
    <w:rsid w:val="00B153C9"/>
    <w:rPr>
      <w:rFonts w:ascii="Courier-Bold" w:hAnsi="Courier-Bold" w:cs="Courier-Bold"/>
    </w:rPr>
  </w:style>
  <w:style w:type="paragraph" w:styleId="CommentSubject">
    <w:name w:val="annotation subject"/>
    <w:basedOn w:val="CommentText"/>
    <w:next w:val="CommentText"/>
    <w:link w:val="CommentSubjectChar"/>
    <w:rsid w:val="00B153C9"/>
    <w:rPr>
      <w:b/>
      <w:bCs/>
      <w:kern w:val="2"/>
      <w:lang w:val="en-GB" w:eastAsia="zh-CN"/>
    </w:rPr>
  </w:style>
  <w:style w:type="character" w:customStyle="1" w:styleId="CommentSubjectChar">
    <w:name w:val="Comment Subject Char"/>
    <w:basedOn w:val="CommentTextChar"/>
    <w:link w:val="CommentSubject"/>
    <w:rsid w:val="00B153C9"/>
    <w:rPr>
      <w:rFonts w:ascii="Courier-Bold" w:hAnsi="Courier-Bold" w:cs="Courier-Bold"/>
      <w:b/>
      <w:bCs/>
      <w:kern w:val="2"/>
      <w:lang w:val="en-GB" w:eastAsia="zh-CN"/>
    </w:rPr>
  </w:style>
  <w:style w:type="paragraph" w:customStyle="1" w:styleId="RAN1bullet2">
    <w:name w:val="RAN1 bullet2"/>
    <w:basedOn w:val="Normal"/>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Normal"/>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B153C9"/>
    <w:rPr>
      <w:b/>
      <w:bCs/>
      <w:sz w:val="28"/>
      <w:szCs w:val="28"/>
    </w:rPr>
  </w:style>
  <w:style w:type="paragraph" w:customStyle="1" w:styleId="B1">
    <w:name w:val="B1"/>
    <w:basedOn w:val="Normal"/>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B153C9"/>
    <w:rPr>
      <w:b/>
      <w:bCs/>
      <w:sz w:val="24"/>
      <w:szCs w:val="22"/>
    </w:rPr>
  </w:style>
  <w:style w:type="paragraph" w:customStyle="1" w:styleId="a0">
    <w:name w:val="编写建议"/>
    <w:basedOn w:val="Normal"/>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Revision">
    <w:name w:val="Revision"/>
    <w:hidden/>
    <w:uiPriority w:val="99"/>
    <w:semiHidden/>
    <w:rsid w:val="00B153C9"/>
    <w:rPr>
      <w:rFonts w:ascii="Courier-Bold" w:hAnsi="Courier-Bold" w:cs="Courier-Bold"/>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53C9"/>
    <w:rPr>
      <w:b/>
      <w:bCs/>
      <w:sz w:val="22"/>
      <w:szCs w:val="28"/>
    </w:rPr>
  </w:style>
  <w:style w:type="paragraph" w:customStyle="1" w:styleId="bullet1">
    <w:name w:val="bullet1"/>
    <w:basedOn w:val="Normal"/>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Normal"/>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Normal"/>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Normal"/>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Normal"/>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Normal"/>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Normal"/>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PlaceholderText">
    <w:name w:val="Placeholder Text"/>
    <w:basedOn w:val="DefaultParagraphFont"/>
    <w:uiPriority w:val="99"/>
    <w:semiHidden/>
    <w:rsid w:val="00B153C9"/>
    <w:rPr>
      <w:color w:val="808080"/>
    </w:rPr>
  </w:style>
  <w:style w:type="paragraph" w:styleId="ListBullet2">
    <w:name w:val="List Bullet 2"/>
    <w:basedOn w:val="ListBullet"/>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Normal"/>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List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List2">
    <w:name w:val="List 2"/>
    <w:basedOn w:val="Normal"/>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Normal"/>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ListNumber3">
    <w:name w:val="List Number 3"/>
    <w:basedOn w:val="Normal"/>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Heading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DefaultParagraphFont"/>
    <w:link w:val="Style1"/>
    <w:qFormat/>
    <w:rsid w:val="00285772"/>
    <w:rPr>
      <w:b/>
      <w:sz w:val="24"/>
      <w:szCs w:val="22"/>
      <w:lang w:val="en-GB"/>
    </w:rPr>
  </w:style>
  <w:style w:type="paragraph" w:customStyle="1" w:styleId="TAL">
    <w:name w:val="TAL"/>
    <w:basedOn w:val="Normal"/>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Heading3Char">
    <w:name w:val="Heading 3 Char"/>
    <w:aliases w:val="H3 Char,h3 Char"/>
    <w:basedOn w:val="DefaultParagraphFont"/>
    <w:link w:val="Heading3"/>
    <w:rsid w:val="00FC3418"/>
    <w:rPr>
      <w:b/>
      <w:sz w:val="22"/>
      <w:szCs w:val="22"/>
    </w:rPr>
  </w:style>
  <w:style w:type="character" w:customStyle="1" w:styleId="Heading5Char">
    <w:name w:val="Heading 5 Char"/>
    <w:aliases w:val="h5 Char,Heading5 Char"/>
    <w:basedOn w:val="DefaultParagraphFont"/>
    <w:link w:val="Heading5"/>
    <w:rsid w:val="00FC3418"/>
    <w:rPr>
      <w:b/>
      <w:bCs/>
      <w:i/>
      <w:iCs/>
      <w:sz w:val="22"/>
      <w:szCs w:val="26"/>
    </w:rPr>
  </w:style>
  <w:style w:type="character" w:customStyle="1" w:styleId="Heading6Char">
    <w:name w:val="Heading 6 Char"/>
    <w:aliases w:val="h6 Char"/>
    <w:basedOn w:val="DefaultParagraphFont"/>
    <w:link w:val="Heading6"/>
    <w:rsid w:val="00FC3418"/>
    <w:rPr>
      <w:b/>
      <w:bCs/>
      <w:sz w:val="22"/>
      <w:szCs w:val="22"/>
    </w:rPr>
  </w:style>
  <w:style w:type="character" w:customStyle="1" w:styleId="Heading7Char">
    <w:name w:val="Heading 7 Char"/>
    <w:basedOn w:val="DefaultParagraphFont"/>
    <w:link w:val="Heading7"/>
    <w:rsid w:val="00FC3418"/>
    <w:rPr>
      <w:sz w:val="24"/>
      <w:szCs w:val="24"/>
    </w:rPr>
  </w:style>
  <w:style w:type="character" w:customStyle="1" w:styleId="Heading8Char">
    <w:name w:val="Heading 8 Char"/>
    <w:basedOn w:val="DefaultParagraphFont"/>
    <w:link w:val="Heading8"/>
    <w:rsid w:val="00FC3418"/>
    <w:rPr>
      <w:i/>
      <w:iCs/>
      <w:sz w:val="24"/>
      <w:szCs w:val="24"/>
    </w:rPr>
  </w:style>
  <w:style w:type="character" w:customStyle="1" w:styleId="Heading9Char">
    <w:name w:val="Heading 9 Char"/>
    <w:aliases w:val="Figure Heading Char,FH Char"/>
    <w:basedOn w:val="DefaultParagraphFont"/>
    <w:link w:val="Heading9"/>
    <w:rsid w:val="00FC3418"/>
    <w:rPr>
      <w:rFonts w:ascii="Arial" w:hAnsi="Arial" w:cs="Arial"/>
      <w:sz w:val="22"/>
      <w:szCs w:val="22"/>
    </w:rPr>
  </w:style>
  <w:style w:type="character" w:customStyle="1" w:styleId="BodyText2Char">
    <w:name w:val="Body Text 2 Char"/>
    <w:basedOn w:val="DefaultParagraphFont"/>
    <w:link w:val="BodyText2"/>
    <w:rsid w:val="00FC3418"/>
    <w:rPr>
      <w:sz w:val="22"/>
    </w:rPr>
  </w:style>
  <w:style w:type="character" w:customStyle="1" w:styleId="BalloonTextChar">
    <w:name w:val="Balloon Text Char"/>
    <w:basedOn w:val="DefaultParagraphFont"/>
    <w:link w:val="BalloonText"/>
    <w:semiHidden/>
    <w:rsid w:val="00FC3418"/>
    <w:rPr>
      <w:rFonts w:ascii="Tahoma" w:hAnsi="Tahoma" w:cs="Tahoma"/>
      <w:sz w:val="16"/>
      <w:szCs w:val="16"/>
    </w:rPr>
  </w:style>
  <w:style w:type="character" w:customStyle="1" w:styleId="FootnoteTextChar">
    <w:name w:val="Footnote Text Char"/>
    <w:basedOn w:val="DefaultParagraphFont"/>
    <w:link w:val="FootnoteText"/>
    <w:semiHidden/>
    <w:rsid w:val="00FC3418"/>
  </w:style>
  <w:style w:type="paragraph" w:styleId="NormalWeb">
    <w:name w:val="Normal (Web)"/>
    <w:basedOn w:val="Normal"/>
    <w:uiPriority w:val="99"/>
    <w:unhideWhenUsed/>
    <w:rsid w:val="003C54DE"/>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Emphasis">
    <w:name w:val="Emphasis"/>
    <w:basedOn w:val="DefaultParagraphFont"/>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Heading1"/>
    <w:next w:val="Normal"/>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Normal"/>
    <w:rsid w:val="009A173B"/>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LGTdoc1">
    <w:name w:val="LGTdoc_제목1"/>
    <w:basedOn w:val="Normal"/>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E0CA9-5769-4FD6-BE2D-E1E9D824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2678</Words>
  <Characters>15265</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Weimin Xiao</cp:lastModifiedBy>
  <cp:revision>8</cp:revision>
  <cp:lastPrinted>2007-06-18T22:08:00Z</cp:lastPrinted>
  <dcterms:created xsi:type="dcterms:W3CDTF">2020-08-18T15:11:00Z</dcterms:created>
  <dcterms:modified xsi:type="dcterms:W3CDTF">2020-08-18T19:23:00Z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(3)mjrQm0152NMcoxAT4xDaCGr+FcELrPZemFggkF9a8Tgbfm+MLz492otaxJYdZ06Xc+jacVM+
9w7KBUGHwadAF5858S2q1AYpKBZZu/SVJ/42NvaH3yZef0CZYfbeO2Pw1RqcNRxoy+ErBsE7
6q13P73LBHtfaApztjavdvf/0IGAlOuB+mhEIBdT8afLgx7MkknGLo0F3mvf/pEUC8WsM0sR
0tDWKk9NCStci7jbwi</vt:lpwstr>
  </property>
  <property fmtid="{D5CDD505-2E9C-101B-9397-08002B2CF9AE}" pid="13" name="_2015_ms_pID_725343_00">
    <vt:lpwstr>_2015_ms_pID_725343</vt:lpwstr>
  </property>
  <property fmtid="{D5CDD505-2E9C-101B-9397-08002B2CF9AE}" pid="14" name="_2015_ms_pID_7253431">
    <vt:lpwstr>71tZDt8ggWe1VbFn9LCzevDQez7q2X0KmT/uNNh3RP0neFraVOsFE6
RVyYEgSd9uwRenVHDP7qUQK/fSCnouj+AwqMg1y6WLIOSwdor5EGf5pCJCb+MPHLS9TA0k/2
IJyaFDNYQn6CBFi+piGecPiTubhC+vLp7dLOen2h6RqSr2Yj3GFf7GNix6TQnCHEcCL2fyws
SSPMNSg1yXucnXFraJZI32kt7ASa4PuAORYw</vt:lpwstr>
  </property>
  <property fmtid="{D5CDD505-2E9C-101B-9397-08002B2CF9AE}" pid="15" name="_2015_ms_pID_7253431_00">
    <vt:lpwstr>_2015_ms_pID_7253431</vt:lpwstr>
  </property>
  <property fmtid="{D5CDD505-2E9C-101B-9397-08002B2CF9AE}" pid="16" name="_2015_ms_pID_7253432">
    <vt:lpwstr>CDRLCqJyzO/2qHFd4VFqitkxAnwK+u8qeBJd
fQvOzPx4aHWFe/IZi+xPZAqQE1S89w==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