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Pr>
          <w:rFonts w:asciiTheme="minorEastAsia" w:eastAsiaTheme="minorEastAsia" w:hAnsiTheme="minorEastAsia" w:cs="Arial" w:hint="eastAsia"/>
          <w:b/>
          <w:bCs/>
          <w:sz w:val="28"/>
          <w:lang w:eastAsia="zh-CN"/>
        </w:rPr>
        <w:t>xxxx</w:t>
      </w:r>
    </w:p>
    <w:p w14:paraId="2AA14068" w14:textId="3AE1DA79"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4CA472FC" w14:textId="4D4D1D36"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proofErr w:type="spellStart"/>
      <w:r w:rsidR="00B15A49" w:rsidRPr="00B15A49">
        <w:rPr>
          <w:rFonts w:cs="Arial"/>
          <w:sz w:val="22"/>
          <w:szCs w:val="22"/>
        </w:rPr>
        <w:t>ULFPTx</w:t>
      </w:r>
      <w:proofErr w:type="spellEnd"/>
    </w:p>
    <w:p w14:paraId="5BDBFE3E" w14:textId="39240EFD"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A473F">
        <w:rPr>
          <w:rFonts w:eastAsia="宋体" w:cs="Arial"/>
          <w:sz w:val="22"/>
          <w:szCs w:val="22"/>
          <w:lang w:eastAsia="zh-CN"/>
        </w:rPr>
        <w:t>7.2.6</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1CB7CCD" w:rsidR="0090482B" w:rsidRPr="008F67E6" w:rsidRDefault="008F67E6" w:rsidP="002478D2">
      <w:pPr>
        <w:rPr>
          <w:rFonts w:eastAsiaTheme="minorEastAsia"/>
          <w:lang w:eastAsia="zh-CN"/>
        </w:rPr>
      </w:pPr>
      <w:bookmarkStart w:id="0" w:name="OLE_LINK13"/>
      <w:bookmarkStart w:id="1" w:name="OLE_LINK14"/>
      <w:r>
        <w:rPr>
          <w:rFonts w:eastAsiaTheme="minorEastAsia"/>
          <w:lang w:eastAsia="zh-CN"/>
        </w:rPr>
        <w:t>I</w:t>
      </w:r>
      <w:r>
        <w:rPr>
          <w:rFonts w:eastAsiaTheme="minorEastAsia" w:hint="eastAsia"/>
          <w:lang w:eastAsia="zh-CN"/>
        </w:rPr>
        <w:t xml:space="preserve">n </w:t>
      </w:r>
      <w:r>
        <w:rPr>
          <w:rFonts w:eastAsiaTheme="minorEastAsia"/>
          <w:lang w:eastAsia="zh-CN"/>
        </w:rPr>
        <w:t xml:space="preserve">this contribution, </w:t>
      </w:r>
      <w:r>
        <w:t>following issue is discussed according to agreement of preparatory email discussion</w:t>
      </w:r>
    </w:p>
    <w:p w14:paraId="256D2C03" w14:textId="77777777" w:rsidR="008F67E6" w:rsidRDefault="008F67E6" w:rsidP="002478D2">
      <w:pPr>
        <w:rPr>
          <w:rFonts w:eastAsiaTheme="minorEastAsia"/>
          <w:lang w:eastAsia="zh-CN"/>
        </w:rPr>
      </w:pPr>
    </w:p>
    <w:p w14:paraId="17C79D73" w14:textId="77777777" w:rsidR="005B46C7" w:rsidRDefault="005B46C7" w:rsidP="005B46C7">
      <w:pPr>
        <w:pStyle w:val="af"/>
        <w:widowControl/>
        <w:numPr>
          <w:ilvl w:val="0"/>
          <w:numId w:val="27"/>
        </w:numPr>
        <w:wordWrap w:val="0"/>
        <w:spacing w:after="0"/>
        <w:ind w:firstLineChars="0"/>
        <w:jc w:val="left"/>
        <w:rPr>
          <w:rFonts w:ascii="Arial" w:hAnsi="Arial" w:cs="Arial"/>
          <w:color w:val="1F497D"/>
          <w:sz w:val="20"/>
          <w:szCs w:val="20"/>
          <w:highlight w:val="cyan"/>
          <w:lang w:eastAsia="ko-KR"/>
        </w:rPr>
      </w:pPr>
      <w:r>
        <w:rPr>
          <w:rFonts w:ascii="Arial" w:hAnsi="Arial" w:cs="Arial"/>
          <w:color w:val="1F497D"/>
          <w:sz w:val="20"/>
          <w:szCs w:val="20"/>
          <w:highlight w:val="cyan"/>
          <w:lang w:eastAsia="ko-KR"/>
        </w:rPr>
        <w:t>[102-e-NR-eMIMO-07] TPMI grouping for mode 2 – Rakesh (vivo)</w:t>
      </w:r>
    </w:p>
    <w:p w14:paraId="0E7CC1FE" w14:textId="77777777" w:rsidR="005B46C7" w:rsidRPr="005B46C7" w:rsidRDefault="005B46C7" w:rsidP="002478D2">
      <w:pPr>
        <w:rPr>
          <w:rFonts w:eastAsiaTheme="minorEastAsia"/>
          <w:lang w:eastAsia="zh-CN"/>
        </w:rPr>
      </w:pPr>
    </w:p>
    <w:p w14:paraId="35DAB243" w14:textId="7F0EFE36" w:rsidR="00FA34AB" w:rsidRDefault="00A412BD" w:rsidP="00F130AE">
      <w:pPr>
        <w:pStyle w:val="title1"/>
      </w:pPr>
      <w:r>
        <w:t>Remaining issues</w:t>
      </w:r>
      <w:r w:rsidR="00F53427">
        <w:t xml:space="preserve"> </w:t>
      </w:r>
    </w:p>
    <w:p w14:paraId="4130D7A8" w14:textId="696CD347" w:rsidR="00D54472" w:rsidRPr="00E9564F" w:rsidRDefault="00651F60" w:rsidP="00A77489">
      <w:pPr>
        <w:pStyle w:val="title2"/>
        <w:rPr>
          <w:sz w:val="24"/>
        </w:rPr>
      </w:pPr>
      <w:r w:rsidRPr="00E9564F">
        <w:rPr>
          <w:sz w:val="24"/>
        </w:rPr>
        <w:t xml:space="preserve">Issue 1: </w:t>
      </w:r>
      <w:r w:rsidR="00FA5469">
        <w:rPr>
          <w:sz w:val="24"/>
        </w:rPr>
        <w:t>TPMI grouping for</w:t>
      </w:r>
      <w:r w:rsidR="0030252C">
        <w:rPr>
          <w:sz w:val="24"/>
        </w:rPr>
        <w:t xml:space="preserve"> </w:t>
      </w:r>
      <w:r w:rsidR="00A364A8" w:rsidRPr="00E9564F">
        <w:rPr>
          <w:sz w:val="24"/>
        </w:rPr>
        <w:t xml:space="preserve">Mode 2 </w:t>
      </w:r>
    </w:p>
    <w:p w14:paraId="5B6D06C6" w14:textId="355023CC" w:rsidR="00E10294" w:rsidRPr="00E10294" w:rsidRDefault="00E10294" w:rsidP="00E10294">
      <w:pPr>
        <w:snapToGrid w:val="0"/>
        <w:rPr>
          <w:sz w:val="21"/>
          <w:szCs w:val="18"/>
        </w:rPr>
      </w:pPr>
      <w:r w:rsidRPr="00E10294">
        <w:rPr>
          <w:sz w:val="21"/>
          <w:szCs w:val="18"/>
        </w:rPr>
        <w:t>Alt1. Add new TPMI group(s)</w:t>
      </w:r>
    </w:p>
    <w:p w14:paraId="00A9B5B9" w14:textId="77777777" w:rsidR="00E10294" w:rsidRPr="00E10294" w:rsidRDefault="00E10294" w:rsidP="00E10294">
      <w:pPr>
        <w:snapToGrid w:val="0"/>
        <w:rPr>
          <w:sz w:val="21"/>
          <w:szCs w:val="18"/>
        </w:rPr>
      </w:pPr>
      <w:r w:rsidRPr="00E10294">
        <w:rPr>
          <w:sz w:val="21"/>
          <w:szCs w:val="18"/>
        </w:rPr>
        <w:t>Alt2. No change in TPMI group, and UE can report &gt;1 TPMI groups</w:t>
      </w:r>
    </w:p>
    <w:p w14:paraId="09AD1AE1" w14:textId="77777777" w:rsidR="00E10294" w:rsidRPr="00E10294" w:rsidRDefault="00E10294" w:rsidP="00E10294">
      <w:pPr>
        <w:snapToGrid w:val="0"/>
        <w:rPr>
          <w:sz w:val="21"/>
          <w:szCs w:val="18"/>
        </w:rPr>
      </w:pPr>
      <w:r w:rsidRPr="00E10294">
        <w:rPr>
          <w:sz w:val="21"/>
          <w:szCs w:val="18"/>
        </w:rPr>
        <w:t>Alt3. Revise at least one TPMI group</w:t>
      </w:r>
    </w:p>
    <w:p w14:paraId="367FA92D" w14:textId="77777777" w:rsidR="008F67E6" w:rsidRDefault="008F67E6" w:rsidP="00327CE6">
      <w:pPr>
        <w:spacing w:line="360" w:lineRule="auto"/>
        <w:rPr>
          <w:rFonts w:cs="Times"/>
          <w:lang w:val="x-none"/>
        </w:rPr>
      </w:pPr>
      <w:bookmarkStart w:id="2" w:name="_GoBack"/>
      <w:bookmarkEnd w:id="0"/>
      <w:bookmarkEnd w:id="1"/>
      <w:bookmarkEnd w:id="2"/>
    </w:p>
    <w:tbl>
      <w:tblPr>
        <w:tblStyle w:val="a7"/>
        <w:tblW w:w="0" w:type="auto"/>
        <w:tblLook w:val="04A0" w:firstRow="1" w:lastRow="0" w:firstColumn="1" w:lastColumn="0" w:noHBand="0" w:noVBand="1"/>
      </w:tblPr>
      <w:tblGrid>
        <w:gridCol w:w="2263"/>
        <w:gridCol w:w="6797"/>
      </w:tblGrid>
      <w:tr w:rsidR="008F67E6" w14:paraId="5C29B56C" w14:textId="77777777" w:rsidTr="008F67E6">
        <w:tc>
          <w:tcPr>
            <w:tcW w:w="2263" w:type="dxa"/>
          </w:tcPr>
          <w:p w14:paraId="64023A46" w14:textId="3F61E1B1" w:rsidR="008F67E6" w:rsidRPr="008F67E6" w:rsidRDefault="008F67E6" w:rsidP="00327CE6">
            <w:pPr>
              <w:spacing w:line="360" w:lineRule="auto"/>
              <w:rPr>
                <w:rFonts w:eastAsiaTheme="minorEastAsia" w:cs="Times"/>
                <w:lang w:val="x-none" w:eastAsia="zh-CN"/>
              </w:rPr>
            </w:pPr>
            <w:r>
              <w:rPr>
                <w:rFonts w:eastAsiaTheme="minorEastAsia" w:cs="Times"/>
                <w:lang w:val="x-none" w:eastAsia="zh-CN"/>
              </w:rPr>
              <w:t>C</w:t>
            </w:r>
            <w:r>
              <w:rPr>
                <w:rFonts w:eastAsiaTheme="minorEastAsia" w:cs="Times" w:hint="eastAsia"/>
                <w:lang w:val="x-none" w:eastAsia="zh-CN"/>
              </w:rPr>
              <w:t xml:space="preserve">ompany </w:t>
            </w:r>
          </w:p>
        </w:tc>
        <w:tc>
          <w:tcPr>
            <w:tcW w:w="6797" w:type="dxa"/>
          </w:tcPr>
          <w:p w14:paraId="4482775B" w14:textId="15467684" w:rsidR="008F67E6" w:rsidRPr="008F67E6" w:rsidRDefault="008F67E6" w:rsidP="00327CE6">
            <w:pPr>
              <w:spacing w:line="360" w:lineRule="auto"/>
              <w:rPr>
                <w:rFonts w:eastAsiaTheme="minorEastAsia" w:cs="Times"/>
                <w:lang w:val="x-none" w:eastAsia="zh-CN"/>
              </w:rPr>
            </w:pPr>
            <w:r>
              <w:rPr>
                <w:rFonts w:eastAsiaTheme="minorEastAsia" w:cs="Times"/>
                <w:lang w:val="x-none" w:eastAsia="zh-CN"/>
              </w:rPr>
              <w:t>C</w:t>
            </w:r>
            <w:r>
              <w:rPr>
                <w:rFonts w:eastAsiaTheme="minorEastAsia" w:cs="Times" w:hint="eastAsia"/>
                <w:lang w:val="x-none" w:eastAsia="zh-CN"/>
              </w:rPr>
              <w:t xml:space="preserve">omments </w:t>
            </w:r>
          </w:p>
        </w:tc>
      </w:tr>
      <w:tr w:rsidR="008F67E6" w14:paraId="28652C67" w14:textId="77777777" w:rsidTr="008F67E6">
        <w:tc>
          <w:tcPr>
            <w:tcW w:w="2263" w:type="dxa"/>
          </w:tcPr>
          <w:p w14:paraId="4721E87F" w14:textId="77777777" w:rsidR="008F67E6" w:rsidRDefault="008F67E6" w:rsidP="00327CE6">
            <w:pPr>
              <w:spacing w:line="360" w:lineRule="auto"/>
              <w:rPr>
                <w:rFonts w:cs="Times"/>
                <w:lang w:val="x-none"/>
              </w:rPr>
            </w:pPr>
          </w:p>
        </w:tc>
        <w:tc>
          <w:tcPr>
            <w:tcW w:w="6797" w:type="dxa"/>
          </w:tcPr>
          <w:p w14:paraId="7AE11811" w14:textId="77777777" w:rsidR="008F67E6" w:rsidRDefault="008F67E6" w:rsidP="00327CE6">
            <w:pPr>
              <w:spacing w:line="360" w:lineRule="auto"/>
              <w:rPr>
                <w:rFonts w:cs="Times"/>
                <w:lang w:val="x-none"/>
              </w:rPr>
            </w:pPr>
          </w:p>
        </w:tc>
      </w:tr>
      <w:tr w:rsidR="008F67E6" w14:paraId="7468827F" w14:textId="77777777" w:rsidTr="008F67E6">
        <w:tc>
          <w:tcPr>
            <w:tcW w:w="2263" w:type="dxa"/>
          </w:tcPr>
          <w:p w14:paraId="4C65385E" w14:textId="77777777" w:rsidR="008F67E6" w:rsidRDefault="008F67E6" w:rsidP="00327CE6">
            <w:pPr>
              <w:spacing w:line="360" w:lineRule="auto"/>
              <w:rPr>
                <w:rFonts w:cs="Times"/>
                <w:lang w:val="x-none"/>
              </w:rPr>
            </w:pPr>
          </w:p>
        </w:tc>
        <w:tc>
          <w:tcPr>
            <w:tcW w:w="6797" w:type="dxa"/>
          </w:tcPr>
          <w:p w14:paraId="62305CE4" w14:textId="77777777" w:rsidR="008F67E6" w:rsidRDefault="008F67E6" w:rsidP="00327CE6">
            <w:pPr>
              <w:spacing w:line="360" w:lineRule="auto"/>
              <w:rPr>
                <w:rFonts w:cs="Times"/>
                <w:lang w:val="x-none"/>
              </w:rPr>
            </w:pPr>
          </w:p>
        </w:tc>
      </w:tr>
      <w:tr w:rsidR="008F67E6" w14:paraId="26209733" w14:textId="77777777" w:rsidTr="008F67E6">
        <w:tc>
          <w:tcPr>
            <w:tcW w:w="2263" w:type="dxa"/>
          </w:tcPr>
          <w:p w14:paraId="68634303" w14:textId="77777777" w:rsidR="008F67E6" w:rsidRDefault="008F67E6" w:rsidP="00327CE6">
            <w:pPr>
              <w:spacing w:line="360" w:lineRule="auto"/>
              <w:rPr>
                <w:rFonts w:cs="Times"/>
                <w:lang w:val="x-none"/>
              </w:rPr>
            </w:pPr>
          </w:p>
        </w:tc>
        <w:tc>
          <w:tcPr>
            <w:tcW w:w="6797" w:type="dxa"/>
          </w:tcPr>
          <w:p w14:paraId="430EB41D" w14:textId="77777777" w:rsidR="008F67E6" w:rsidRDefault="008F67E6" w:rsidP="00327CE6">
            <w:pPr>
              <w:spacing w:line="360" w:lineRule="auto"/>
              <w:rPr>
                <w:rFonts w:cs="Times"/>
                <w:lang w:val="x-none"/>
              </w:rPr>
            </w:pPr>
          </w:p>
        </w:tc>
      </w:tr>
      <w:tr w:rsidR="008F67E6" w14:paraId="1FB29DB5" w14:textId="77777777" w:rsidTr="008F67E6">
        <w:tc>
          <w:tcPr>
            <w:tcW w:w="2263" w:type="dxa"/>
          </w:tcPr>
          <w:p w14:paraId="4B555120" w14:textId="77777777" w:rsidR="008F67E6" w:rsidRDefault="008F67E6" w:rsidP="00327CE6">
            <w:pPr>
              <w:spacing w:line="360" w:lineRule="auto"/>
              <w:rPr>
                <w:rFonts w:cs="Times"/>
                <w:lang w:val="x-none"/>
              </w:rPr>
            </w:pPr>
          </w:p>
        </w:tc>
        <w:tc>
          <w:tcPr>
            <w:tcW w:w="6797" w:type="dxa"/>
          </w:tcPr>
          <w:p w14:paraId="23160B0C" w14:textId="77777777" w:rsidR="008F67E6" w:rsidRDefault="008F67E6" w:rsidP="00327CE6">
            <w:pPr>
              <w:spacing w:line="360" w:lineRule="auto"/>
              <w:rPr>
                <w:rFonts w:cs="Times"/>
                <w:lang w:val="x-none"/>
              </w:rPr>
            </w:pPr>
          </w:p>
        </w:tc>
      </w:tr>
      <w:tr w:rsidR="008F67E6" w14:paraId="48F3F952" w14:textId="77777777" w:rsidTr="008F67E6">
        <w:tc>
          <w:tcPr>
            <w:tcW w:w="2263" w:type="dxa"/>
          </w:tcPr>
          <w:p w14:paraId="2258F422" w14:textId="77777777" w:rsidR="008F67E6" w:rsidRDefault="008F67E6" w:rsidP="00327CE6">
            <w:pPr>
              <w:spacing w:line="360" w:lineRule="auto"/>
              <w:rPr>
                <w:rFonts w:cs="Times"/>
                <w:lang w:val="x-none"/>
              </w:rPr>
            </w:pPr>
          </w:p>
        </w:tc>
        <w:tc>
          <w:tcPr>
            <w:tcW w:w="6797" w:type="dxa"/>
          </w:tcPr>
          <w:p w14:paraId="499A8BDA" w14:textId="77777777" w:rsidR="008F67E6" w:rsidRDefault="008F67E6" w:rsidP="00327CE6">
            <w:pPr>
              <w:spacing w:line="360" w:lineRule="auto"/>
              <w:rPr>
                <w:rFonts w:cs="Times"/>
                <w:lang w:val="x-none"/>
              </w:rPr>
            </w:pPr>
          </w:p>
        </w:tc>
      </w:tr>
    </w:tbl>
    <w:p w14:paraId="5A8A01FB" w14:textId="77777777" w:rsidR="008F67E6" w:rsidRDefault="008F67E6" w:rsidP="00327CE6">
      <w:pPr>
        <w:spacing w:line="360" w:lineRule="auto"/>
        <w:rPr>
          <w:rFonts w:cs="Times"/>
          <w:lang w:val="x-none"/>
        </w:rPr>
      </w:pPr>
    </w:p>
    <w:p w14:paraId="2168FD4B" w14:textId="77777777" w:rsidR="00DA37DB" w:rsidRDefault="00DA37DB" w:rsidP="00327CE6">
      <w:pPr>
        <w:spacing w:line="360" w:lineRule="auto"/>
        <w:rPr>
          <w:rFonts w:cs="Times"/>
          <w:lang w:val="x-none"/>
        </w:rPr>
      </w:pPr>
    </w:p>
    <w:p w14:paraId="1FAF414D" w14:textId="77777777" w:rsidR="00DA37DB" w:rsidRPr="00E10294" w:rsidRDefault="00DA37DB" w:rsidP="00DA37DB">
      <w:pPr>
        <w:pStyle w:val="af"/>
        <w:widowControl/>
        <w:numPr>
          <w:ilvl w:val="0"/>
          <w:numId w:val="26"/>
        </w:numPr>
        <w:snapToGrid w:val="0"/>
        <w:spacing w:after="160" w:line="259" w:lineRule="auto"/>
        <w:ind w:firstLineChars="0"/>
        <w:contextualSpacing/>
        <w:rPr>
          <w:szCs w:val="18"/>
        </w:rPr>
      </w:pPr>
      <w:r w:rsidRPr="00E10294">
        <w:rPr>
          <w:rFonts w:ascii="Times New Roman" w:hAnsi="Times New Roman"/>
          <w:szCs w:val="18"/>
        </w:rPr>
        <w:t xml:space="preserve">Answer to RAN2 LS: TPMIs for 4-port non-coherence can be deduced from the reported set of TPMIs for 4-port partial-coherence. 4-port full coherent UE follow the same way as 4-port partial coherent UE to report full power TPMIs. </w:t>
      </w:r>
    </w:p>
    <w:p w14:paraId="4B3D6531" w14:textId="77777777" w:rsidR="008F67E6" w:rsidRDefault="008F67E6" w:rsidP="00327CE6">
      <w:pPr>
        <w:spacing w:line="360" w:lineRule="auto"/>
        <w:rPr>
          <w:rFonts w:cs="Times"/>
          <w:lang w:val="x-none"/>
        </w:rPr>
      </w:pPr>
    </w:p>
    <w:tbl>
      <w:tblPr>
        <w:tblStyle w:val="a7"/>
        <w:tblW w:w="0" w:type="auto"/>
        <w:tblLook w:val="04A0" w:firstRow="1" w:lastRow="0" w:firstColumn="1" w:lastColumn="0" w:noHBand="0" w:noVBand="1"/>
      </w:tblPr>
      <w:tblGrid>
        <w:gridCol w:w="2263"/>
        <w:gridCol w:w="6797"/>
      </w:tblGrid>
      <w:tr w:rsidR="00DA37DB" w14:paraId="4BBD745C" w14:textId="77777777" w:rsidTr="002D12DC">
        <w:tc>
          <w:tcPr>
            <w:tcW w:w="2263" w:type="dxa"/>
          </w:tcPr>
          <w:p w14:paraId="213E0231" w14:textId="77777777" w:rsidR="00DA37DB" w:rsidRPr="008F67E6" w:rsidRDefault="00DA37DB" w:rsidP="002D12DC">
            <w:pPr>
              <w:spacing w:line="360" w:lineRule="auto"/>
              <w:rPr>
                <w:rFonts w:eastAsiaTheme="minorEastAsia" w:cs="Times"/>
                <w:lang w:val="x-none" w:eastAsia="zh-CN"/>
              </w:rPr>
            </w:pPr>
            <w:r>
              <w:rPr>
                <w:rFonts w:eastAsiaTheme="minorEastAsia" w:cs="Times"/>
                <w:lang w:val="x-none" w:eastAsia="zh-CN"/>
              </w:rPr>
              <w:t>C</w:t>
            </w:r>
            <w:r>
              <w:rPr>
                <w:rFonts w:eastAsiaTheme="minorEastAsia" w:cs="Times" w:hint="eastAsia"/>
                <w:lang w:val="x-none" w:eastAsia="zh-CN"/>
              </w:rPr>
              <w:t xml:space="preserve">ompany </w:t>
            </w:r>
          </w:p>
        </w:tc>
        <w:tc>
          <w:tcPr>
            <w:tcW w:w="6797" w:type="dxa"/>
          </w:tcPr>
          <w:p w14:paraId="62E6CFC4" w14:textId="77777777" w:rsidR="00DA37DB" w:rsidRPr="008F67E6" w:rsidRDefault="00DA37DB" w:rsidP="002D12DC">
            <w:pPr>
              <w:spacing w:line="360" w:lineRule="auto"/>
              <w:rPr>
                <w:rFonts w:eastAsiaTheme="minorEastAsia" w:cs="Times"/>
                <w:lang w:val="x-none" w:eastAsia="zh-CN"/>
              </w:rPr>
            </w:pPr>
            <w:r>
              <w:rPr>
                <w:rFonts w:eastAsiaTheme="minorEastAsia" w:cs="Times"/>
                <w:lang w:val="x-none" w:eastAsia="zh-CN"/>
              </w:rPr>
              <w:t>C</w:t>
            </w:r>
            <w:r>
              <w:rPr>
                <w:rFonts w:eastAsiaTheme="minorEastAsia" w:cs="Times" w:hint="eastAsia"/>
                <w:lang w:val="x-none" w:eastAsia="zh-CN"/>
              </w:rPr>
              <w:t xml:space="preserve">omments </w:t>
            </w:r>
          </w:p>
        </w:tc>
      </w:tr>
      <w:tr w:rsidR="00DA37DB" w14:paraId="4C70B652" w14:textId="77777777" w:rsidTr="002D12DC">
        <w:tc>
          <w:tcPr>
            <w:tcW w:w="2263" w:type="dxa"/>
          </w:tcPr>
          <w:p w14:paraId="3E25C550" w14:textId="77777777" w:rsidR="00DA37DB" w:rsidRDefault="00DA37DB" w:rsidP="002D12DC">
            <w:pPr>
              <w:spacing w:line="360" w:lineRule="auto"/>
              <w:rPr>
                <w:rFonts w:cs="Times"/>
                <w:lang w:val="x-none"/>
              </w:rPr>
            </w:pPr>
          </w:p>
        </w:tc>
        <w:tc>
          <w:tcPr>
            <w:tcW w:w="6797" w:type="dxa"/>
          </w:tcPr>
          <w:p w14:paraId="4A0F6A60" w14:textId="77777777" w:rsidR="00DA37DB" w:rsidRDefault="00DA37DB" w:rsidP="002D12DC">
            <w:pPr>
              <w:spacing w:line="360" w:lineRule="auto"/>
              <w:rPr>
                <w:rFonts w:cs="Times"/>
                <w:lang w:val="x-none"/>
              </w:rPr>
            </w:pPr>
          </w:p>
        </w:tc>
      </w:tr>
      <w:tr w:rsidR="00DA37DB" w14:paraId="3CD1D677" w14:textId="77777777" w:rsidTr="002D12DC">
        <w:tc>
          <w:tcPr>
            <w:tcW w:w="2263" w:type="dxa"/>
          </w:tcPr>
          <w:p w14:paraId="1B0F52A4" w14:textId="77777777" w:rsidR="00DA37DB" w:rsidRDefault="00DA37DB" w:rsidP="002D12DC">
            <w:pPr>
              <w:spacing w:line="360" w:lineRule="auto"/>
              <w:rPr>
                <w:rFonts w:cs="Times"/>
                <w:lang w:val="x-none"/>
              </w:rPr>
            </w:pPr>
          </w:p>
        </w:tc>
        <w:tc>
          <w:tcPr>
            <w:tcW w:w="6797" w:type="dxa"/>
          </w:tcPr>
          <w:p w14:paraId="35E211CE" w14:textId="77777777" w:rsidR="00DA37DB" w:rsidRDefault="00DA37DB" w:rsidP="002D12DC">
            <w:pPr>
              <w:spacing w:line="360" w:lineRule="auto"/>
              <w:rPr>
                <w:rFonts w:cs="Times"/>
                <w:lang w:val="x-none"/>
              </w:rPr>
            </w:pPr>
          </w:p>
        </w:tc>
      </w:tr>
      <w:tr w:rsidR="00DA37DB" w14:paraId="4DC946D1" w14:textId="77777777" w:rsidTr="002D12DC">
        <w:tc>
          <w:tcPr>
            <w:tcW w:w="2263" w:type="dxa"/>
          </w:tcPr>
          <w:p w14:paraId="591D69C5" w14:textId="77777777" w:rsidR="00DA37DB" w:rsidRDefault="00DA37DB" w:rsidP="002D12DC">
            <w:pPr>
              <w:spacing w:line="360" w:lineRule="auto"/>
              <w:rPr>
                <w:rFonts w:cs="Times"/>
                <w:lang w:val="x-none"/>
              </w:rPr>
            </w:pPr>
          </w:p>
        </w:tc>
        <w:tc>
          <w:tcPr>
            <w:tcW w:w="6797" w:type="dxa"/>
          </w:tcPr>
          <w:p w14:paraId="586FA2E6" w14:textId="77777777" w:rsidR="00DA37DB" w:rsidRDefault="00DA37DB" w:rsidP="002D12DC">
            <w:pPr>
              <w:spacing w:line="360" w:lineRule="auto"/>
              <w:rPr>
                <w:rFonts w:cs="Times"/>
                <w:lang w:val="x-none"/>
              </w:rPr>
            </w:pPr>
          </w:p>
        </w:tc>
      </w:tr>
      <w:tr w:rsidR="00DA37DB" w14:paraId="3C5BA6C9" w14:textId="77777777" w:rsidTr="002D12DC">
        <w:tc>
          <w:tcPr>
            <w:tcW w:w="2263" w:type="dxa"/>
          </w:tcPr>
          <w:p w14:paraId="3DAEA408" w14:textId="77777777" w:rsidR="00DA37DB" w:rsidRDefault="00DA37DB" w:rsidP="002D12DC">
            <w:pPr>
              <w:spacing w:line="360" w:lineRule="auto"/>
              <w:rPr>
                <w:rFonts w:cs="Times"/>
                <w:lang w:val="x-none"/>
              </w:rPr>
            </w:pPr>
          </w:p>
        </w:tc>
        <w:tc>
          <w:tcPr>
            <w:tcW w:w="6797" w:type="dxa"/>
          </w:tcPr>
          <w:p w14:paraId="6FD79428" w14:textId="77777777" w:rsidR="00DA37DB" w:rsidRDefault="00DA37DB" w:rsidP="002D12DC">
            <w:pPr>
              <w:spacing w:line="360" w:lineRule="auto"/>
              <w:rPr>
                <w:rFonts w:cs="Times"/>
                <w:lang w:val="x-none"/>
              </w:rPr>
            </w:pPr>
          </w:p>
        </w:tc>
      </w:tr>
      <w:tr w:rsidR="00DA37DB" w14:paraId="136AE16D" w14:textId="77777777" w:rsidTr="002D12DC">
        <w:tc>
          <w:tcPr>
            <w:tcW w:w="2263" w:type="dxa"/>
          </w:tcPr>
          <w:p w14:paraId="231A485C" w14:textId="77777777" w:rsidR="00DA37DB" w:rsidRDefault="00DA37DB" w:rsidP="002D12DC">
            <w:pPr>
              <w:spacing w:line="360" w:lineRule="auto"/>
              <w:rPr>
                <w:rFonts w:cs="Times"/>
                <w:lang w:val="x-none"/>
              </w:rPr>
            </w:pPr>
          </w:p>
        </w:tc>
        <w:tc>
          <w:tcPr>
            <w:tcW w:w="6797" w:type="dxa"/>
          </w:tcPr>
          <w:p w14:paraId="4256B502" w14:textId="77777777" w:rsidR="00DA37DB" w:rsidRDefault="00DA37DB" w:rsidP="002D12DC">
            <w:pPr>
              <w:spacing w:line="360" w:lineRule="auto"/>
              <w:rPr>
                <w:rFonts w:cs="Times"/>
                <w:lang w:val="x-none"/>
              </w:rPr>
            </w:pPr>
          </w:p>
        </w:tc>
      </w:tr>
    </w:tbl>
    <w:p w14:paraId="163F0E5D" w14:textId="77777777" w:rsidR="00DA37DB" w:rsidRDefault="00DA37DB" w:rsidP="00327CE6">
      <w:pPr>
        <w:spacing w:line="360" w:lineRule="auto"/>
        <w:rPr>
          <w:rFonts w:cs="Times"/>
          <w:lang w:val="x-none"/>
        </w:rPr>
      </w:pPr>
    </w:p>
    <w:p w14:paraId="0C16B90A" w14:textId="77777777" w:rsidR="00DA37DB" w:rsidRDefault="00DA37DB" w:rsidP="00327CE6">
      <w:pPr>
        <w:spacing w:line="360" w:lineRule="auto"/>
        <w:rPr>
          <w:rFonts w:cs="Times"/>
          <w:lang w:val="x-none"/>
        </w:rPr>
      </w:pPr>
    </w:p>
    <w:p w14:paraId="0D5FEE55" w14:textId="01C9A870" w:rsidR="008F67E6" w:rsidRDefault="008F67E6" w:rsidP="008F67E6">
      <w:pPr>
        <w:pStyle w:val="title1"/>
      </w:pPr>
      <w:r w:rsidRPr="008F67E6">
        <w:t>R</w:t>
      </w:r>
      <w:r w:rsidRPr="008F67E6">
        <w:rPr>
          <w:rFonts w:hint="eastAsia"/>
        </w:rPr>
        <w:t xml:space="preserve">eference </w:t>
      </w:r>
    </w:p>
    <w:p w14:paraId="522E995C" w14:textId="6102AD81" w:rsidR="008F67E6" w:rsidRPr="008F67E6" w:rsidRDefault="008F67E6" w:rsidP="008F67E6">
      <w:pPr>
        <w:rPr>
          <w:rFonts w:eastAsiaTheme="minorEastAsia"/>
          <w:lang w:eastAsia="zh-CN"/>
        </w:rPr>
      </w:pPr>
      <w:r w:rsidRPr="008F67E6">
        <w:rPr>
          <w:rFonts w:eastAsiaTheme="minorEastAsia"/>
          <w:lang w:eastAsia="zh-CN"/>
        </w:rPr>
        <w:t>[1]</w:t>
      </w:r>
      <w:r>
        <w:rPr>
          <w:rFonts w:eastAsiaTheme="minorEastAsia"/>
          <w:lang w:eastAsia="zh-CN"/>
        </w:rPr>
        <w:t xml:space="preserve"> R1-200</w:t>
      </w:r>
      <w:r w:rsidR="00B0518B">
        <w:rPr>
          <w:rFonts w:eastAsiaTheme="minorEastAsia"/>
          <w:lang w:eastAsia="zh-CN"/>
        </w:rPr>
        <w:t>6979</w:t>
      </w:r>
      <w:r>
        <w:rPr>
          <w:rFonts w:eastAsiaTheme="minorEastAsia"/>
          <w:lang w:eastAsia="zh-CN"/>
        </w:rPr>
        <w:t>. “</w:t>
      </w:r>
      <w:r w:rsidR="00B0518B" w:rsidRPr="00B0518B">
        <w:rPr>
          <w:rFonts w:eastAsiaTheme="minorEastAsia"/>
          <w:lang w:eastAsia="zh-CN"/>
        </w:rPr>
        <w:t xml:space="preserve">Summary#2 for Rel.16 NR </w:t>
      </w:r>
      <w:proofErr w:type="spellStart"/>
      <w:r w:rsidR="00B0518B" w:rsidRPr="00B0518B">
        <w:rPr>
          <w:rFonts w:eastAsiaTheme="minorEastAsia"/>
          <w:lang w:eastAsia="zh-CN"/>
        </w:rPr>
        <w:t>eMIMO</w:t>
      </w:r>
      <w:proofErr w:type="spellEnd"/>
      <w:r w:rsidR="00B0518B" w:rsidRPr="00B0518B">
        <w:rPr>
          <w:rFonts w:eastAsiaTheme="minorEastAsia"/>
          <w:lang w:eastAsia="zh-CN"/>
        </w:rPr>
        <w:t xml:space="preserve"> maintenance</w:t>
      </w:r>
      <w:r>
        <w:rPr>
          <w:rFonts w:eastAsiaTheme="minorEastAsia"/>
          <w:lang w:eastAsia="zh-CN"/>
        </w:rPr>
        <w:t xml:space="preserve">”, </w:t>
      </w:r>
      <w:r w:rsidR="00B0518B">
        <w:rPr>
          <w:rFonts w:eastAsiaTheme="minorEastAsia"/>
          <w:lang w:eastAsia="zh-CN"/>
        </w:rPr>
        <w:t>moderator (</w:t>
      </w:r>
      <w:r>
        <w:rPr>
          <w:rFonts w:eastAsiaTheme="minorEastAsia"/>
          <w:lang w:eastAsia="zh-CN"/>
        </w:rPr>
        <w:t>Samsung</w:t>
      </w:r>
      <w:r w:rsidR="00B0518B">
        <w:rPr>
          <w:rFonts w:eastAsiaTheme="minorEastAsia"/>
          <w:lang w:eastAsia="zh-CN"/>
        </w:rPr>
        <w:t>)</w:t>
      </w:r>
      <w:r>
        <w:rPr>
          <w:rFonts w:eastAsiaTheme="minorEastAsia"/>
          <w:lang w:eastAsia="zh-CN"/>
        </w:rPr>
        <w:t>, RAN1#102-e, 17</w:t>
      </w:r>
      <w:r w:rsidRPr="00B0518B">
        <w:rPr>
          <w:rFonts w:eastAsiaTheme="minorEastAsia"/>
          <w:lang w:eastAsia="zh-CN"/>
        </w:rPr>
        <w:t>th</w:t>
      </w:r>
      <w:r>
        <w:rPr>
          <w:rFonts w:eastAsiaTheme="minorEastAsia"/>
          <w:lang w:eastAsia="zh-CN"/>
        </w:rPr>
        <w:t xml:space="preserve"> -28</w:t>
      </w:r>
      <w:r w:rsidRPr="00B0518B">
        <w:rPr>
          <w:rFonts w:eastAsiaTheme="minorEastAsia"/>
          <w:lang w:eastAsia="zh-CN"/>
        </w:rPr>
        <w:t>th</w:t>
      </w:r>
      <w:r>
        <w:rPr>
          <w:rFonts w:eastAsiaTheme="minorEastAsia"/>
          <w:lang w:eastAsia="zh-CN"/>
        </w:rPr>
        <w:t xml:space="preserve"> August, 2020</w:t>
      </w:r>
    </w:p>
    <w:sectPr w:rsidR="008F67E6" w:rsidRPr="008F67E6"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E724B" w14:textId="77777777" w:rsidR="002E5B18" w:rsidRDefault="002E5B18">
      <w:r>
        <w:separator/>
      </w:r>
    </w:p>
  </w:endnote>
  <w:endnote w:type="continuationSeparator" w:id="0">
    <w:p w14:paraId="27CED022" w14:textId="77777777" w:rsidR="002E5B18" w:rsidRDefault="002E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5879B" w14:textId="77777777" w:rsidR="002E5B18" w:rsidRDefault="002E5B18">
      <w:r>
        <w:separator/>
      </w:r>
    </w:p>
  </w:footnote>
  <w:footnote w:type="continuationSeparator" w:id="0">
    <w:p w14:paraId="0F62FF7F" w14:textId="77777777" w:rsidR="002E5B18" w:rsidRDefault="002E5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07094F" w:rsidRDefault="0007094F"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640703"/>
    <w:multiLevelType w:val="hybridMultilevel"/>
    <w:tmpl w:val="D366919E"/>
    <w:lvl w:ilvl="0" w:tplc="E5AEC05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5"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6" w15:restartNumberingAfterBreak="0">
    <w:nsid w:val="57C14849"/>
    <w:multiLevelType w:val="hybridMultilevel"/>
    <w:tmpl w:val="A8C04C3A"/>
    <w:lvl w:ilvl="0" w:tplc="5D62CB26">
      <w:numFmt w:val="bullet"/>
      <w:lvlText w:val="•"/>
      <w:lvlJc w:val="left"/>
      <w:pPr>
        <w:ind w:left="2209" w:hanging="1308"/>
      </w:pPr>
      <w:rPr>
        <w:rFonts w:ascii="宋体" w:eastAsia="宋体" w:hAnsi="宋体"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17"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8"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1"/>
  </w:num>
  <w:num w:numId="3">
    <w:abstractNumId w:val="12"/>
  </w:num>
  <w:num w:numId="4">
    <w:abstractNumId w:val="18"/>
  </w:num>
  <w:num w:numId="5">
    <w:abstractNumId w:val="14"/>
  </w:num>
  <w:num w:numId="6">
    <w:abstractNumId w:val="11"/>
  </w:num>
  <w:num w:numId="7">
    <w:abstractNumId w:val="10"/>
  </w:num>
  <w:num w:numId="8">
    <w:abstractNumId w:val="13"/>
  </w:num>
  <w:num w:numId="9">
    <w:abstractNumId w:val="9"/>
  </w:num>
  <w:num w:numId="10">
    <w:abstractNumId w:val="5"/>
  </w:num>
  <w:num w:numId="11">
    <w:abstractNumId w:val="19"/>
  </w:num>
  <w:num w:numId="12">
    <w:abstractNumId w:val="17"/>
  </w:num>
  <w:num w:numId="13">
    <w:abstractNumId w:val="18"/>
  </w:num>
  <w:num w:numId="14">
    <w:abstractNumId w:val="18"/>
  </w:num>
  <w:num w:numId="15">
    <w:abstractNumId w:val="8"/>
  </w:num>
  <w:num w:numId="16">
    <w:abstractNumId w:val="3"/>
  </w:num>
  <w:num w:numId="17">
    <w:abstractNumId w:val="18"/>
  </w:num>
  <w:num w:numId="18">
    <w:abstractNumId w:val="6"/>
  </w:num>
  <w:num w:numId="19">
    <w:abstractNumId w:val="0"/>
  </w:num>
  <w:num w:numId="20">
    <w:abstractNumId w:val="20"/>
  </w:num>
  <w:num w:numId="21">
    <w:abstractNumId w:val="2"/>
  </w:num>
  <w:num w:numId="22">
    <w:abstractNumId w:val="18"/>
  </w:num>
  <w:num w:numId="23">
    <w:abstractNumId w:val="4"/>
  </w:num>
  <w:num w:numId="24">
    <w:abstractNumId w:val="16"/>
  </w:num>
  <w:num w:numId="25">
    <w:abstractNumId w:val="18"/>
  </w:num>
  <w:num w:numId="26">
    <w:abstractNumId w:val="7"/>
  </w:num>
  <w:num w:numId="2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18"/>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1B98"/>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C7"/>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6EA6"/>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37A"/>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828"/>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7E6"/>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8B"/>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7DB"/>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820"/>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294"/>
    <w:rsid w:val="00E10643"/>
    <w:rsid w:val="00E10829"/>
    <w:rsid w:val="00E109AE"/>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71D"/>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469"/>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表段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List Paragraph Char,Lettre d'introduction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31799492">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E654-20E7-4C72-8CA4-2B30C1B7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147</Words>
  <Characters>844</Characters>
  <Application>Microsoft Office Word</Application>
  <DocSecurity>0</DocSecurity>
  <Lines>7</Lines>
  <Paragraphs>1</Paragraphs>
  <ScaleCrop>false</ScaleCrop>
  <Company>Vivo</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9</cp:revision>
  <cp:lastPrinted>2011-08-03T09:36:00Z</cp:lastPrinted>
  <dcterms:created xsi:type="dcterms:W3CDTF">2020-08-16T13:06:00Z</dcterms:created>
  <dcterms:modified xsi:type="dcterms:W3CDTF">2020-08-17T02:00:00Z</dcterms:modified>
</cp:coreProperties>
</file>