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E487" w14:textId="77777777"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14:paraId="576D08F3" w14:textId="77777777" w:rsidR="00DD44B1" w:rsidRDefault="00DD44B1" w:rsidP="00DD44B1">
      <w:pPr>
        <w:ind w:left="1988" w:hanging="1988"/>
        <w:rPr>
          <w:rFonts w:ascii="Arial" w:eastAsia="MS Mincho" w:hAnsi="Arial" w:cs="Arial"/>
          <w:b/>
          <w:bCs/>
          <w:sz w:val="28"/>
          <w:lang w:eastAsia="ja-JP"/>
        </w:rPr>
      </w:pPr>
      <w:r w:rsidRPr="00E84AB4">
        <w:rPr>
          <w:rFonts w:ascii="Arial" w:eastAsia="MS Mincho" w:hAnsi="Arial" w:cs="Arial"/>
          <w:b/>
          <w:bCs/>
          <w:sz w:val="28"/>
          <w:lang w:eastAsia="ja-JP"/>
        </w:rPr>
        <w:t xml:space="preserve">e-Meeting, </w:t>
      </w:r>
      <w:r w:rsidR="000811CD" w:rsidRPr="000811CD">
        <w:rPr>
          <w:rFonts w:ascii="Arial" w:eastAsia="MS Mincho" w:hAnsi="Arial" w:cs="Arial"/>
          <w:b/>
          <w:bCs/>
          <w:sz w:val="28"/>
          <w:lang w:eastAsia="ja-JP"/>
        </w:rPr>
        <w:t>August 17th – 28th</w:t>
      </w:r>
      <w:r w:rsidR="00CC3925" w:rsidRPr="00E9147D">
        <w:rPr>
          <w:rFonts w:ascii="Arial" w:eastAsia="MS Mincho" w:hAnsi="Arial" w:cs="Arial"/>
          <w:b/>
          <w:bCs/>
          <w:sz w:val="28"/>
          <w:lang w:eastAsia="ja-JP"/>
        </w:rPr>
        <w:t>, 2020</w:t>
      </w:r>
    </w:p>
    <w:p w14:paraId="0CFD4080" w14:textId="77777777" w:rsidR="00F21FE1" w:rsidRPr="00B11108" w:rsidRDefault="00F21FE1" w:rsidP="00653744">
      <w:pPr>
        <w:ind w:left="1988" w:hanging="1988"/>
        <w:rPr>
          <w:rFonts w:ascii="Arial" w:hAnsi="Arial" w:cs="Arial"/>
          <w:b/>
        </w:rPr>
      </w:pPr>
    </w:p>
    <w:p w14:paraId="6AA02964" w14:textId="77777777" w:rsidR="00653744" w:rsidRPr="00B11108" w:rsidRDefault="00653744" w:rsidP="00653744">
      <w:pPr>
        <w:ind w:left="1988" w:hanging="1988"/>
        <w:rPr>
          <w:rFonts w:ascii="Arial" w:hAnsi="Arial" w:cs="Arial"/>
          <w:b/>
        </w:rPr>
      </w:pPr>
      <w:r w:rsidRPr="00B11108">
        <w:rPr>
          <w:rFonts w:ascii="Arial" w:hAnsi="Arial" w:cs="Arial"/>
          <w:b/>
        </w:rPr>
        <w:t>Source:</w:t>
      </w:r>
      <w:r w:rsidRPr="00B11108">
        <w:rPr>
          <w:rFonts w:ascii="Arial" w:hAnsi="Arial" w:cs="Arial"/>
          <w:b/>
        </w:rPr>
        <w:tab/>
      </w:r>
      <w:r w:rsidR="00E30308">
        <w:rPr>
          <w:rFonts w:ascii="Arial" w:hAnsi="Arial" w:cs="Arial"/>
          <w:b/>
        </w:rPr>
        <w:t>Moderator (</w:t>
      </w:r>
      <w:r w:rsidR="00BC2469" w:rsidRPr="00B11108">
        <w:rPr>
          <w:rFonts w:ascii="Arial" w:hAnsi="Arial" w:cs="Arial"/>
          <w:b/>
        </w:rPr>
        <w:t>Nokia</w:t>
      </w:r>
      <w:r w:rsidR="00E30308">
        <w:rPr>
          <w:rFonts w:ascii="Arial" w:hAnsi="Arial" w:cs="Arial"/>
          <w:b/>
        </w:rPr>
        <w:t>)</w:t>
      </w:r>
    </w:p>
    <w:p w14:paraId="1D60D8B1" w14:textId="77777777" w:rsidR="00653744" w:rsidRPr="00B11108" w:rsidRDefault="00653744" w:rsidP="00F945A6">
      <w:pPr>
        <w:ind w:left="1988" w:hanging="1988"/>
        <w:rPr>
          <w:rFonts w:ascii="Arial" w:hAnsi="Arial" w:cs="Arial"/>
          <w:b/>
        </w:rPr>
      </w:pPr>
      <w:r w:rsidRPr="00B11108">
        <w:rPr>
          <w:rFonts w:ascii="Arial" w:hAnsi="Arial" w:cs="Arial"/>
          <w:b/>
        </w:rPr>
        <w:t>Title:</w:t>
      </w:r>
      <w:r w:rsidRPr="00B11108">
        <w:rPr>
          <w:rFonts w:ascii="Arial" w:hAnsi="Arial" w:cs="Arial"/>
          <w:b/>
        </w:rPr>
        <w:tab/>
      </w:r>
      <w:r w:rsidR="00E43EB2" w:rsidRPr="00E43EB2">
        <w:rPr>
          <w:rFonts w:ascii="Arial" w:hAnsi="Arial" w:cs="Arial"/>
          <w:b/>
        </w:rPr>
        <w:t>Summary</w:t>
      </w:r>
      <w:r w:rsidR="00E30308">
        <w:rPr>
          <w:rFonts w:ascii="Arial" w:hAnsi="Arial" w:cs="Arial"/>
          <w:b/>
        </w:rPr>
        <w:t>#1</w:t>
      </w:r>
      <w:r w:rsidR="00E43EB2" w:rsidRPr="00E43EB2">
        <w:rPr>
          <w:rFonts w:ascii="Arial" w:hAnsi="Arial" w:cs="Arial"/>
          <w:b/>
        </w:rPr>
        <w:t xml:space="preserve"> for AI 7.2.4.6 QoS management</w:t>
      </w:r>
      <w:r w:rsidR="009F6317">
        <w:rPr>
          <w:rFonts w:ascii="Arial" w:hAnsi="Arial" w:cs="Arial"/>
          <w:b/>
        </w:rPr>
        <w:t xml:space="preserve"> for sidelink</w:t>
      </w:r>
    </w:p>
    <w:p w14:paraId="2765BF57" w14:textId="77777777" w:rsidR="00653744" w:rsidRPr="00B11108" w:rsidRDefault="00653744" w:rsidP="00653744">
      <w:pPr>
        <w:ind w:left="1988" w:hanging="1988"/>
        <w:rPr>
          <w:rFonts w:ascii="Arial" w:hAnsi="Arial" w:cs="Arial"/>
          <w:b/>
        </w:rPr>
      </w:pPr>
      <w:r w:rsidRPr="00B11108">
        <w:rPr>
          <w:rFonts w:ascii="Arial" w:hAnsi="Arial" w:cs="Arial"/>
          <w:b/>
        </w:rPr>
        <w:t>Agenda item:</w:t>
      </w:r>
      <w:r w:rsidRPr="00B11108">
        <w:rPr>
          <w:rFonts w:ascii="Arial" w:hAnsi="Arial" w:cs="Arial"/>
          <w:b/>
        </w:rPr>
        <w:tab/>
      </w:r>
      <w:r w:rsidR="005C2E43" w:rsidRPr="00B11108">
        <w:rPr>
          <w:rFonts w:ascii="Arial" w:hAnsi="Arial" w:cs="Arial"/>
          <w:b/>
        </w:rPr>
        <w:t>7.2.4.</w:t>
      </w:r>
      <w:r w:rsidR="00C978E8" w:rsidRPr="00B11108">
        <w:rPr>
          <w:rFonts w:ascii="Arial" w:hAnsi="Arial" w:cs="Arial"/>
          <w:b/>
        </w:rPr>
        <w:t>6</w:t>
      </w:r>
    </w:p>
    <w:p w14:paraId="056A3990" w14:textId="77777777" w:rsidR="00653744" w:rsidRPr="00B11108" w:rsidRDefault="00653744" w:rsidP="00653744">
      <w:pPr>
        <w:ind w:left="1988" w:hanging="1988"/>
        <w:rPr>
          <w:rFonts w:ascii="Arial" w:hAnsi="Arial" w:cs="Arial"/>
          <w:b/>
        </w:rPr>
      </w:pPr>
      <w:r w:rsidRPr="00B11108">
        <w:rPr>
          <w:rFonts w:ascii="Arial" w:hAnsi="Arial" w:cs="Arial"/>
          <w:b/>
        </w:rPr>
        <w:t>Document for:</w:t>
      </w:r>
      <w:r w:rsidRPr="00B11108">
        <w:rPr>
          <w:rFonts w:ascii="Arial" w:hAnsi="Arial" w:cs="Arial"/>
          <w:b/>
        </w:rPr>
        <w:tab/>
        <w:t>Discussion and Decision</w:t>
      </w:r>
    </w:p>
    <w:p w14:paraId="572EEB54" w14:textId="77777777" w:rsidR="00653744" w:rsidRPr="00B11108" w:rsidRDefault="00653744" w:rsidP="00653744">
      <w:pPr>
        <w:ind w:left="1988" w:hanging="1988"/>
        <w:rPr>
          <w:rFonts w:ascii="Arial" w:hAnsi="Arial" w:cs="Arial"/>
          <w:b/>
        </w:rPr>
      </w:pPr>
    </w:p>
    <w:p w14:paraId="3E06E130" w14:textId="77777777" w:rsidR="0058787A" w:rsidRPr="00B11108" w:rsidRDefault="00653744" w:rsidP="005A37FA">
      <w:pPr>
        <w:pStyle w:val="Heading1"/>
      </w:pPr>
      <w:bookmarkStart w:id="0" w:name="_Toc37801436"/>
      <w:r w:rsidRPr="00B11108">
        <w:t>Introduction</w:t>
      </w:r>
      <w:bookmarkEnd w:id="0"/>
    </w:p>
    <w:p w14:paraId="28F9C8F4" w14:textId="77777777" w:rsidR="00284729" w:rsidRPr="00B11108" w:rsidRDefault="00284729" w:rsidP="00D96B73"/>
    <w:p w14:paraId="119EFC4E" w14:textId="77777777" w:rsidR="00910515" w:rsidRPr="001B05FF" w:rsidRDefault="00D752C9" w:rsidP="001B05FF">
      <w:pPr>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14:paraId="1B41F0A3" w14:textId="77777777" w:rsidR="00910515" w:rsidRDefault="00910515" w:rsidP="0058787A">
      <w:pPr>
        <w:rPr>
          <w:iCs/>
        </w:rPr>
      </w:pPr>
    </w:p>
    <w:p w14:paraId="4BB96ED0" w14:textId="77777777" w:rsidR="00F52128" w:rsidRDefault="00F52128" w:rsidP="00F52128">
      <w:pPr>
        <w:pStyle w:val="Heading1"/>
        <w:spacing w:after="120"/>
        <w:jc w:val="both"/>
        <w:rPr>
          <w:lang w:eastAsia="zh-CN"/>
        </w:rPr>
      </w:pPr>
      <w:r>
        <w:rPr>
          <w:lang w:eastAsia="zh-CN"/>
        </w:rPr>
        <w:t>Candidate issues for email discussion</w:t>
      </w:r>
    </w:p>
    <w:p w14:paraId="23DCF3FC" w14:textId="77777777" w:rsidR="00F52128" w:rsidRDefault="00F52128" w:rsidP="00F52128">
      <w:r>
        <w:t xml:space="preserve">Email thread budget: Up to </w:t>
      </w:r>
      <w:r w:rsidR="002366AB">
        <w:t>1</w:t>
      </w:r>
    </w:p>
    <w:p w14:paraId="6E88DCE4" w14:textId="77777777" w:rsidR="00486184" w:rsidRDefault="00486184" w:rsidP="00486184">
      <w:pPr>
        <w:pStyle w:val="Heading3"/>
      </w:pPr>
      <w:r>
        <w:t>Candidates</w:t>
      </w:r>
    </w:p>
    <w:p w14:paraId="138F0893" w14:textId="77777777" w:rsidR="00933C7B" w:rsidRDefault="00933C7B" w:rsidP="00F52128">
      <w:r>
        <w:t xml:space="preserve">The following issues were </w:t>
      </w:r>
      <w:r w:rsidR="004A4CF9">
        <w:t>raised</w:t>
      </w:r>
      <w:r>
        <w:t xml:space="preserve"> in the contributions reviewed in preparing this document:</w:t>
      </w:r>
    </w:p>
    <w:p w14:paraId="714898AF" w14:textId="77777777" w:rsidR="004A4CF9" w:rsidRDefault="004A4CF9" w:rsidP="00716C12">
      <w:pPr>
        <w:pStyle w:val="Heading4"/>
      </w:pPr>
      <w:r>
        <w:t>Substantive Issues</w:t>
      </w:r>
    </w:p>
    <w:p w14:paraId="09167501" w14:textId="77777777" w:rsidR="00933C7B" w:rsidRDefault="00933C7B" w:rsidP="00933C7B">
      <w:pPr>
        <w:ind w:left="288"/>
      </w:pPr>
      <w:r w:rsidRPr="00933C7B">
        <w:t>Issue 1.3: Semi-persistent resource reservation disabled by congestion control</w:t>
      </w:r>
    </w:p>
    <w:p w14:paraId="3D934B8E" w14:textId="77777777" w:rsidR="00933C7B" w:rsidRDefault="00933C7B" w:rsidP="00933C7B">
      <w:pPr>
        <w:ind w:left="288"/>
      </w:pPr>
      <w:r w:rsidRPr="00933C7B">
        <w:t>Issue 1.4: CBR reporting in cross-RAT scenarios</w:t>
      </w:r>
    </w:p>
    <w:p w14:paraId="56C65629" w14:textId="77777777" w:rsidR="00933C7B" w:rsidRDefault="00933C7B" w:rsidP="00933C7B">
      <w:pPr>
        <w:ind w:left="288"/>
      </w:pPr>
      <w:r w:rsidRPr="00933C7B">
        <w:t>Issue 3.1: QoS-based Resource Pool Segregation/Prioritization</w:t>
      </w:r>
    </w:p>
    <w:p w14:paraId="11E438FE" w14:textId="77777777" w:rsidR="00933C7B" w:rsidRDefault="00933C7B" w:rsidP="00F52128"/>
    <w:p w14:paraId="7B6B106F" w14:textId="77777777" w:rsidR="0065146B" w:rsidRDefault="0065146B" w:rsidP="00716C12">
      <w:pPr>
        <w:pStyle w:val="Heading4"/>
      </w:pPr>
      <w:r>
        <w:t>Editorial</w:t>
      </w:r>
      <w:r w:rsidR="0074127E">
        <w:t xml:space="preserve"> Issues</w:t>
      </w:r>
    </w:p>
    <w:p w14:paraId="556259F3" w14:textId="77777777" w:rsidR="0065146B" w:rsidRDefault="009E410A" w:rsidP="008C200C">
      <w:pPr>
        <w:pStyle w:val="ListParagraph"/>
        <w:numPr>
          <w:ilvl w:val="0"/>
          <w:numId w:val="29"/>
        </w:numPr>
      </w:pPr>
      <w:r>
        <w:t>RAN2 renamed</w:t>
      </w:r>
      <w:r w:rsidR="0065146B">
        <w:t xml:space="preserve"> “configured sidelink grant” to “selected sidelink grant”</w:t>
      </w:r>
      <w:r>
        <w:t xml:space="preserve"> for mode 2 (TS 38.215) </w:t>
      </w:r>
      <w:r w:rsidR="0065146B">
        <w:t>[vivo], [Ericsson]</w:t>
      </w:r>
    </w:p>
    <w:p w14:paraId="3921A136" w14:textId="77777777" w:rsidR="009E410A" w:rsidRDefault="00716C12" w:rsidP="008C200C">
      <w:pPr>
        <w:pStyle w:val="ListParagraph"/>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14:paraId="5A32579A" w14:textId="77777777" w:rsidR="000933EF" w:rsidRDefault="009E410A" w:rsidP="008C200C">
      <w:pPr>
        <w:pStyle w:val="ListParagraph"/>
        <w:numPr>
          <w:ilvl w:val="1"/>
          <w:numId w:val="29"/>
        </w:numPr>
      </w:pPr>
      <w:r>
        <w:t xml:space="preserve">Replace </w:t>
      </w:r>
      <w:proofErr w:type="spellStart"/>
      <w:r w:rsidR="00E61549" w:rsidRPr="00E61549">
        <w:t>maximumtransmitPower</w:t>
      </w:r>
      <w:proofErr w:type="spellEnd"/>
      <w:r w:rsidR="00E61549" w:rsidRPr="00E61549">
        <w:t>-SL</w:t>
      </w:r>
      <w:r w:rsidR="00E61549">
        <w:t xml:space="preserve"> </w:t>
      </w:r>
      <w:r>
        <w:t xml:space="preserve">by </w:t>
      </w:r>
      <w:proofErr w:type="spellStart"/>
      <w:r w:rsidR="00E61549" w:rsidRPr="00E61549">
        <w:t>sl-MaxTxPower</w:t>
      </w:r>
      <w:proofErr w:type="spellEnd"/>
      <w:r>
        <w:t xml:space="preserve"> (TS 38.213)</w:t>
      </w:r>
      <w:r w:rsidR="00E61549">
        <w:t xml:space="preserve"> [OPPO]</w:t>
      </w:r>
    </w:p>
    <w:p w14:paraId="5857979E" w14:textId="77777777" w:rsidR="000933EF" w:rsidRPr="009E410A" w:rsidRDefault="009E410A" w:rsidP="008C200C">
      <w:pPr>
        <w:pStyle w:val="ListParagraph"/>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14:paraId="33607F16" w14:textId="77777777" w:rsidR="0021793B" w:rsidRPr="00803436" w:rsidRDefault="009E410A" w:rsidP="008C200C">
      <w:pPr>
        <w:pStyle w:val="ListParagraph"/>
        <w:numPr>
          <w:ilvl w:val="1"/>
          <w:numId w:val="29"/>
        </w:numPr>
        <w:rPr>
          <w:lang w:val="en-GB"/>
        </w:rPr>
      </w:pPr>
      <w:r>
        <w:t xml:space="preserve">When </w:t>
      </w:r>
      <w:proofErr w:type="spellStart"/>
      <w:r w:rsidRPr="00E61549">
        <w:t>maximumtransmitPower</w:t>
      </w:r>
      <w:proofErr w:type="spellEnd"/>
      <w:r w:rsidRPr="00E61549">
        <w:t>-SL</w:t>
      </w:r>
      <w:r>
        <w:t>/</w:t>
      </w:r>
      <w:proofErr w:type="spellStart"/>
      <w:r w:rsidRPr="00E61549">
        <w:t>sl-MaxTxPower</w:t>
      </w:r>
      <w:proofErr w:type="spellEnd"/>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14:paraId="17F83E0B" w14:textId="77777777" w:rsidR="0065146B" w:rsidRDefault="0065146B" w:rsidP="00F52128"/>
    <w:p w14:paraId="2970F7AD" w14:textId="77777777" w:rsidR="004A4CF9" w:rsidRPr="00803436" w:rsidRDefault="004A4CF9" w:rsidP="00F52128"/>
    <w:p w14:paraId="6DDA6CDB" w14:textId="77777777" w:rsidR="0065146B" w:rsidRPr="00803436" w:rsidRDefault="0065146B" w:rsidP="00F52128"/>
    <w:p w14:paraId="6F8EF28F" w14:textId="77777777" w:rsidR="00486184" w:rsidRDefault="00486184" w:rsidP="00486184">
      <w:pPr>
        <w:pStyle w:val="Heading3"/>
      </w:pPr>
      <w:r>
        <w:t>Preparatory email discussion [</w:t>
      </w:r>
      <w:r w:rsidRPr="00486184">
        <w:t>10</w:t>
      </w:r>
      <w:r w:rsidR="00803436">
        <w:t>2</w:t>
      </w:r>
      <w:r w:rsidRPr="00486184">
        <w:t>-e-Prep-NR-5G_V2X_NRSL-QoS</w:t>
      </w:r>
      <w:r>
        <w:t>]</w:t>
      </w:r>
    </w:p>
    <w:p w14:paraId="59FC5275" w14:textId="77777777" w:rsidR="00F52128" w:rsidRDefault="00F52128" w:rsidP="00F52128">
      <w:r>
        <w:t>Feature lead recommendation:</w:t>
      </w:r>
    </w:p>
    <w:p w14:paraId="3FF42BBE" w14:textId="77777777" w:rsidR="00F52128" w:rsidRDefault="00716C12" w:rsidP="00F52128">
      <w:r>
        <w:t xml:space="preserve">None of the issues are essential; </w:t>
      </w:r>
      <w:r w:rsidR="00F971CF">
        <w:t>two</w:t>
      </w:r>
      <w:r>
        <w:t xml:space="preserve"> of them are in the RAN2 scope and can be raised in RAN2 by their proponents.</w:t>
      </w:r>
    </w:p>
    <w:p w14:paraId="153EFEAE" w14:textId="77777777" w:rsidR="00716C12" w:rsidRDefault="00716C12" w:rsidP="00F52128">
      <w:r>
        <w:t>Regarding the editorial issues, these can be raised with the spec editors during the CR phase.</w:t>
      </w:r>
    </w:p>
    <w:p w14:paraId="2CBD06D8" w14:textId="77777777" w:rsidR="00716C12" w:rsidRDefault="00716C12" w:rsidP="00F52128">
      <w:r>
        <w:t>Therefore I don’t see the need for any email discussion.</w:t>
      </w:r>
    </w:p>
    <w:p w14:paraId="6ABC57B2" w14:textId="77777777" w:rsidR="00716C12" w:rsidRDefault="00716C12" w:rsidP="00F52128"/>
    <w:p w14:paraId="567D2F97" w14:textId="77777777" w:rsidR="00F52128" w:rsidRPr="00933C7B" w:rsidRDefault="00B71C41" w:rsidP="00933C7B">
      <w:pPr>
        <w:rPr>
          <w:rFonts w:ascii="Calibri" w:eastAsia="Batang" w:hAnsi="Calibri" w:cs="Calibri"/>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14:paraId="7BB5B962" w14:textId="77777777" w:rsidTr="00B71C41">
        <w:tc>
          <w:tcPr>
            <w:tcW w:w="1555" w:type="dxa"/>
          </w:tcPr>
          <w:bookmarkEnd w:id="1"/>
          <w:p w14:paraId="1B978B39"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14:paraId="1FC4DB9B" w14:textId="77777777"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14:paraId="5E29913D" w14:textId="77777777"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14:paraId="6CA04453" w14:textId="77777777" w:rsidTr="00B71C41">
        <w:tc>
          <w:tcPr>
            <w:tcW w:w="1555" w:type="dxa"/>
          </w:tcPr>
          <w:p w14:paraId="0595D7D8" w14:textId="77777777"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14:paraId="60863B08" w14:textId="77777777"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14:paraId="18937946" w14:textId="77777777" w:rsidR="009E2880" w:rsidRPr="009E2880" w:rsidRDefault="009E2880" w:rsidP="009E2880">
            <w:pPr>
              <w:rPr>
                <w:rFonts w:ascii="Calibri" w:eastAsia="Calibri" w:hAnsi="Calibri" w:cs="Arial"/>
                <w:iCs/>
              </w:rPr>
            </w:pPr>
          </w:p>
        </w:tc>
      </w:tr>
      <w:tr w:rsidR="009E2880" w:rsidRPr="009E2880" w14:paraId="326928EB" w14:textId="77777777" w:rsidTr="00B71C41">
        <w:tc>
          <w:tcPr>
            <w:tcW w:w="1555" w:type="dxa"/>
          </w:tcPr>
          <w:p w14:paraId="5B6A1272" w14:textId="77777777"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14:paraId="0F5287A5" w14:textId="77777777"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proofErr w:type="spellStart"/>
            <w:r w:rsidRPr="00587862">
              <w:rPr>
                <w:rFonts w:ascii="Calibri" w:eastAsia="Calibri" w:hAnsi="Calibri" w:cs="Arial"/>
                <w:i/>
                <w:iCs/>
              </w:rPr>
              <w:t>sl-MaxTransPower</w:t>
            </w:r>
            <w:proofErr w:type="spellEnd"/>
            <w:r w:rsidRPr="00FB1B31">
              <w:rPr>
                <w:rFonts w:ascii="Calibri" w:eastAsia="Calibri" w:hAnsi="Calibri" w:cs="Arial"/>
                <w:iCs/>
              </w:rPr>
              <w:t xml:space="preserve"> is not provided</w:t>
            </w:r>
          </w:p>
        </w:tc>
        <w:tc>
          <w:tcPr>
            <w:tcW w:w="5219" w:type="dxa"/>
          </w:tcPr>
          <w:p w14:paraId="6C2A6B74" w14:textId="77777777"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14:paraId="4B071D74" w14:textId="77777777" w:rsidTr="00306832">
        <w:tc>
          <w:tcPr>
            <w:tcW w:w="1555" w:type="dxa"/>
            <w:vAlign w:val="center"/>
          </w:tcPr>
          <w:p w14:paraId="075388E1" w14:textId="77777777"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14:paraId="2AB6DA7C" w14:textId="77777777"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14:paraId="43E88A1C" w14:textId="77777777"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14:paraId="218DFF76" w14:textId="77777777" w:rsidTr="00B71C41">
        <w:tc>
          <w:tcPr>
            <w:tcW w:w="1555" w:type="dxa"/>
          </w:tcPr>
          <w:p w14:paraId="6B01B757" w14:textId="77777777"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14:paraId="3BE37A65" w14:textId="77777777"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14:paraId="20DB3CD9" w14:textId="77777777"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14:paraId="15BA279A" w14:textId="77777777"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14:paraId="46930F13" w14:textId="77777777" w:rsidTr="00B71C41">
        <w:tc>
          <w:tcPr>
            <w:tcW w:w="1555" w:type="dxa"/>
          </w:tcPr>
          <w:p w14:paraId="5F8E1467" w14:textId="77777777"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14:paraId="68B198A5" w14:textId="77777777"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14:paraId="0039DAFF" w14:textId="77777777"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14:paraId="6C5AF653" w14:textId="77777777" w:rsidTr="00B71C41">
        <w:tc>
          <w:tcPr>
            <w:tcW w:w="1555" w:type="dxa"/>
          </w:tcPr>
          <w:p w14:paraId="12B62CB7" w14:textId="77777777" w:rsidR="009C1781" w:rsidRPr="00A32FAF" w:rsidRDefault="00A32FAF" w:rsidP="009C1781">
            <w:pPr>
              <w:rPr>
                <w:rFonts w:ascii="Calibri" w:eastAsia="Calibri" w:hAnsi="Calibri" w:cs="Arial"/>
                <w:iCs/>
              </w:rPr>
            </w:pPr>
            <w:r>
              <w:rPr>
                <w:rFonts w:ascii="Calibri" w:eastAsia="Calibri" w:hAnsi="Calibri" w:cs="Arial"/>
                <w:iCs/>
              </w:rPr>
              <w:t>Ericsson</w:t>
            </w:r>
          </w:p>
        </w:tc>
        <w:tc>
          <w:tcPr>
            <w:tcW w:w="2243" w:type="dxa"/>
          </w:tcPr>
          <w:p w14:paraId="71DE1E0D" w14:textId="77777777" w:rsidR="009C1781" w:rsidRPr="00A32FAF" w:rsidRDefault="00A32FAF" w:rsidP="009C1781">
            <w:pPr>
              <w:rPr>
                <w:rFonts w:ascii="Calibri" w:eastAsia="Calibri" w:hAnsi="Calibri" w:cs="Arial"/>
                <w:iCs/>
              </w:rPr>
            </w:pPr>
            <w:r>
              <w:rPr>
                <w:rFonts w:ascii="Calibri" w:eastAsia="Calibri" w:hAnsi="Calibri" w:cs="Arial"/>
                <w:iCs/>
              </w:rPr>
              <w:t>None</w:t>
            </w:r>
          </w:p>
        </w:tc>
        <w:tc>
          <w:tcPr>
            <w:tcW w:w="5219" w:type="dxa"/>
          </w:tcPr>
          <w:p w14:paraId="7133D40D" w14:textId="77777777" w:rsidR="009C1781" w:rsidRPr="00A32FAF" w:rsidRDefault="00A32FAF" w:rsidP="009C1781">
            <w:pPr>
              <w:rPr>
                <w:rFonts w:ascii="Calibri" w:eastAsia="Calibri" w:hAnsi="Calibri" w:cs="Arial"/>
                <w:iCs/>
              </w:rPr>
            </w:pPr>
            <w:r>
              <w:rPr>
                <w:rFonts w:ascii="Calibri" w:eastAsia="Calibri" w:hAnsi="Calibri" w:cs="Arial"/>
                <w:iCs/>
              </w:rPr>
              <w:t>There are no critical issues remaining to be discussed. Editorial TPs can be covered during the CR phase.</w:t>
            </w:r>
          </w:p>
        </w:tc>
      </w:tr>
      <w:tr w:rsidR="00A06B34" w:rsidRPr="009E2880" w14:paraId="78A02045" w14:textId="77777777" w:rsidTr="00B71C41">
        <w:tc>
          <w:tcPr>
            <w:tcW w:w="1555" w:type="dxa"/>
          </w:tcPr>
          <w:p w14:paraId="78A8B4E0" w14:textId="77777777" w:rsidR="00A06B34" w:rsidRDefault="00A06B34" w:rsidP="001D601B">
            <w:pPr>
              <w:rPr>
                <w:rFonts w:ascii="Calibri" w:eastAsia="Calibri" w:hAnsi="Calibri" w:cs="Arial"/>
                <w:iCs/>
              </w:rPr>
            </w:pPr>
            <w:r>
              <w:t>ZTE, Sanechips</w:t>
            </w:r>
          </w:p>
        </w:tc>
        <w:tc>
          <w:tcPr>
            <w:tcW w:w="2243" w:type="dxa"/>
          </w:tcPr>
          <w:p w14:paraId="7B2FF6C6" w14:textId="77777777" w:rsidR="00A06B34" w:rsidRDefault="00A06B34" w:rsidP="001D601B">
            <w:pPr>
              <w:rPr>
                <w:rFonts w:ascii="Calibri" w:eastAsia="Malgun Gothic" w:hAnsi="Calibri" w:cs="Arial"/>
                <w:iCs/>
              </w:rPr>
            </w:pPr>
            <w:r>
              <w:rPr>
                <w:rFonts w:ascii="Calibri" w:eastAsia="SimSun" w:hAnsi="Calibri" w:cs="Arial"/>
                <w:iCs/>
              </w:rPr>
              <w:t>Ok to</w:t>
            </w:r>
            <w:r>
              <w:rPr>
                <w:rFonts w:ascii="Calibri" w:hAnsi="Calibri" w:cs="Arial"/>
                <w:iCs/>
              </w:rPr>
              <w:t xml:space="preserve"> FL’s </w:t>
            </w:r>
            <w:r>
              <w:rPr>
                <w:rFonts w:ascii="Calibri" w:hAnsi="Calibri" w:cs="Arial" w:hint="eastAsia"/>
                <w:iCs/>
              </w:rPr>
              <w:t>recommendation</w:t>
            </w:r>
          </w:p>
        </w:tc>
        <w:tc>
          <w:tcPr>
            <w:tcW w:w="5219" w:type="dxa"/>
          </w:tcPr>
          <w:p w14:paraId="7A1AFE71" w14:textId="77777777" w:rsidR="00A06B34" w:rsidRDefault="00A06B34" w:rsidP="001D601B">
            <w:r>
              <w:rPr>
                <w:rFonts w:ascii="Calibri" w:eastAsia="SimSun" w:hAnsi="Calibri" w:cs="Arial" w:hint="eastAsia"/>
                <w:iCs/>
              </w:rPr>
              <w:t xml:space="preserve">For </w:t>
            </w:r>
            <w:r>
              <w:t>Issue 1.4</w:t>
            </w:r>
            <w:r>
              <w:rPr>
                <w:rFonts w:eastAsia="SimSun" w:hint="eastAsia"/>
              </w:rPr>
              <w:t xml:space="preserve">, </w:t>
            </w:r>
            <w:r>
              <w:rPr>
                <w:rFonts w:hint="eastAsia"/>
              </w:rPr>
              <w:t xml:space="preserve">LTE SL-CBR reporting to gNB is not captured </w:t>
            </w:r>
            <w:r>
              <w:t>in 38.331 as of today</w:t>
            </w:r>
            <w:r>
              <w:rPr>
                <w:rFonts w:hint="eastAsia"/>
              </w:rPr>
              <w:t xml:space="preserve">. There are two ways to handle this issue: RAN1 </w:t>
            </w:r>
            <w:r>
              <w:t>either gives</w:t>
            </w:r>
            <w:r>
              <w:rPr>
                <w:rFonts w:hint="eastAsia"/>
              </w:rPr>
              <w:t xml:space="preserve"> some clarifications,</w:t>
            </w:r>
            <w:r>
              <w:t xml:space="preserve"> or</w:t>
            </w:r>
            <w:r>
              <w:rPr>
                <w:rFonts w:hint="eastAsia"/>
              </w:rPr>
              <w:t xml:space="preserve"> </w:t>
            </w:r>
            <w:r>
              <w:t xml:space="preserve">completely </w:t>
            </w:r>
            <w:r>
              <w:rPr>
                <w:rFonts w:hint="eastAsia"/>
              </w:rPr>
              <w:t>leave</w:t>
            </w:r>
            <w:r>
              <w:t>s</w:t>
            </w:r>
            <w:r>
              <w:rPr>
                <w:rFonts w:hint="eastAsia"/>
              </w:rPr>
              <w:t xml:space="preserve"> this issue to RAN2. We slightly </w:t>
            </w:r>
            <w:r>
              <w:rPr>
                <w:rFonts w:hint="eastAsia"/>
              </w:rPr>
              <w:lastRenderedPageBreak/>
              <w:t xml:space="preserve">prefer the former </w:t>
            </w:r>
            <w:r>
              <w:t xml:space="preserve">one </w:t>
            </w:r>
            <w:r>
              <w:rPr>
                <w:rFonts w:hint="eastAsia"/>
              </w:rPr>
              <w:t xml:space="preserve">because the decision of NR SL-CBR reporting to gNB </w:t>
            </w:r>
            <w:r>
              <w:t>was</w:t>
            </w:r>
            <w:r>
              <w:rPr>
                <w:rFonts w:hint="eastAsia"/>
              </w:rPr>
              <w:t xml:space="preserve"> made by RAN1</w:t>
            </w:r>
            <w:r>
              <w:t>, but we can also be ok with the 2</w:t>
            </w:r>
            <w:r w:rsidRPr="00D32CD5">
              <w:rPr>
                <w:vertAlign w:val="superscript"/>
              </w:rPr>
              <w:t>nd</w:t>
            </w:r>
            <w:r>
              <w:t xml:space="preserve"> choice.  </w:t>
            </w:r>
          </w:p>
        </w:tc>
      </w:tr>
      <w:tr w:rsidR="00A06B34" w:rsidRPr="009E2880" w14:paraId="22D41A8A" w14:textId="77777777" w:rsidTr="00B71C41">
        <w:tc>
          <w:tcPr>
            <w:tcW w:w="1555" w:type="dxa"/>
          </w:tcPr>
          <w:p w14:paraId="3202F493" w14:textId="77777777" w:rsidR="00A06B34" w:rsidRPr="00FB5272" w:rsidRDefault="00FB5272" w:rsidP="009C1781">
            <w:pPr>
              <w:rPr>
                <w:rFonts w:eastAsia="Calibri"/>
                <w:iCs/>
              </w:rPr>
            </w:pPr>
            <w:r w:rsidRPr="00FB5272">
              <w:rPr>
                <w:rFonts w:eastAsia="Calibri"/>
                <w:iCs/>
              </w:rPr>
              <w:lastRenderedPageBreak/>
              <w:t>Apple</w:t>
            </w:r>
          </w:p>
        </w:tc>
        <w:tc>
          <w:tcPr>
            <w:tcW w:w="2243" w:type="dxa"/>
          </w:tcPr>
          <w:p w14:paraId="366D6878" w14:textId="77777777" w:rsidR="00A06B34" w:rsidRPr="00FB5272" w:rsidRDefault="00FB5272" w:rsidP="009C1781">
            <w:pPr>
              <w:rPr>
                <w:rFonts w:eastAsia="Calibri"/>
                <w:iCs/>
              </w:rPr>
            </w:pPr>
            <w:r w:rsidRPr="00FB5272">
              <w:rPr>
                <w:rFonts w:eastAsia="Calibri"/>
                <w:iCs/>
              </w:rPr>
              <w:t>None</w:t>
            </w:r>
          </w:p>
        </w:tc>
        <w:tc>
          <w:tcPr>
            <w:tcW w:w="5219" w:type="dxa"/>
          </w:tcPr>
          <w:p w14:paraId="1E4D9EDC" w14:textId="77777777" w:rsidR="00A06B34" w:rsidRPr="00FB5272" w:rsidRDefault="00FB5272" w:rsidP="009C1781">
            <w:pPr>
              <w:rPr>
                <w:rFonts w:eastAsia="Calibri"/>
                <w:iCs/>
              </w:rPr>
            </w:pPr>
            <w:r w:rsidRPr="00FB5272">
              <w:rPr>
                <w:rFonts w:eastAsia="Calibri"/>
                <w:iCs/>
              </w:rPr>
              <w:t>The</w:t>
            </w:r>
            <w:r w:rsidRPr="00FB5272">
              <w:t xml:space="preserve"> substantive</w:t>
            </w:r>
            <w:r w:rsidRPr="00FB5272">
              <w:rPr>
                <w:rFonts w:eastAsia="Calibri"/>
                <w:iCs/>
              </w:rPr>
              <w:t xml:space="preserve"> issues are either RAN2 related or not critical. </w:t>
            </w:r>
            <w:r>
              <w:rPr>
                <w:rFonts w:eastAsia="Calibri"/>
                <w:iCs/>
              </w:rPr>
              <w:t>The e</w:t>
            </w:r>
            <w:r w:rsidRPr="00FB5272">
              <w:rPr>
                <w:rFonts w:eastAsia="Calibri"/>
                <w:iCs/>
              </w:rPr>
              <w:t xml:space="preserve">ditorial </w:t>
            </w:r>
            <w:r>
              <w:rPr>
                <w:rFonts w:eastAsia="Calibri"/>
                <w:iCs/>
              </w:rPr>
              <w:t>issues</w:t>
            </w:r>
            <w:r w:rsidRPr="00FB5272">
              <w:rPr>
                <w:rFonts w:eastAsia="Calibri"/>
                <w:iCs/>
              </w:rPr>
              <w:t xml:space="preserve"> can </w:t>
            </w:r>
            <w:r>
              <w:rPr>
                <w:rFonts w:eastAsia="Calibri"/>
                <w:iCs/>
              </w:rPr>
              <w:t xml:space="preserve">be addressed during CR phase.  </w:t>
            </w:r>
          </w:p>
        </w:tc>
      </w:tr>
      <w:tr w:rsidR="00A06B34" w:rsidRPr="009E2880" w14:paraId="7ADD2FFC" w14:textId="77777777" w:rsidTr="00B71C41">
        <w:tc>
          <w:tcPr>
            <w:tcW w:w="1555" w:type="dxa"/>
          </w:tcPr>
          <w:p w14:paraId="3E0AF7F3" w14:textId="77777777" w:rsidR="00A06B34" w:rsidRPr="009E2880" w:rsidRDefault="00FD5047" w:rsidP="009C1781">
            <w:pPr>
              <w:rPr>
                <w:rFonts w:ascii="Calibri" w:eastAsia="Calibri" w:hAnsi="Calibri" w:cs="Arial"/>
                <w:iCs/>
              </w:rPr>
            </w:pPr>
            <w:r>
              <w:rPr>
                <w:rFonts w:ascii="Calibri" w:eastAsia="Calibri" w:hAnsi="Calibri" w:cs="Arial"/>
                <w:iCs/>
              </w:rPr>
              <w:t>Futurewei</w:t>
            </w:r>
          </w:p>
        </w:tc>
        <w:tc>
          <w:tcPr>
            <w:tcW w:w="2243" w:type="dxa"/>
          </w:tcPr>
          <w:p w14:paraId="45D6FA9F" w14:textId="77777777" w:rsidR="00A06B34" w:rsidRPr="009E2880" w:rsidRDefault="00FD5047" w:rsidP="009C1781">
            <w:pPr>
              <w:rPr>
                <w:rFonts w:ascii="Calibri" w:eastAsia="Calibri" w:hAnsi="Calibri" w:cs="Arial"/>
                <w:iCs/>
              </w:rPr>
            </w:pPr>
            <w:r>
              <w:rPr>
                <w:rFonts w:ascii="Calibri" w:eastAsia="Calibri" w:hAnsi="Calibri" w:cs="Arial"/>
                <w:iCs/>
              </w:rPr>
              <w:t>None</w:t>
            </w:r>
          </w:p>
        </w:tc>
        <w:tc>
          <w:tcPr>
            <w:tcW w:w="5219" w:type="dxa"/>
          </w:tcPr>
          <w:p w14:paraId="63597B54" w14:textId="77777777" w:rsidR="00A06B34" w:rsidRPr="009E2880" w:rsidRDefault="00FD5047" w:rsidP="009C1781">
            <w:pPr>
              <w:snapToGrid w:val="0"/>
              <w:rPr>
                <w:rFonts w:ascii="Calibri" w:eastAsia="Calibri" w:hAnsi="Calibri" w:cs="Arial"/>
              </w:rPr>
            </w:pPr>
            <w:r>
              <w:rPr>
                <w:rFonts w:ascii="Calibri" w:eastAsia="Calibri" w:hAnsi="Calibri" w:cs="Arial"/>
              </w:rPr>
              <w:t>Agree with FL’s view that no essential correction needed in RAN1</w:t>
            </w:r>
          </w:p>
        </w:tc>
      </w:tr>
      <w:tr w:rsidR="00A06B34" w:rsidRPr="009E2880" w14:paraId="46D348E8" w14:textId="77777777" w:rsidTr="00B71C41">
        <w:tc>
          <w:tcPr>
            <w:tcW w:w="1555" w:type="dxa"/>
          </w:tcPr>
          <w:p w14:paraId="1286DB06" w14:textId="786F5BA7" w:rsidR="00A06B34" w:rsidRPr="009E2880" w:rsidRDefault="00C46F26" w:rsidP="009C1781">
            <w:pPr>
              <w:rPr>
                <w:rFonts w:ascii="Calibri" w:eastAsia="Calibri" w:hAnsi="Calibri" w:cs="Arial"/>
              </w:rPr>
            </w:pPr>
            <w:r>
              <w:rPr>
                <w:rFonts w:ascii="Calibri" w:eastAsia="Calibri" w:hAnsi="Calibri" w:cs="Arial"/>
              </w:rPr>
              <w:t>QC</w:t>
            </w:r>
          </w:p>
        </w:tc>
        <w:tc>
          <w:tcPr>
            <w:tcW w:w="2243" w:type="dxa"/>
          </w:tcPr>
          <w:p w14:paraId="5A8D2E0D" w14:textId="4E4C4CB2" w:rsidR="00A06B34" w:rsidRPr="009E2880" w:rsidRDefault="00C46F26" w:rsidP="009C1781">
            <w:pPr>
              <w:rPr>
                <w:rFonts w:ascii="Calibri" w:eastAsia="Calibri" w:hAnsi="Calibri" w:cs="Arial"/>
              </w:rPr>
            </w:pPr>
            <w:r>
              <w:rPr>
                <w:rFonts w:ascii="Calibri" w:eastAsia="Calibri" w:hAnsi="Calibri" w:cs="Arial"/>
              </w:rPr>
              <w:t xml:space="preserve">None </w:t>
            </w:r>
          </w:p>
        </w:tc>
        <w:tc>
          <w:tcPr>
            <w:tcW w:w="5219" w:type="dxa"/>
          </w:tcPr>
          <w:p w14:paraId="752C7D64" w14:textId="4AAD4FE3" w:rsidR="00A06B34" w:rsidRPr="009E2880" w:rsidRDefault="00C46F26" w:rsidP="009C1781">
            <w:pPr>
              <w:snapToGrid w:val="0"/>
              <w:rPr>
                <w:rFonts w:ascii="Calibri" w:eastAsia="Calibri" w:hAnsi="Calibri" w:cs="Arial"/>
              </w:rPr>
            </w:pPr>
            <w:r>
              <w:rPr>
                <w:rFonts w:ascii="Calibri" w:eastAsia="Calibri" w:hAnsi="Calibri" w:cs="Arial"/>
              </w:rPr>
              <w:t>Agree with FL’s view</w:t>
            </w:r>
          </w:p>
        </w:tc>
      </w:tr>
      <w:tr w:rsidR="00A06B34" w:rsidRPr="009E2880" w14:paraId="550EDBF9" w14:textId="77777777" w:rsidTr="00B71C41">
        <w:tc>
          <w:tcPr>
            <w:tcW w:w="1555" w:type="dxa"/>
          </w:tcPr>
          <w:p w14:paraId="32A0D58E" w14:textId="77777777" w:rsidR="00A06B34" w:rsidRPr="009E2880" w:rsidRDefault="00A06B34" w:rsidP="009C1781">
            <w:pPr>
              <w:rPr>
                <w:rFonts w:ascii="Calibri" w:eastAsia="Calibri" w:hAnsi="Calibri" w:cs="Arial"/>
              </w:rPr>
            </w:pPr>
          </w:p>
        </w:tc>
        <w:tc>
          <w:tcPr>
            <w:tcW w:w="2243" w:type="dxa"/>
          </w:tcPr>
          <w:p w14:paraId="5F2D8A4A" w14:textId="77777777" w:rsidR="00A06B34" w:rsidRPr="009E2880" w:rsidRDefault="00A06B34" w:rsidP="009C1781">
            <w:pPr>
              <w:rPr>
                <w:rFonts w:ascii="Calibri" w:eastAsia="Calibri" w:hAnsi="Calibri" w:cs="Arial"/>
                <w:iCs/>
              </w:rPr>
            </w:pPr>
          </w:p>
        </w:tc>
        <w:tc>
          <w:tcPr>
            <w:tcW w:w="5219" w:type="dxa"/>
          </w:tcPr>
          <w:p w14:paraId="711F33B0" w14:textId="77777777" w:rsidR="00A06B34" w:rsidRPr="009E2880" w:rsidRDefault="00A06B34" w:rsidP="009C1781">
            <w:pPr>
              <w:snapToGrid w:val="0"/>
              <w:rPr>
                <w:rFonts w:ascii="Calibri" w:eastAsia="Calibri" w:hAnsi="Calibri" w:cs="Arial"/>
              </w:rPr>
            </w:pPr>
          </w:p>
        </w:tc>
      </w:tr>
      <w:tr w:rsidR="00A06B34" w:rsidRPr="009E2880" w14:paraId="11F9C584" w14:textId="77777777" w:rsidTr="00B71C41">
        <w:tc>
          <w:tcPr>
            <w:tcW w:w="1555" w:type="dxa"/>
          </w:tcPr>
          <w:p w14:paraId="3619D52C" w14:textId="77777777" w:rsidR="00A06B34" w:rsidRPr="009E2880" w:rsidRDefault="00A06B34" w:rsidP="009C1781">
            <w:pPr>
              <w:rPr>
                <w:rFonts w:ascii="Calibri" w:eastAsia="Calibri" w:hAnsi="Calibri" w:cs="Arial"/>
              </w:rPr>
            </w:pPr>
          </w:p>
        </w:tc>
        <w:tc>
          <w:tcPr>
            <w:tcW w:w="2243" w:type="dxa"/>
          </w:tcPr>
          <w:p w14:paraId="1813BA2D" w14:textId="77777777" w:rsidR="00A06B34" w:rsidRPr="009E2880" w:rsidRDefault="00A06B34" w:rsidP="009C1781">
            <w:pPr>
              <w:rPr>
                <w:rFonts w:ascii="Calibri" w:eastAsia="Calibri" w:hAnsi="Calibri" w:cs="Arial"/>
                <w:iCs/>
              </w:rPr>
            </w:pPr>
          </w:p>
        </w:tc>
        <w:tc>
          <w:tcPr>
            <w:tcW w:w="5219" w:type="dxa"/>
          </w:tcPr>
          <w:p w14:paraId="47DA04DF" w14:textId="77777777" w:rsidR="00A06B34" w:rsidRPr="009E2880" w:rsidRDefault="00A06B34" w:rsidP="009C1781">
            <w:pPr>
              <w:snapToGrid w:val="0"/>
              <w:rPr>
                <w:rFonts w:ascii="Calibri" w:eastAsia="Calibri" w:hAnsi="Calibri" w:cs="Arial"/>
              </w:rPr>
            </w:pPr>
          </w:p>
        </w:tc>
      </w:tr>
      <w:tr w:rsidR="00A06B34" w:rsidRPr="009E2880" w14:paraId="1F021C09" w14:textId="77777777" w:rsidTr="00B71C41">
        <w:tc>
          <w:tcPr>
            <w:tcW w:w="1555" w:type="dxa"/>
          </w:tcPr>
          <w:p w14:paraId="361B1F03" w14:textId="77777777" w:rsidR="00A06B34" w:rsidRPr="009E2880" w:rsidRDefault="00A06B34" w:rsidP="009C1781">
            <w:pPr>
              <w:rPr>
                <w:rFonts w:ascii="Calibri" w:eastAsia="Calibri" w:hAnsi="Calibri" w:cs="Arial"/>
              </w:rPr>
            </w:pPr>
          </w:p>
        </w:tc>
        <w:tc>
          <w:tcPr>
            <w:tcW w:w="2243" w:type="dxa"/>
          </w:tcPr>
          <w:p w14:paraId="4981898F" w14:textId="77777777" w:rsidR="00A06B34" w:rsidRPr="009E2880" w:rsidRDefault="00A06B34" w:rsidP="009C1781">
            <w:pPr>
              <w:rPr>
                <w:rFonts w:ascii="Calibri" w:eastAsia="Calibri" w:hAnsi="Calibri" w:cs="Arial"/>
                <w:iCs/>
              </w:rPr>
            </w:pPr>
          </w:p>
        </w:tc>
        <w:tc>
          <w:tcPr>
            <w:tcW w:w="5219" w:type="dxa"/>
          </w:tcPr>
          <w:p w14:paraId="09871A21" w14:textId="77777777" w:rsidR="00A06B34" w:rsidRPr="009E2880" w:rsidRDefault="00A06B34" w:rsidP="009C1781">
            <w:pPr>
              <w:snapToGrid w:val="0"/>
              <w:rPr>
                <w:rFonts w:ascii="Calibri" w:eastAsia="Calibri" w:hAnsi="Calibri" w:cs="Arial"/>
              </w:rPr>
            </w:pPr>
          </w:p>
        </w:tc>
      </w:tr>
      <w:tr w:rsidR="00A06B34" w:rsidRPr="009E2880" w14:paraId="2F2DA95C" w14:textId="77777777" w:rsidTr="00555529">
        <w:tc>
          <w:tcPr>
            <w:tcW w:w="1555" w:type="dxa"/>
          </w:tcPr>
          <w:p w14:paraId="2EFA5A04" w14:textId="77777777" w:rsidR="00A06B34" w:rsidRPr="009E2880" w:rsidRDefault="00A06B34" w:rsidP="009C1781">
            <w:pPr>
              <w:rPr>
                <w:rFonts w:ascii="Calibri" w:eastAsia="Calibri" w:hAnsi="Calibri" w:cs="Arial"/>
                <w:iCs/>
              </w:rPr>
            </w:pPr>
          </w:p>
        </w:tc>
        <w:tc>
          <w:tcPr>
            <w:tcW w:w="2243" w:type="dxa"/>
          </w:tcPr>
          <w:p w14:paraId="555C0FA3" w14:textId="77777777" w:rsidR="00A06B34" w:rsidRPr="009E2880" w:rsidRDefault="00A06B34" w:rsidP="009C1781">
            <w:pPr>
              <w:rPr>
                <w:rFonts w:ascii="Calibri" w:eastAsia="Calibri" w:hAnsi="Calibri" w:cs="Arial"/>
                <w:iCs/>
              </w:rPr>
            </w:pPr>
          </w:p>
        </w:tc>
        <w:tc>
          <w:tcPr>
            <w:tcW w:w="5219" w:type="dxa"/>
          </w:tcPr>
          <w:p w14:paraId="47D0C54B" w14:textId="77777777" w:rsidR="00A06B34" w:rsidRPr="009E2880" w:rsidRDefault="00A06B34" w:rsidP="009C1781">
            <w:pPr>
              <w:rPr>
                <w:rFonts w:ascii="Calibri" w:eastAsia="Calibri" w:hAnsi="Calibri" w:cs="Arial"/>
              </w:rPr>
            </w:pPr>
          </w:p>
        </w:tc>
      </w:tr>
    </w:tbl>
    <w:p w14:paraId="05C70378" w14:textId="77777777" w:rsidR="00F52128" w:rsidRDefault="00F52128" w:rsidP="0058787A">
      <w:pPr>
        <w:rPr>
          <w:iCs/>
        </w:rPr>
      </w:pPr>
    </w:p>
    <w:p w14:paraId="3EDCCC4A" w14:textId="77777777" w:rsidR="000D2D9E" w:rsidRDefault="000A6EEB" w:rsidP="00635DE5">
      <w:pPr>
        <w:pStyle w:val="Heading1"/>
        <w:spacing w:after="120"/>
        <w:jc w:val="both"/>
        <w:rPr>
          <w:lang w:eastAsia="zh-CN"/>
        </w:rPr>
      </w:pPr>
      <w:bookmarkStart w:id="2" w:name="_Toc37801437"/>
      <w:r>
        <w:rPr>
          <w:lang w:eastAsia="zh-CN"/>
        </w:rPr>
        <w:t>Issues</w:t>
      </w:r>
      <w:bookmarkEnd w:id="2"/>
    </w:p>
    <w:p w14:paraId="3796077A" w14:textId="77777777" w:rsidR="001B05FF" w:rsidRPr="00D146FC" w:rsidRDefault="001B05FF" w:rsidP="00D146FC"/>
    <w:p w14:paraId="11A9AFEF" w14:textId="77777777" w:rsidR="00F67C1F" w:rsidRPr="00D146FC" w:rsidRDefault="00F67C1F" w:rsidP="00D07493">
      <w:pPr>
        <w:pStyle w:val="ListParagraph"/>
        <w:rPr>
          <w:lang w:val="en-GB"/>
        </w:rPr>
      </w:pPr>
    </w:p>
    <w:p w14:paraId="35CF2AC8" w14:textId="77777777" w:rsidR="00F52128" w:rsidRDefault="00F52128" w:rsidP="00F52128">
      <w:pPr>
        <w:rPr>
          <w:lang w:eastAsia="en-GB"/>
        </w:rPr>
      </w:pPr>
      <w:r>
        <w:rPr>
          <w:lang w:eastAsia="en-GB"/>
        </w:rPr>
        <w:t>Note: Issue numbering is the same as in the previous meeting, hence gaps in numbering appear for issues which have been settled.</w:t>
      </w:r>
    </w:p>
    <w:p w14:paraId="67A91505" w14:textId="77777777" w:rsidR="00066FBD" w:rsidRPr="00B11108" w:rsidRDefault="00066FBD" w:rsidP="00FC58B1"/>
    <w:p w14:paraId="5C983CE7" w14:textId="77777777" w:rsidR="00DA4984" w:rsidRDefault="00FF0F3E" w:rsidP="00CB7AE2">
      <w:pPr>
        <w:pStyle w:val="Heading2"/>
      </w:pPr>
      <w:bookmarkStart w:id="3" w:name="_Toc37801438"/>
      <w:r>
        <w:t xml:space="preserve">Topic 1: </w:t>
      </w:r>
      <w:r w:rsidR="00DA4984" w:rsidRPr="00B11108">
        <w:t>Sidelink Congestion Control</w:t>
      </w:r>
      <w:bookmarkEnd w:id="3"/>
    </w:p>
    <w:p w14:paraId="57654CD2" w14:textId="77777777" w:rsidR="00FB05C4" w:rsidRDefault="00FB05C4" w:rsidP="00FB05C4">
      <w:pPr>
        <w:pStyle w:val="Heading3"/>
      </w:pPr>
      <w:bookmarkStart w:id="4" w:name="_Toc37801441"/>
      <w:r>
        <w:t>Issue 1.</w:t>
      </w:r>
      <w:r w:rsidR="00BF35C4">
        <w:t>3</w:t>
      </w:r>
      <w:r>
        <w:t xml:space="preserve">: Semi-persistent resource reservation </w:t>
      </w:r>
      <w:r w:rsidR="00617216">
        <w:t>disabled</w:t>
      </w:r>
      <w:r>
        <w:t xml:space="preserve"> by congestion control</w:t>
      </w:r>
      <w:bookmarkEnd w:id="4"/>
    </w:p>
    <w:p w14:paraId="64410B80" w14:textId="77777777" w:rsidR="00B4420A" w:rsidRDefault="00B4420A" w:rsidP="00B4420A">
      <w:pPr>
        <w:pStyle w:val="Heading4"/>
      </w:pPr>
      <w:r>
        <w:t>Views expressed in contributions</w:t>
      </w:r>
      <w:r w:rsidR="00FB05C4">
        <w:t xml:space="preserve"> </w:t>
      </w:r>
    </w:p>
    <w:p w14:paraId="2E6306F7" w14:textId="77777777" w:rsidR="00FB05C4" w:rsidRDefault="00FB05C4" w:rsidP="00FB05C4">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xml:space="preserve">, </w:t>
      </w:r>
      <w:proofErr w:type="spellStart"/>
      <w:r w:rsidR="00E61549">
        <w:rPr>
          <w:lang w:eastAsia="en-GB"/>
        </w:rPr>
        <w:t>Sanechips</w:t>
      </w:r>
      <w:proofErr w:type="spellEnd"/>
      <w:r w:rsidR="00874C8E" w:rsidRPr="00874C8E">
        <w:rPr>
          <w:lang w:eastAsia="en-GB"/>
        </w:rPr>
        <w:t xml:space="preserve">], </w:t>
      </w:r>
      <w:r w:rsidR="00E61549">
        <w:rPr>
          <w:lang w:eastAsia="en-GB"/>
        </w:rPr>
        <w:t xml:space="preserve">[Huawei, </w:t>
      </w:r>
      <w:proofErr w:type="spellStart"/>
      <w:r w:rsidR="00E61549">
        <w:rPr>
          <w:lang w:eastAsia="en-GB"/>
        </w:rPr>
        <w:t>HiSilicon</w:t>
      </w:r>
      <w:proofErr w:type="spellEnd"/>
      <w:r w:rsidR="00874C8E" w:rsidRPr="00874C8E">
        <w:rPr>
          <w:lang w:eastAsia="en-GB"/>
        </w:rPr>
        <w:t>]</w:t>
      </w:r>
      <w:r w:rsidR="00874C8E">
        <w:rPr>
          <w:lang w:eastAsia="en-GB"/>
        </w:rPr>
        <w:t>.</w:t>
      </w:r>
    </w:p>
    <w:p w14:paraId="280F06ED" w14:textId="77777777" w:rsidR="002833E3" w:rsidRDefault="002833E3" w:rsidP="002833E3">
      <w:pPr>
        <w:pStyle w:val="Heading4"/>
      </w:pPr>
      <w:r>
        <w:t>Feature lead view</w:t>
      </w:r>
    </w:p>
    <w:p w14:paraId="638979BA" w14:textId="77777777" w:rsidR="002833E3" w:rsidRPr="00B11108" w:rsidRDefault="002833E3" w:rsidP="002833E3">
      <w:r>
        <w:t>Not critical.</w:t>
      </w:r>
      <w:r w:rsidR="000B2306">
        <w:t xml:space="preserve"> No evaluation results demonstrating benefit.</w:t>
      </w:r>
    </w:p>
    <w:p w14:paraId="2C0FC749" w14:textId="77777777" w:rsidR="002833E3" w:rsidRDefault="002833E3" w:rsidP="00FB05C4">
      <w:pPr>
        <w:rPr>
          <w:lang w:eastAsia="en-GB"/>
        </w:rPr>
      </w:pPr>
    </w:p>
    <w:p w14:paraId="745D18E1" w14:textId="77777777" w:rsidR="00BE5F2A" w:rsidRDefault="00BE5F2A" w:rsidP="00BE5F2A">
      <w:pPr>
        <w:pStyle w:val="Heading3"/>
      </w:pPr>
      <w:bookmarkStart w:id="5" w:name="_Toc37801442"/>
      <w:r>
        <w:t>Issue 1.</w:t>
      </w:r>
      <w:r w:rsidR="00BF35C4">
        <w:t>4</w:t>
      </w:r>
      <w:r>
        <w:t>: CBR reporting in cross-RAT scenarios</w:t>
      </w:r>
      <w:bookmarkEnd w:id="5"/>
    </w:p>
    <w:p w14:paraId="32905604" w14:textId="77777777" w:rsidR="00BE5F2A" w:rsidRDefault="00BE5F2A" w:rsidP="00BE5F2A">
      <w:pPr>
        <w:pStyle w:val="Heading4"/>
      </w:pPr>
      <w:r>
        <w:t xml:space="preserve">Views expressed in contributions </w:t>
      </w:r>
    </w:p>
    <w:p w14:paraId="6640AF0B" w14:textId="77777777" w:rsidR="00643B79" w:rsidRDefault="00643B79" w:rsidP="00FB05C4">
      <w:pPr>
        <w:rPr>
          <w:lang w:eastAsia="en-GB"/>
        </w:rPr>
      </w:pPr>
      <w:r w:rsidRPr="00643B79">
        <w:rPr>
          <w:lang w:eastAsia="en-GB"/>
        </w:rPr>
        <w:t xml:space="preserve">[ZTE, </w:t>
      </w:r>
      <w:proofErr w:type="spellStart"/>
      <w:r w:rsidRPr="00643B79">
        <w:rPr>
          <w:lang w:eastAsia="en-GB"/>
        </w:rPr>
        <w:t>Sanechips</w:t>
      </w:r>
      <w:proofErr w:type="spellEnd"/>
      <w:r w:rsidRPr="00643B79">
        <w:rPr>
          <w:lang w:eastAsia="en-GB"/>
        </w:rPr>
        <w:t>]</w:t>
      </w:r>
      <w:r w:rsidR="0065146B">
        <w:rPr>
          <w:lang w:eastAsia="en-GB"/>
        </w:rPr>
        <w:t>, [</w:t>
      </w:r>
      <w:proofErr w:type="spellStart"/>
      <w:r w:rsidR="0065146B">
        <w:rPr>
          <w:lang w:eastAsia="en-GB"/>
        </w:rPr>
        <w:t>InterDigital</w:t>
      </w:r>
      <w:proofErr w:type="spellEnd"/>
      <w:r w:rsidR="0065146B">
        <w:rPr>
          <w:lang w:eastAsia="en-GB"/>
        </w:rPr>
        <w:t>]</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14:paraId="5A881FCC" w14:textId="77777777" w:rsidR="009F1BED" w:rsidRDefault="009F1BED" w:rsidP="009F1BED">
      <w:pPr>
        <w:pStyle w:val="Heading4"/>
      </w:pPr>
      <w:r>
        <w:lastRenderedPageBreak/>
        <w:t>Feature lead view</w:t>
      </w:r>
    </w:p>
    <w:p w14:paraId="3338B70B" w14:textId="77777777"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14:paraId="21D2E3FC" w14:textId="77777777" w:rsidR="00410DC8" w:rsidRPr="00A54B5E" w:rsidRDefault="00410DC8" w:rsidP="009F1BED"/>
    <w:p w14:paraId="3280FCDC" w14:textId="77777777" w:rsidR="003A23BE" w:rsidRDefault="003A23BE" w:rsidP="003A23BE">
      <w:pPr>
        <w:pStyle w:val="Heading2"/>
      </w:pPr>
      <w:bookmarkStart w:id="6" w:name="_Toc37801446"/>
      <w:r>
        <w:t>Topic 3: QoS</w:t>
      </w:r>
      <w:bookmarkEnd w:id="6"/>
    </w:p>
    <w:p w14:paraId="1971543F" w14:textId="77777777" w:rsidR="003A23BE" w:rsidRDefault="003A23BE" w:rsidP="003A23BE">
      <w:pPr>
        <w:pStyle w:val="Heading3"/>
      </w:pPr>
      <w:bookmarkStart w:id="7" w:name="_Toc37801447"/>
      <w:r>
        <w:t xml:space="preserve">Issue 3.1: </w:t>
      </w:r>
      <w:r w:rsidRPr="003A23BE">
        <w:t>QoS-based Resource Pool Segregation/Prioritization</w:t>
      </w:r>
      <w:bookmarkEnd w:id="7"/>
    </w:p>
    <w:p w14:paraId="2BB9C3F0" w14:textId="77777777" w:rsidR="003A23BE" w:rsidRDefault="003A23BE" w:rsidP="003A23BE">
      <w:pPr>
        <w:pStyle w:val="Heading4"/>
      </w:pPr>
      <w:r>
        <w:t>Background</w:t>
      </w:r>
    </w:p>
    <w:p w14:paraId="109E99DE" w14:textId="77777777" w:rsidR="00A54B5E" w:rsidRPr="00A54B5E" w:rsidRDefault="00A54B5E" w:rsidP="00A54B5E">
      <w:r w:rsidRPr="00A54B5E">
        <w:t>R12 ProSe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14:paraId="2F819EA9" w14:textId="77777777" w:rsidR="00A54B5E" w:rsidRPr="00A54B5E" w:rsidRDefault="00A54B5E" w:rsidP="00A54B5E">
      <w:pPr>
        <w:rPr>
          <w:lang w:eastAsia="en-GB"/>
        </w:rPr>
      </w:pPr>
    </w:p>
    <w:p w14:paraId="1AB0780A" w14:textId="77777777" w:rsidR="003A23BE" w:rsidRDefault="003A23BE" w:rsidP="003A23BE">
      <w:pPr>
        <w:pStyle w:val="Heading4"/>
      </w:pPr>
      <w:r>
        <w:t>Views expressed in contributions</w:t>
      </w:r>
    </w:p>
    <w:p w14:paraId="7EF9C569" w14:textId="77777777" w:rsidR="00A54B5E" w:rsidRPr="00A54B5E" w:rsidRDefault="00A54B5E" w:rsidP="00A54B5E">
      <w:r w:rsidRPr="00A54B5E">
        <w:t>In the current meeting, this topic was addressed in one contribution:</w:t>
      </w:r>
    </w:p>
    <w:p w14:paraId="4F174CAC" w14:textId="77777777" w:rsidR="00A54B5E" w:rsidRPr="00A54B5E" w:rsidRDefault="00A54B5E" w:rsidP="008C200C">
      <w:pPr>
        <w:numPr>
          <w:ilvl w:val="0"/>
          <w:numId w:val="25"/>
        </w:numPr>
        <w:rPr>
          <w:rFonts w:ascii="Calibri" w:eastAsia="Calibri" w:hAnsi="Calibri"/>
        </w:rPr>
      </w:pPr>
      <w:r w:rsidRPr="00A54B5E">
        <w:rPr>
          <w:rFonts w:ascii="Calibri" w:eastAsia="Calibri" w:hAnsi="Calibri"/>
        </w:rPr>
        <w:t>[</w:t>
      </w:r>
      <w:proofErr w:type="spellStart"/>
      <w:r w:rsidRPr="00A54B5E">
        <w:rPr>
          <w:rFonts w:ascii="Calibri" w:eastAsia="Calibri" w:hAnsi="Calibri"/>
        </w:rPr>
        <w:t>InterDigital</w:t>
      </w:r>
      <w:proofErr w:type="spellEnd"/>
      <w:r w:rsidRPr="00A54B5E">
        <w:rPr>
          <w:rFonts w:ascii="Calibri" w:eastAsia="Calibri" w:hAnsi="Calibri"/>
        </w:rPr>
        <w:t>]: A resource pool can be configured with an allowed QoS for the data that can be transmitted using that resource pool</w:t>
      </w:r>
    </w:p>
    <w:p w14:paraId="4BE54251" w14:textId="77777777" w:rsidR="00A54B5E" w:rsidRDefault="00A54B5E" w:rsidP="00A54B5E"/>
    <w:p w14:paraId="352E037B" w14:textId="77777777" w:rsidR="00A54B5E" w:rsidRDefault="00A54B5E" w:rsidP="00A54B5E">
      <w:pPr>
        <w:pStyle w:val="Heading4"/>
      </w:pPr>
      <w:r>
        <w:t>Feature lead view</w:t>
      </w:r>
    </w:p>
    <w:p w14:paraId="4148484C" w14:textId="77777777"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14:paraId="0D0A5172" w14:textId="77777777" w:rsidR="003A23BE" w:rsidRPr="00A54B5E" w:rsidRDefault="003A23BE" w:rsidP="005E2BEC"/>
    <w:p w14:paraId="5FE340FA" w14:textId="77777777" w:rsidR="00653744" w:rsidRPr="00B11108" w:rsidRDefault="00653744" w:rsidP="00653744">
      <w:pPr>
        <w:pStyle w:val="Heading1"/>
        <w:pBdr>
          <w:top w:val="single" w:sz="12" w:space="4" w:color="auto"/>
        </w:pBdr>
        <w:textAlignment w:val="auto"/>
        <w:rPr>
          <w:lang w:eastAsia="zh-CN"/>
        </w:rPr>
      </w:pPr>
      <w:bookmarkStart w:id="8" w:name="_Toc37801448"/>
      <w:r w:rsidRPr="00B11108">
        <w:rPr>
          <w:lang w:eastAsia="zh-CN"/>
        </w:rPr>
        <w:t>References</w:t>
      </w:r>
      <w:bookmarkEnd w:id="8"/>
    </w:p>
    <w:p w14:paraId="2C40AA5C" w14:textId="77777777" w:rsidR="0031188F" w:rsidRPr="00B11108" w:rsidRDefault="002A1BAA"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14:paraId="47D468B5" w14:textId="77777777"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14:paraId="3AC1C710" w14:textId="77777777" w:rsidR="00D170EF" w:rsidRPr="00B11108" w:rsidRDefault="00D170EF" w:rsidP="00D170EF">
      <w:pPr>
        <w:numPr>
          <w:ilvl w:val="0"/>
          <w:numId w:val="2"/>
        </w:numPr>
      </w:pPr>
      <w:r w:rsidRPr="00B11108">
        <w:t>TR 38.885, Study on NR Vehicle-to-Everything (V2X)</w:t>
      </w:r>
    </w:p>
    <w:p w14:paraId="36FE8C73" w14:textId="77777777" w:rsidR="00331DF2" w:rsidRDefault="00331DF2" w:rsidP="00331DF2">
      <w:pPr>
        <w:tabs>
          <w:tab w:val="num" w:pos="708"/>
        </w:tabs>
        <w:spacing w:after="120"/>
        <w:ind w:left="420"/>
      </w:pPr>
    </w:p>
    <w:p w14:paraId="5E5EF73C" w14:textId="77777777" w:rsidR="009A6757" w:rsidRDefault="009A6757" w:rsidP="00331DF2">
      <w:pPr>
        <w:tabs>
          <w:tab w:val="num" w:pos="708"/>
        </w:tabs>
        <w:spacing w:after="120"/>
        <w:ind w:left="420"/>
      </w:pPr>
    </w:p>
    <w:p w14:paraId="7C3FA25E" w14:textId="77777777" w:rsidR="009A6757" w:rsidRPr="00B11108" w:rsidRDefault="009A6757" w:rsidP="00331DF2">
      <w:pPr>
        <w:tabs>
          <w:tab w:val="num" w:pos="708"/>
        </w:tabs>
        <w:spacing w:after="120"/>
        <w:ind w:left="420"/>
      </w:pPr>
    </w:p>
    <w:p w14:paraId="3044EDBB" w14:textId="77777777" w:rsidR="005A3BBF" w:rsidRPr="00B11108"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9" w:name="_Toc37801449"/>
      <w:r w:rsidRPr="00B11108">
        <w:rPr>
          <w:rFonts w:ascii="Arial" w:eastAsia="Times New Roman" w:hAnsi="Arial" w:cs="Arial"/>
          <w:sz w:val="36"/>
          <w:szCs w:val="36"/>
        </w:rPr>
        <w:lastRenderedPageBreak/>
        <w:t>Background</w:t>
      </w:r>
      <w:bookmarkEnd w:id="9"/>
    </w:p>
    <w:p w14:paraId="5F60E2E4" w14:textId="77777777" w:rsidR="005A3BBF" w:rsidRPr="00B11108"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0" w:name="_Toc37801450"/>
      <w:r w:rsidRPr="00B11108">
        <w:rPr>
          <w:rFonts w:ascii="Arial" w:eastAsia="Calibri" w:hAnsi="Arial" w:cs="Arial"/>
          <w:sz w:val="32"/>
          <w:szCs w:val="32"/>
        </w:rPr>
        <w:t>WI Objectives</w:t>
      </w:r>
      <w:bookmarkEnd w:id="10"/>
    </w:p>
    <w:p w14:paraId="22ED3B5E"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020B4644"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51D4D263" w14:textId="77777777" w:rsidTr="00B71C41">
        <w:tc>
          <w:tcPr>
            <w:tcW w:w="9017" w:type="dxa"/>
          </w:tcPr>
          <w:p w14:paraId="05934C43" w14:textId="77777777" w:rsidR="005A3BBF" w:rsidRPr="00B11108" w:rsidRDefault="005A3BBF" w:rsidP="005A3BBF">
            <w:pPr>
              <w:overflowPunct w:val="0"/>
              <w:adjustRightInd w:val="0"/>
              <w:spacing w:after="180" w:line="240" w:lineRule="auto"/>
              <w:textAlignment w:val="baseline"/>
              <w:rPr>
                <w:rFonts w:eastAsia="Malgun Gothic"/>
                <w:szCs w:val="20"/>
              </w:rPr>
            </w:pPr>
            <w:r w:rsidRPr="00B11108">
              <w:rPr>
                <w:rFonts w:eastAsia="Malgun Gothic"/>
                <w:szCs w:val="20"/>
              </w:rPr>
              <w:t xml:space="preserve">1. NR sidelink: Specify NR sidelink solutions necessary to support sidelink unicast, sidelink groupcast, and sidelink broadcast for V2X services, considering </w:t>
            </w:r>
            <w:r w:rsidRPr="00B11108">
              <w:rPr>
                <w:rFonts w:eastAsia="Malgun Gothic"/>
                <w:bCs/>
                <w:szCs w:val="20"/>
                <w:lang w:eastAsia="en-GB"/>
              </w:rPr>
              <w:t>in-network coverage, out-of-network coverage, and partial network coverage</w:t>
            </w:r>
            <w:r w:rsidRPr="00B11108">
              <w:rPr>
                <w:rFonts w:eastAsia="Malgun Gothic"/>
                <w:szCs w:val="20"/>
              </w:rPr>
              <w:t>.</w:t>
            </w:r>
          </w:p>
          <w:p w14:paraId="7EE16A99" w14:textId="77777777"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8C372A0" w14:textId="77777777"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6D1122D6" w14:textId="77777777" w:rsidR="005A3BBF" w:rsidRPr="00B11108" w:rsidRDefault="005A3BBF" w:rsidP="005A3BBF">
            <w:pPr>
              <w:rPr>
                <w:bCs/>
              </w:rPr>
            </w:pPr>
            <w:r w:rsidRPr="00B11108">
              <w:rPr>
                <w:bCs/>
              </w:rPr>
              <w:t>4. Specify support for QoS management [RAN2, RAN3, RAN1]</w:t>
            </w:r>
          </w:p>
          <w:p w14:paraId="45726D38" w14:textId="77777777" w:rsidR="005A3BBF" w:rsidRPr="00B11108" w:rsidRDefault="005A3BBF" w:rsidP="005A3BBF"/>
        </w:tc>
      </w:tr>
    </w:tbl>
    <w:p w14:paraId="6C980005" w14:textId="77777777" w:rsidR="005A3BBF" w:rsidRPr="00B11108" w:rsidRDefault="005A3BBF" w:rsidP="005A3BBF"/>
    <w:p w14:paraId="1E45BAC7" w14:textId="77777777" w:rsidR="00B63705" w:rsidRPr="00B11108"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1" w:name="_Toc37801451"/>
      <w:r w:rsidRPr="00B11108">
        <w:rPr>
          <w:rFonts w:ascii="Arial" w:eastAsia="Times New Roman" w:hAnsi="Arial" w:cs="Arial"/>
          <w:sz w:val="32"/>
          <w:szCs w:val="32"/>
        </w:rPr>
        <w:t>Earlier Agreements</w:t>
      </w:r>
      <w:bookmarkEnd w:id="11"/>
    </w:p>
    <w:p w14:paraId="741B1A9D" w14:textId="77777777" w:rsidR="00B63705" w:rsidRPr="00B11108" w:rsidRDefault="00B63705" w:rsidP="00B63705">
      <w:r w:rsidRPr="00B11108">
        <w:t>The following relevant agreements have been reached in previous meetings:</w:t>
      </w:r>
    </w:p>
    <w:p w14:paraId="4ED8ED5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2" w:name="_Toc37801452"/>
      <w:r w:rsidRPr="00B11108">
        <w:rPr>
          <w:rFonts w:ascii="Arial" w:eastAsia="Times New Roman" w:hAnsi="Arial" w:cs="Arial"/>
          <w:sz w:val="28"/>
          <w:szCs w:val="28"/>
          <w:lang w:eastAsia="en-GB"/>
        </w:rPr>
        <w:t>QoS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8ABBA61" w14:textId="77777777" w:rsidTr="00B71C41">
        <w:trPr>
          <w:cantSplit/>
        </w:trPr>
        <w:tc>
          <w:tcPr>
            <w:tcW w:w="9026" w:type="dxa"/>
            <w:shd w:val="clear" w:color="auto" w:fill="auto"/>
          </w:tcPr>
          <w:p w14:paraId="73155F64" w14:textId="77777777" w:rsidR="00B63705" w:rsidRPr="00B11108" w:rsidRDefault="00B63705" w:rsidP="00B71C41">
            <w:pPr>
              <w:rPr>
                <w:szCs w:val="20"/>
              </w:rPr>
            </w:pPr>
            <w:r w:rsidRPr="00B11108">
              <w:rPr>
                <w:szCs w:val="20"/>
                <w:highlight w:val="green"/>
              </w:rPr>
              <w:t>Agreements</w:t>
            </w:r>
            <w:r w:rsidRPr="00B11108">
              <w:rPr>
                <w:szCs w:val="20"/>
              </w:rPr>
              <w:t>:</w:t>
            </w:r>
          </w:p>
          <w:p w14:paraId="15F98228"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2002F1B4"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2BFF5092"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latency</w:t>
            </w:r>
          </w:p>
          <w:p w14:paraId="7CC2C422" w14:textId="77777777"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reliability</w:t>
            </w:r>
          </w:p>
          <w:p w14:paraId="56EB370C" w14:textId="77777777" w:rsidR="00B63705" w:rsidRPr="00B11108" w:rsidRDefault="00B63705" w:rsidP="00B71C41">
            <w:pPr>
              <w:ind w:left="720"/>
              <w:rPr>
                <w:rFonts w:ascii="Calibri" w:eastAsia="Calibri" w:hAnsi="Calibri"/>
                <w:bCs/>
                <w:szCs w:val="20"/>
              </w:rPr>
            </w:pPr>
          </w:p>
        </w:tc>
      </w:tr>
    </w:tbl>
    <w:p w14:paraId="0F19C7C0"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DEB12DE" w14:textId="77777777" w:rsidTr="00B71C41">
        <w:trPr>
          <w:cantSplit/>
        </w:trPr>
        <w:tc>
          <w:tcPr>
            <w:tcW w:w="9026" w:type="dxa"/>
            <w:shd w:val="clear" w:color="auto" w:fill="auto"/>
          </w:tcPr>
          <w:p w14:paraId="6B10C02D" w14:textId="77777777" w:rsidR="00B63705" w:rsidRPr="00B11108" w:rsidRDefault="00B63705" w:rsidP="00B71C41">
            <w:r w:rsidRPr="00B11108">
              <w:rPr>
                <w:highlight w:val="green"/>
              </w:rPr>
              <w:lastRenderedPageBreak/>
              <w:t>Agreements</w:t>
            </w:r>
            <w:r w:rsidRPr="00B11108">
              <w:t>:</w:t>
            </w:r>
          </w:p>
          <w:p w14:paraId="7CA97DB9" w14:textId="77777777" w:rsidR="00B63705" w:rsidRPr="00B11108" w:rsidRDefault="00B63705" w:rsidP="00B71C41">
            <w:pPr>
              <w:rPr>
                <w:bCs/>
                <w:szCs w:val="20"/>
              </w:rPr>
            </w:pPr>
            <w:r w:rsidRPr="00B11108">
              <w:rPr>
                <w:bCs/>
                <w:szCs w:val="20"/>
              </w:rPr>
              <w:t xml:space="preserve">RAN1 studies further how to use </w:t>
            </w:r>
          </w:p>
          <w:p w14:paraId="0D491A52"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 xml:space="preserve">priority, </w:t>
            </w:r>
          </w:p>
          <w:p w14:paraId="488375DC"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latency,</w:t>
            </w:r>
          </w:p>
          <w:p w14:paraId="764D49FE"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reliability,</w:t>
            </w:r>
          </w:p>
          <w:p w14:paraId="0E1C83A5" w14:textId="77777777"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minimum required communication range (as defined by higher layers) if agreed to use</w:t>
            </w:r>
          </w:p>
          <w:p w14:paraId="76F319D8" w14:textId="77777777" w:rsidR="00B63705" w:rsidRPr="00B11108" w:rsidRDefault="00B63705" w:rsidP="00B71C41">
            <w:pPr>
              <w:rPr>
                <w:bCs/>
                <w:szCs w:val="20"/>
              </w:rPr>
            </w:pPr>
            <w:r w:rsidRPr="00B11108">
              <w:rPr>
                <w:bCs/>
                <w:szCs w:val="20"/>
              </w:rPr>
              <w:t xml:space="preserve">in the physical layer aspects of at least </w:t>
            </w:r>
          </w:p>
          <w:p w14:paraId="6733698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3A65509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5BD283AE"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resolution of in-device coexistence issues and </w:t>
            </w:r>
          </w:p>
          <w:p w14:paraId="36129296" w14:textId="77777777"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power control</w:t>
            </w:r>
          </w:p>
          <w:p w14:paraId="018E5F4F" w14:textId="77777777" w:rsidR="00B63705" w:rsidRPr="00B11108" w:rsidRDefault="00B63705" w:rsidP="00B71C41"/>
        </w:tc>
      </w:tr>
    </w:tbl>
    <w:p w14:paraId="4E3FBF31" w14:textId="77777777" w:rsidR="00B63705" w:rsidRPr="00B11108" w:rsidRDefault="00B63705" w:rsidP="00B63705"/>
    <w:p w14:paraId="7E96995B"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893D91" w14:textId="77777777" w:rsidTr="00B71C41">
        <w:trPr>
          <w:cantSplit/>
        </w:trPr>
        <w:tc>
          <w:tcPr>
            <w:tcW w:w="9026" w:type="dxa"/>
            <w:shd w:val="clear" w:color="auto" w:fill="auto"/>
          </w:tcPr>
          <w:p w14:paraId="7286411A" w14:textId="77777777" w:rsidR="00B63705" w:rsidRPr="00B11108" w:rsidRDefault="00B63705" w:rsidP="00B71C41">
            <w:pPr>
              <w:rPr>
                <w:szCs w:val="20"/>
                <w:highlight w:val="darkYellow"/>
              </w:rPr>
            </w:pPr>
            <w:r w:rsidRPr="00B11108">
              <w:rPr>
                <w:szCs w:val="20"/>
                <w:highlight w:val="darkYellow"/>
              </w:rPr>
              <w:t>Working assumption:</w:t>
            </w:r>
          </w:p>
          <w:p w14:paraId="237C64D4" w14:textId="77777777" w:rsidR="00B63705" w:rsidRPr="00B11108" w:rsidRDefault="00B63705" w:rsidP="008C200C">
            <w:pPr>
              <w:numPr>
                <w:ilvl w:val="0"/>
                <w:numId w:val="10"/>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7634DF85" w14:textId="77777777"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indication is used for sensing and resource (re)selection procedures</w:t>
            </w:r>
          </w:p>
          <w:p w14:paraId="656FEE98" w14:textId="77777777"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priority is not necessarily the higher layer priority</w:t>
            </w:r>
          </w:p>
          <w:p w14:paraId="12213209" w14:textId="77777777" w:rsidR="00B63705" w:rsidRPr="00B11108" w:rsidRDefault="00B63705" w:rsidP="00B71C41"/>
        </w:tc>
      </w:tr>
    </w:tbl>
    <w:p w14:paraId="120BA34B"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8291413" w14:textId="77777777" w:rsidTr="00B71C41">
        <w:trPr>
          <w:cantSplit/>
        </w:trPr>
        <w:tc>
          <w:tcPr>
            <w:tcW w:w="9026" w:type="dxa"/>
            <w:shd w:val="clear" w:color="auto" w:fill="auto"/>
          </w:tcPr>
          <w:p w14:paraId="63842FE3" w14:textId="77777777" w:rsidR="00B63705" w:rsidRPr="00B11108" w:rsidRDefault="00B63705" w:rsidP="00B71C41">
            <w:pPr>
              <w:rPr>
                <w:szCs w:val="20"/>
              </w:rPr>
            </w:pPr>
            <w:r w:rsidRPr="00B11108">
              <w:rPr>
                <w:szCs w:val="20"/>
                <w:highlight w:val="green"/>
              </w:rPr>
              <w:t>Agreements</w:t>
            </w:r>
            <w:r w:rsidRPr="00B11108">
              <w:rPr>
                <w:szCs w:val="20"/>
              </w:rPr>
              <w:t>:</w:t>
            </w:r>
          </w:p>
          <w:p w14:paraId="612E07C8" w14:textId="77777777" w:rsidR="00B63705" w:rsidRPr="00B11108" w:rsidRDefault="00B63705" w:rsidP="008C200C">
            <w:pPr>
              <w:numPr>
                <w:ilvl w:val="0"/>
                <w:numId w:val="14"/>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3DED6836" w14:textId="77777777" w:rsidR="00B63705" w:rsidRPr="00B11108" w:rsidRDefault="00B63705" w:rsidP="008C200C">
            <w:pPr>
              <w:numPr>
                <w:ilvl w:val="1"/>
                <w:numId w:val="14"/>
              </w:numPr>
              <w:rPr>
                <w:szCs w:val="20"/>
              </w:rPr>
            </w:pPr>
            <w:r w:rsidRPr="00B11108">
              <w:rPr>
                <w:szCs w:val="20"/>
              </w:rPr>
              <w:t>Up to RAN2 on how to define the mapping between the priority indication and the corresponding QoS</w:t>
            </w:r>
          </w:p>
          <w:p w14:paraId="57C3B050" w14:textId="77777777" w:rsidR="00B63705" w:rsidRPr="00B11108" w:rsidRDefault="00B63705" w:rsidP="008C200C">
            <w:pPr>
              <w:numPr>
                <w:ilvl w:val="1"/>
                <w:numId w:val="14"/>
              </w:numPr>
              <w:rPr>
                <w:szCs w:val="20"/>
              </w:rPr>
            </w:pPr>
            <w:r w:rsidRPr="00B11108">
              <w:rPr>
                <w:szCs w:val="20"/>
              </w:rPr>
              <w:t xml:space="preserve">Size is 3 bits (as a </w:t>
            </w:r>
            <w:r w:rsidRPr="00B11108">
              <w:rPr>
                <w:szCs w:val="20"/>
                <w:highlight w:val="darkYellow"/>
              </w:rPr>
              <w:t>working assumption</w:t>
            </w:r>
            <w:r w:rsidRPr="00B11108">
              <w:rPr>
                <w:szCs w:val="20"/>
              </w:rPr>
              <w:t>)</w:t>
            </w:r>
          </w:p>
          <w:p w14:paraId="094FDEF5" w14:textId="77777777" w:rsidR="00B63705" w:rsidRPr="00B11108" w:rsidRDefault="00B63705" w:rsidP="00B71C41"/>
        </w:tc>
      </w:tr>
    </w:tbl>
    <w:p w14:paraId="3AF40A26" w14:textId="77777777" w:rsidR="00B63705" w:rsidRPr="00B11108" w:rsidRDefault="00B63705" w:rsidP="00B63705"/>
    <w:p w14:paraId="3F362733" w14:textId="77777777" w:rsidR="00B63705" w:rsidRPr="00B11108" w:rsidRDefault="00B63705" w:rsidP="00B63705"/>
    <w:p w14:paraId="1B8AAFBD"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3"/>
      <w:r w:rsidRPr="00B11108">
        <w:rPr>
          <w:rFonts w:ascii="Arial" w:eastAsia="Times New Roman" w:hAnsi="Arial" w:cs="Arial"/>
          <w:sz w:val="28"/>
          <w:szCs w:val="28"/>
          <w:lang w:eastAsia="en-GB"/>
        </w:rPr>
        <w:t>Sidelink Congestion Control</w:t>
      </w:r>
      <w:bookmarkEnd w:id="13"/>
    </w:p>
    <w:p w14:paraId="3284A1D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9B3BF8E" w14:textId="77777777" w:rsidTr="00B71C41">
        <w:trPr>
          <w:cantSplit/>
        </w:trPr>
        <w:tc>
          <w:tcPr>
            <w:tcW w:w="9026" w:type="dxa"/>
            <w:shd w:val="clear" w:color="auto" w:fill="auto"/>
          </w:tcPr>
          <w:p w14:paraId="25411663"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4D049BAC" w14:textId="77777777" w:rsidR="00B63705" w:rsidRPr="00B11108" w:rsidRDefault="00B63705" w:rsidP="008C200C">
            <w:pPr>
              <w:numPr>
                <w:ilvl w:val="0"/>
                <w:numId w:val="5"/>
              </w:numPr>
              <w:rPr>
                <w:bCs/>
                <w:szCs w:val="20"/>
              </w:rPr>
            </w:pPr>
            <w:r w:rsidRPr="00B11108">
              <w:rPr>
                <w:bCs/>
                <w:szCs w:val="20"/>
              </w:rPr>
              <w:t>Introduce at least one congestion metric for NR sidelink</w:t>
            </w:r>
          </w:p>
          <w:p w14:paraId="44D4E8CE" w14:textId="77777777" w:rsidR="00B63705" w:rsidRPr="00B11108" w:rsidRDefault="00B63705" w:rsidP="008C200C">
            <w:pPr>
              <w:numPr>
                <w:ilvl w:val="1"/>
                <w:numId w:val="5"/>
              </w:numPr>
              <w:rPr>
                <w:bCs/>
                <w:sz w:val="40"/>
                <w:szCs w:val="20"/>
              </w:rPr>
            </w:pPr>
            <w:r w:rsidRPr="00B11108">
              <w:rPr>
                <w:bCs/>
                <w:szCs w:val="20"/>
              </w:rPr>
              <w:t>FFS details – to be done in WI phase (if included)</w:t>
            </w:r>
          </w:p>
          <w:p w14:paraId="36F40014" w14:textId="77777777" w:rsidR="00B63705" w:rsidRPr="00B11108" w:rsidRDefault="00B63705" w:rsidP="00B71C41"/>
        </w:tc>
      </w:tr>
    </w:tbl>
    <w:p w14:paraId="0FC87E95"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B2C3736" w14:textId="77777777" w:rsidTr="00B71C41">
        <w:trPr>
          <w:cantSplit/>
        </w:trPr>
        <w:tc>
          <w:tcPr>
            <w:tcW w:w="9026" w:type="dxa"/>
            <w:shd w:val="clear" w:color="auto" w:fill="auto"/>
          </w:tcPr>
          <w:p w14:paraId="19ACE55C" w14:textId="77777777" w:rsidR="00B63705" w:rsidRPr="00B11108" w:rsidRDefault="00B63705" w:rsidP="00B71C41">
            <w:pPr>
              <w:rPr>
                <w:szCs w:val="20"/>
              </w:rPr>
            </w:pPr>
            <w:r w:rsidRPr="00B11108">
              <w:rPr>
                <w:szCs w:val="20"/>
                <w:highlight w:val="green"/>
              </w:rPr>
              <w:t>Agreements</w:t>
            </w:r>
            <w:r w:rsidRPr="00B11108">
              <w:rPr>
                <w:szCs w:val="20"/>
              </w:rPr>
              <w:t>:</w:t>
            </w:r>
          </w:p>
          <w:p w14:paraId="18E7BBFD" w14:textId="77777777" w:rsidR="00B63705" w:rsidRPr="00B11108" w:rsidRDefault="00B63705" w:rsidP="008C200C">
            <w:pPr>
              <w:numPr>
                <w:ilvl w:val="0"/>
                <w:numId w:val="5"/>
              </w:numPr>
              <w:rPr>
                <w:szCs w:val="20"/>
              </w:rPr>
            </w:pPr>
            <w:r w:rsidRPr="00B11108">
              <w:rPr>
                <w:szCs w:val="20"/>
              </w:rPr>
              <w:t>Congestion control is supported at least for sidelink mode 2</w:t>
            </w:r>
          </w:p>
          <w:p w14:paraId="0D2389EB" w14:textId="77777777" w:rsidR="00B63705" w:rsidRPr="00B11108" w:rsidRDefault="00B63705" w:rsidP="008C200C">
            <w:pPr>
              <w:numPr>
                <w:ilvl w:val="1"/>
                <w:numId w:val="5"/>
              </w:numPr>
              <w:rPr>
                <w:szCs w:val="20"/>
              </w:rPr>
            </w:pPr>
            <w:r w:rsidRPr="00B11108">
              <w:rPr>
                <w:szCs w:val="20"/>
              </w:rPr>
              <w:t>Note: details of congestion control can be covered in the work item phase, not in this SI.</w:t>
            </w:r>
          </w:p>
          <w:p w14:paraId="276EA7E8" w14:textId="77777777" w:rsidR="00B63705" w:rsidRPr="00B11108" w:rsidRDefault="00B63705" w:rsidP="00B71C41"/>
        </w:tc>
      </w:tr>
    </w:tbl>
    <w:p w14:paraId="4A4EFAD8"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74AF75B" w14:textId="77777777" w:rsidTr="00B71C41">
        <w:trPr>
          <w:cantSplit/>
        </w:trPr>
        <w:tc>
          <w:tcPr>
            <w:tcW w:w="9026" w:type="dxa"/>
            <w:shd w:val="clear" w:color="auto" w:fill="auto"/>
          </w:tcPr>
          <w:p w14:paraId="52F9FD58" w14:textId="77777777" w:rsidR="00B63705" w:rsidRPr="00B11108" w:rsidRDefault="00B63705" w:rsidP="00B71C41">
            <w:pPr>
              <w:rPr>
                <w:szCs w:val="20"/>
              </w:rPr>
            </w:pPr>
            <w:r w:rsidRPr="00B11108">
              <w:rPr>
                <w:b/>
                <w:szCs w:val="20"/>
                <w:u w:val="single"/>
              </w:rPr>
              <w:t>Conclusion</w:t>
            </w:r>
            <w:r w:rsidRPr="00B11108">
              <w:rPr>
                <w:szCs w:val="20"/>
              </w:rPr>
              <w:t>:</w:t>
            </w:r>
          </w:p>
          <w:p w14:paraId="5B7900BE" w14:textId="77777777" w:rsidR="00B63705" w:rsidRPr="00B11108" w:rsidRDefault="00B63705" w:rsidP="008C200C">
            <w:pPr>
              <w:numPr>
                <w:ilvl w:val="0"/>
                <w:numId w:val="6"/>
              </w:numPr>
              <w:rPr>
                <w:bCs/>
                <w:szCs w:val="20"/>
              </w:rPr>
            </w:pPr>
            <w:r w:rsidRPr="00B11108">
              <w:rPr>
                <w:bCs/>
                <w:szCs w:val="20"/>
              </w:rPr>
              <w:t>It is deemed beneficial to report Sidelink Congestion Metrics(s) to a gNB</w:t>
            </w:r>
          </w:p>
          <w:p w14:paraId="4C1E68D1" w14:textId="77777777" w:rsidR="00B63705" w:rsidRPr="00B11108" w:rsidRDefault="00B63705" w:rsidP="008C200C">
            <w:pPr>
              <w:numPr>
                <w:ilvl w:val="1"/>
                <w:numId w:val="6"/>
              </w:numPr>
              <w:rPr>
                <w:bCs/>
                <w:szCs w:val="20"/>
              </w:rPr>
            </w:pPr>
            <w:r w:rsidRPr="00B11108">
              <w:rPr>
                <w:bCs/>
                <w:szCs w:val="20"/>
              </w:rPr>
              <w:t>Consequently, it is recommended to specify the corresponding details in the WI phase</w:t>
            </w:r>
          </w:p>
          <w:p w14:paraId="45A7F411" w14:textId="77777777" w:rsidR="00B63705" w:rsidRPr="00B11108" w:rsidRDefault="00B63705" w:rsidP="00B71C41"/>
        </w:tc>
      </w:tr>
    </w:tbl>
    <w:p w14:paraId="72004D5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572F5C2D" w14:textId="77777777" w:rsidTr="00B71C41">
        <w:tc>
          <w:tcPr>
            <w:tcW w:w="9017" w:type="dxa"/>
          </w:tcPr>
          <w:p w14:paraId="10A35F3E" w14:textId="77777777" w:rsidR="00B63705" w:rsidRPr="00B11108" w:rsidRDefault="00B63705" w:rsidP="00B71C41">
            <w:pPr>
              <w:spacing w:line="240" w:lineRule="auto"/>
              <w:rPr>
                <w:rFonts w:ascii="Times" w:eastAsia="Batang" w:hAnsi="Times"/>
                <w:szCs w:val="20"/>
              </w:rPr>
            </w:pPr>
            <w:r w:rsidRPr="00B11108">
              <w:rPr>
                <w:rFonts w:ascii="Times" w:eastAsia="Batang" w:hAnsi="Times"/>
                <w:szCs w:val="20"/>
                <w:highlight w:val="green"/>
              </w:rPr>
              <w:t>Agreements</w:t>
            </w:r>
            <w:r w:rsidRPr="00B11108">
              <w:rPr>
                <w:rFonts w:ascii="Times" w:eastAsia="Batang" w:hAnsi="Times"/>
                <w:szCs w:val="20"/>
              </w:rPr>
              <w:t>:</w:t>
            </w:r>
          </w:p>
          <w:p w14:paraId="66898B30" w14:textId="77777777" w:rsidR="00B63705" w:rsidRPr="00B11108" w:rsidRDefault="00B63705" w:rsidP="00B71C41">
            <w:pPr>
              <w:spacing w:line="240" w:lineRule="auto"/>
              <w:rPr>
                <w:rFonts w:ascii="Times" w:eastAsia="Batang" w:hAnsi="Times"/>
                <w:szCs w:val="20"/>
              </w:rPr>
            </w:pPr>
            <w:r w:rsidRPr="00B11108">
              <w:rPr>
                <w:rFonts w:ascii="Times" w:eastAsia="Batang" w:hAnsi="Times"/>
                <w:szCs w:val="20"/>
              </w:rPr>
              <w:t xml:space="preserve">Support at least NR CBR as congestion metric for NR sidelink congestion control. </w:t>
            </w:r>
          </w:p>
          <w:p w14:paraId="45AD9D15" w14:textId="77777777" w:rsidR="00B63705" w:rsidRPr="00B11108" w:rsidRDefault="00B63705" w:rsidP="008C200C">
            <w:pPr>
              <w:numPr>
                <w:ilvl w:val="0"/>
                <w:numId w:val="7"/>
              </w:numPr>
              <w:spacing w:line="240" w:lineRule="auto"/>
              <w:rPr>
                <w:rFonts w:ascii="Times" w:eastAsia="Batang" w:hAnsi="Times"/>
                <w:szCs w:val="20"/>
              </w:rPr>
            </w:pPr>
            <w:r w:rsidRPr="00B11108">
              <w:rPr>
                <w:rFonts w:ascii="Times" w:eastAsia="Batang" w:hAnsi="Times"/>
                <w:szCs w:val="20"/>
              </w:rPr>
              <w:t>LTE CBR is the baseline for defining NR CBR.</w:t>
            </w:r>
          </w:p>
          <w:p w14:paraId="30701701" w14:textId="77777777" w:rsidR="00B63705" w:rsidRPr="00B11108" w:rsidRDefault="00B63705" w:rsidP="00B71C41">
            <w:pPr>
              <w:spacing w:line="240" w:lineRule="auto"/>
              <w:rPr>
                <w:rFonts w:ascii="Times" w:eastAsia="Batang" w:hAnsi="Times"/>
                <w:szCs w:val="20"/>
                <w:highlight w:val="green"/>
              </w:rPr>
            </w:pPr>
          </w:p>
        </w:tc>
      </w:tr>
    </w:tbl>
    <w:p w14:paraId="4EF009E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9B6F9EE" w14:textId="77777777" w:rsidTr="00B71C41">
        <w:trPr>
          <w:cantSplit/>
        </w:trPr>
        <w:tc>
          <w:tcPr>
            <w:tcW w:w="9026" w:type="dxa"/>
            <w:shd w:val="clear" w:color="auto" w:fill="auto"/>
          </w:tcPr>
          <w:p w14:paraId="69B7ED47" w14:textId="77777777" w:rsidR="00B63705" w:rsidRPr="00B11108" w:rsidRDefault="00B63705" w:rsidP="00B71C41">
            <w:pPr>
              <w:rPr>
                <w:szCs w:val="20"/>
              </w:rPr>
            </w:pPr>
            <w:r w:rsidRPr="00B11108">
              <w:rPr>
                <w:szCs w:val="20"/>
                <w:highlight w:val="green"/>
              </w:rPr>
              <w:t>Agreements</w:t>
            </w:r>
            <w:r w:rsidRPr="00B11108">
              <w:rPr>
                <w:szCs w:val="20"/>
              </w:rPr>
              <w:t>:</w:t>
            </w:r>
          </w:p>
          <w:p w14:paraId="5016B640" w14:textId="77777777" w:rsidR="00B63705" w:rsidRPr="00B11108" w:rsidRDefault="00B63705" w:rsidP="008C200C">
            <w:pPr>
              <w:numPr>
                <w:ilvl w:val="0"/>
                <w:numId w:val="8"/>
              </w:numPr>
              <w:rPr>
                <w:szCs w:val="20"/>
              </w:rPr>
            </w:pPr>
            <w:r w:rsidRPr="00B11108">
              <w:rPr>
                <w:szCs w:val="20"/>
              </w:rPr>
              <w:t>LTE V2X sidelink congestion control is the starting point for defining NR sidelink congestion control.</w:t>
            </w:r>
          </w:p>
          <w:p w14:paraId="125A9FF3" w14:textId="77777777" w:rsidR="00B63705" w:rsidRPr="00B11108" w:rsidRDefault="00B63705" w:rsidP="00B71C41"/>
        </w:tc>
      </w:tr>
    </w:tbl>
    <w:p w14:paraId="3B9EF255"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31D9451" w14:textId="77777777" w:rsidTr="00B71C41">
        <w:trPr>
          <w:cantSplit/>
        </w:trPr>
        <w:tc>
          <w:tcPr>
            <w:tcW w:w="9026" w:type="dxa"/>
            <w:shd w:val="clear" w:color="auto" w:fill="auto"/>
          </w:tcPr>
          <w:p w14:paraId="5BC37CAC" w14:textId="77777777" w:rsidR="00B63705" w:rsidRPr="00B11108" w:rsidRDefault="00B63705" w:rsidP="00B71C41">
            <w:pPr>
              <w:rPr>
                <w:szCs w:val="20"/>
              </w:rPr>
            </w:pPr>
            <w:r w:rsidRPr="00B11108">
              <w:rPr>
                <w:szCs w:val="20"/>
                <w:highlight w:val="green"/>
              </w:rPr>
              <w:t>Agreements</w:t>
            </w:r>
            <w:r w:rsidRPr="00B11108">
              <w:rPr>
                <w:szCs w:val="20"/>
              </w:rPr>
              <w:t>:</w:t>
            </w:r>
          </w:p>
          <w:p w14:paraId="7592AB7F" w14:textId="77777777" w:rsidR="00B63705" w:rsidRPr="00B11108" w:rsidRDefault="00B63705" w:rsidP="008C200C">
            <w:pPr>
              <w:numPr>
                <w:ilvl w:val="0"/>
                <w:numId w:val="8"/>
              </w:numPr>
              <w:rPr>
                <w:szCs w:val="20"/>
              </w:rPr>
            </w:pPr>
            <w:r w:rsidRPr="00B11108">
              <w:rPr>
                <w:szCs w:val="20"/>
              </w:rPr>
              <w:t>Higher-layer reporting of CBR to the gNB is supported for RRC_CONNECTED UEs.</w:t>
            </w:r>
          </w:p>
          <w:p w14:paraId="16CA1F40" w14:textId="77777777" w:rsidR="00B63705" w:rsidRPr="00B11108" w:rsidRDefault="00B63705" w:rsidP="00B71C41"/>
        </w:tc>
      </w:tr>
    </w:tbl>
    <w:p w14:paraId="00CFDEDE"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6DB65645"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41A58C4B"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lastRenderedPageBreak/>
              <w:t>Agreements</w:t>
            </w:r>
            <w:r w:rsidRPr="00B11108">
              <w:rPr>
                <w:rFonts w:ascii="Calibri" w:eastAsia="Calibri" w:hAnsi="Calibri" w:cs="Arial"/>
                <w:szCs w:val="20"/>
              </w:rPr>
              <w:t>:</w:t>
            </w:r>
          </w:p>
          <w:p w14:paraId="0703E215" w14:textId="77777777" w:rsidR="00B63705" w:rsidRPr="00B11108" w:rsidRDefault="00B63705" w:rsidP="008C200C">
            <w:pPr>
              <w:numPr>
                <w:ilvl w:val="0"/>
                <w:numId w:val="9"/>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3B04ED7C" w14:textId="77777777" w:rsidR="00B63705" w:rsidRPr="00B11108" w:rsidRDefault="00B63705" w:rsidP="008C200C">
            <w:pPr>
              <w:numPr>
                <w:ilvl w:val="1"/>
                <w:numId w:val="9"/>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47178E2E" w14:textId="77777777" w:rsidR="00B63705" w:rsidRPr="00B11108" w:rsidRDefault="00B63705" w:rsidP="00B71C41">
            <w:pPr>
              <w:spacing w:line="256" w:lineRule="auto"/>
              <w:rPr>
                <w:rFonts w:ascii="Calibri" w:eastAsia="Calibri" w:hAnsi="Calibri" w:cs="Arial"/>
              </w:rPr>
            </w:pPr>
          </w:p>
        </w:tc>
      </w:tr>
    </w:tbl>
    <w:p w14:paraId="071893EC"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12F4EF" w14:textId="77777777" w:rsidTr="00B71C41">
        <w:trPr>
          <w:cantSplit/>
        </w:trPr>
        <w:tc>
          <w:tcPr>
            <w:tcW w:w="9026" w:type="dxa"/>
            <w:shd w:val="clear" w:color="auto" w:fill="auto"/>
          </w:tcPr>
          <w:p w14:paraId="54EF8C24" w14:textId="77777777" w:rsidR="00B63705" w:rsidRPr="00B11108" w:rsidRDefault="00B63705" w:rsidP="00B71C41">
            <w:pPr>
              <w:rPr>
                <w:szCs w:val="20"/>
              </w:rPr>
            </w:pPr>
            <w:r w:rsidRPr="00B11108">
              <w:rPr>
                <w:szCs w:val="20"/>
                <w:highlight w:val="green"/>
              </w:rPr>
              <w:t>Agreements</w:t>
            </w:r>
            <w:r w:rsidRPr="00B11108">
              <w:rPr>
                <w:szCs w:val="20"/>
              </w:rPr>
              <w:t>:</w:t>
            </w:r>
          </w:p>
          <w:p w14:paraId="04E01EE4" w14:textId="77777777" w:rsidR="00B63705" w:rsidRPr="00B11108" w:rsidRDefault="00B63705" w:rsidP="00B71C41">
            <w:pPr>
              <w:rPr>
                <w:szCs w:val="20"/>
              </w:rPr>
            </w:pPr>
            <w:r w:rsidRPr="00B11108">
              <w:rPr>
                <w:szCs w:val="20"/>
              </w:rPr>
              <w:t>Define NR sidelink Channel Occupancy Ratio (CR) measurement.</w:t>
            </w:r>
          </w:p>
          <w:p w14:paraId="250DD431" w14:textId="77777777" w:rsidR="00B63705" w:rsidRPr="00B11108" w:rsidRDefault="00B63705" w:rsidP="008C200C">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1E921A98" w14:textId="77777777" w:rsidR="00B63705" w:rsidRPr="00B11108" w:rsidRDefault="00B63705" w:rsidP="00B71C41"/>
        </w:tc>
      </w:tr>
    </w:tbl>
    <w:p w14:paraId="004B6C1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6AAD506" w14:textId="77777777" w:rsidTr="00B71C41">
        <w:trPr>
          <w:cantSplit/>
        </w:trPr>
        <w:tc>
          <w:tcPr>
            <w:tcW w:w="9026" w:type="dxa"/>
            <w:shd w:val="clear" w:color="auto" w:fill="auto"/>
          </w:tcPr>
          <w:p w14:paraId="687F4E9A" w14:textId="77777777" w:rsidR="00B63705" w:rsidRPr="00B11108" w:rsidRDefault="00B63705" w:rsidP="00B71C41">
            <w:pPr>
              <w:rPr>
                <w:szCs w:val="20"/>
              </w:rPr>
            </w:pPr>
            <w:r w:rsidRPr="00B11108">
              <w:rPr>
                <w:szCs w:val="20"/>
                <w:highlight w:val="green"/>
              </w:rPr>
              <w:t>Agreements</w:t>
            </w:r>
            <w:r w:rsidRPr="00B11108">
              <w:rPr>
                <w:szCs w:val="20"/>
              </w:rPr>
              <w:t>:</w:t>
            </w:r>
          </w:p>
          <w:p w14:paraId="76F76161" w14:textId="77777777" w:rsidR="00B63705" w:rsidRPr="00B11108" w:rsidRDefault="00B63705" w:rsidP="008C200C">
            <w:pPr>
              <w:numPr>
                <w:ilvl w:val="0"/>
                <w:numId w:val="12"/>
              </w:numPr>
              <w:rPr>
                <w:szCs w:val="20"/>
              </w:rPr>
            </w:pPr>
            <w:r w:rsidRPr="00B11108">
              <w:rPr>
                <w:szCs w:val="20"/>
              </w:rPr>
              <w:t>Congestion control can restrict the values of at least the following PSSCH/PSCCH TX parameters per resource pool:</w:t>
            </w:r>
          </w:p>
          <w:p w14:paraId="0B5FC2FF"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MCS for a given MCS table supported within the resource pool</w:t>
            </w:r>
          </w:p>
          <w:p w14:paraId="73C874BE"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number of sub-channels</w:t>
            </w:r>
          </w:p>
          <w:p w14:paraId="6C33A17F"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number of (re)transmissions – already agreed in mode 2 AI</w:t>
            </w:r>
          </w:p>
          <w:p w14:paraId="13C76460"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TX power (including zero TX power)</w:t>
            </w:r>
          </w:p>
          <w:p w14:paraId="63626541" w14:textId="77777777" w:rsidR="00B63705" w:rsidRPr="00B11108" w:rsidRDefault="00B63705" w:rsidP="008C200C">
            <w:pPr>
              <w:numPr>
                <w:ilvl w:val="0"/>
                <w:numId w:val="12"/>
              </w:numPr>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14:paraId="50D35929" w14:textId="77777777" w:rsidR="00B63705" w:rsidRPr="00B11108" w:rsidRDefault="00B63705" w:rsidP="008C200C">
            <w:pPr>
              <w:numPr>
                <w:ilvl w:val="0"/>
                <w:numId w:val="12"/>
              </w:numPr>
              <w:rPr>
                <w:szCs w:val="20"/>
              </w:rPr>
            </w:pPr>
            <w:r w:rsidRPr="00B11108">
              <w:rPr>
                <w:szCs w:val="20"/>
              </w:rPr>
              <w:t>Ranges/bounds of the transmission parameters and CR</w:t>
            </w:r>
            <w:r w:rsidRPr="00B11108">
              <w:rPr>
                <w:szCs w:val="20"/>
                <w:vertAlign w:val="subscript"/>
              </w:rPr>
              <w:t>limit</w:t>
            </w:r>
            <w:r w:rsidRPr="00B11108">
              <w:rPr>
                <w:szCs w:val="20"/>
              </w:rPr>
              <w:t xml:space="preserve"> are functions of QoS and CBR.</w:t>
            </w:r>
          </w:p>
          <w:p w14:paraId="57105EF9" w14:textId="77777777" w:rsidR="00B63705" w:rsidRPr="00B11108" w:rsidRDefault="00B63705" w:rsidP="008C200C">
            <w:pPr>
              <w:numPr>
                <w:ilvl w:val="0"/>
                <w:numId w:val="12"/>
              </w:numPr>
              <w:rPr>
                <w:szCs w:val="20"/>
              </w:rPr>
            </w:pPr>
            <w:r w:rsidRPr="00B11108">
              <w:rPr>
                <w:szCs w:val="20"/>
              </w:rPr>
              <w:t>In addition to congestion control (in use or not in use), the above parameters can be restricted by reusing the same mechanism as in LTE</w:t>
            </w:r>
          </w:p>
          <w:p w14:paraId="2A185192" w14:textId="77777777" w:rsidR="00B63705" w:rsidRPr="00B11108" w:rsidRDefault="00B63705" w:rsidP="008C200C">
            <w:pPr>
              <w:numPr>
                <w:ilvl w:val="1"/>
                <w:numId w:val="12"/>
              </w:numPr>
              <w:rPr>
                <w:szCs w:val="20"/>
              </w:rPr>
            </w:pPr>
            <w:r w:rsidRPr="00B11108">
              <w:rPr>
                <w:szCs w:val="20"/>
              </w:rPr>
              <w:t>For speed, further discussion on absolute vs. relative speed</w:t>
            </w:r>
          </w:p>
          <w:p w14:paraId="01FE2316"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 xml:space="preserve">FFS other parameter(s) that can be restricted </w:t>
            </w:r>
          </w:p>
          <w:p w14:paraId="0D94BCB1" w14:textId="77777777"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FFS whether or not to tie the speed with a UE capability</w:t>
            </w:r>
          </w:p>
          <w:p w14:paraId="1E178089" w14:textId="77777777" w:rsidR="00B63705" w:rsidRPr="00B11108" w:rsidRDefault="00B63705" w:rsidP="00B71C41"/>
        </w:tc>
      </w:tr>
    </w:tbl>
    <w:p w14:paraId="62BB0512"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94A5833" w14:textId="77777777" w:rsidTr="00B71C41">
        <w:trPr>
          <w:cantSplit/>
        </w:trPr>
        <w:tc>
          <w:tcPr>
            <w:tcW w:w="9026" w:type="dxa"/>
            <w:shd w:val="clear" w:color="auto" w:fill="auto"/>
          </w:tcPr>
          <w:p w14:paraId="3BBE5EBA"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1144E196" w14:textId="77777777" w:rsidR="00B63705" w:rsidRPr="00B11108" w:rsidRDefault="00B63705" w:rsidP="00B71C41">
            <w:pPr>
              <w:rPr>
                <w:szCs w:val="20"/>
              </w:rPr>
            </w:pPr>
            <w:r w:rsidRPr="00B11108">
              <w:rPr>
                <w:szCs w:val="20"/>
              </w:rPr>
              <w:t>Lookup table links CBR range with values of the transmission parameters and CR</w:t>
            </w:r>
            <w:r w:rsidRPr="00B11108">
              <w:rPr>
                <w:szCs w:val="20"/>
                <w:vertAlign w:val="subscript"/>
              </w:rPr>
              <w:t>limit</w:t>
            </w:r>
            <w:r w:rsidRPr="00B11108">
              <w:rPr>
                <w:szCs w:val="20"/>
              </w:rPr>
              <w:t xml:space="preserve"> for each value of the indication of a priority of a sidelink transmission carried by SCI payload (as per WA from RAN1#98), Lookup table is (pre)configured. Details up to RAN2. </w:t>
            </w:r>
          </w:p>
          <w:p w14:paraId="1A8EED12" w14:textId="77777777" w:rsidR="00B63705" w:rsidRPr="00B11108" w:rsidRDefault="00B63705" w:rsidP="008C200C">
            <w:pPr>
              <w:numPr>
                <w:ilvl w:val="0"/>
                <w:numId w:val="13"/>
              </w:numPr>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14:paraId="78297A24" w14:textId="77777777" w:rsidR="00B63705" w:rsidRPr="00B11108" w:rsidRDefault="00B63705" w:rsidP="008C200C">
            <w:pPr>
              <w:numPr>
                <w:ilvl w:val="1"/>
                <w:numId w:val="13"/>
              </w:numPr>
              <w:rPr>
                <w:rFonts w:ascii="Calibri" w:eastAsia="Calibri" w:hAnsi="Calibri"/>
                <w:szCs w:val="20"/>
              </w:rPr>
            </w:pPr>
            <w:r w:rsidRPr="00B11108">
              <w:rPr>
                <w:rFonts w:ascii="Calibri" w:eastAsia="Calibri" w:hAnsi="Calibri"/>
                <w:szCs w:val="20"/>
              </w:rPr>
              <w:t>The working assumption will be automatically confirmed in RAN1#99 if no further input</w:t>
            </w:r>
          </w:p>
          <w:p w14:paraId="6A3FB687" w14:textId="77777777" w:rsidR="00B63705" w:rsidRPr="00B11108" w:rsidRDefault="00B63705" w:rsidP="00B71C41"/>
        </w:tc>
      </w:tr>
      <w:tr w:rsidR="00B63705" w:rsidRPr="00B11108" w14:paraId="1283BD1E" w14:textId="77777777" w:rsidTr="00B71C41">
        <w:trPr>
          <w:cantSplit/>
        </w:trPr>
        <w:tc>
          <w:tcPr>
            <w:tcW w:w="9026" w:type="dxa"/>
            <w:shd w:val="clear" w:color="auto" w:fill="auto"/>
          </w:tcPr>
          <w:p w14:paraId="2426595F" w14:textId="77777777" w:rsidR="00B63705" w:rsidRPr="00B11108" w:rsidRDefault="00B63705" w:rsidP="00B71C41">
            <w:pPr>
              <w:rPr>
                <w:szCs w:val="20"/>
              </w:rPr>
            </w:pPr>
            <w:r w:rsidRPr="00B11108">
              <w:rPr>
                <w:szCs w:val="20"/>
                <w:highlight w:val="green"/>
              </w:rPr>
              <w:t>Agreements</w:t>
            </w:r>
            <w:r w:rsidRPr="00B11108">
              <w:rPr>
                <w:szCs w:val="20"/>
              </w:rPr>
              <w:t>:</w:t>
            </w:r>
          </w:p>
          <w:p w14:paraId="6E3F57DE" w14:textId="77777777" w:rsidR="00B63705" w:rsidRPr="00B11108" w:rsidRDefault="00B63705" w:rsidP="008C200C">
            <w:pPr>
              <w:numPr>
                <w:ilvl w:val="0"/>
                <w:numId w:val="14"/>
              </w:numPr>
              <w:rPr>
                <w:bCs/>
                <w:szCs w:val="20"/>
              </w:rPr>
            </w:pPr>
            <w:r w:rsidRPr="00B11108">
              <w:rPr>
                <w:bCs/>
                <w:szCs w:val="20"/>
              </w:rPr>
              <w:t>Sidelink RSSI (SL-RSSI) measurement is used for CBR estimation</w:t>
            </w:r>
          </w:p>
          <w:p w14:paraId="0F1ACEFF" w14:textId="77777777" w:rsidR="00B63705" w:rsidRPr="00B11108" w:rsidRDefault="00B63705" w:rsidP="00B71C41"/>
        </w:tc>
      </w:tr>
    </w:tbl>
    <w:p w14:paraId="62FAEF61" w14:textId="77777777" w:rsidR="00B63705" w:rsidRPr="00B11108" w:rsidRDefault="00B63705" w:rsidP="00B63705"/>
    <w:p w14:paraId="4FBE41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69B54E7" w14:textId="77777777" w:rsidTr="00B71C41">
        <w:trPr>
          <w:cantSplit/>
        </w:trPr>
        <w:tc>
          <w:tcPr>
            <w:tcW w:w="9026" w:type="dxa"/>
            <w:shd w:val="clear" w:color="auto" w:fill="auto"/>
          </w:tcPr>
          <w:p w14:paraId="50D11C0E" w14:textId="77777777" w:rsidR="00B63705" w:rsidRPr="00B11108" w:rsidRDefault="00B63705" w:rsidP="00B71C41">
            <w:pPr>
              <w:rPr>
                <w:szCs w:val="20"/>
              </w:rPr>
            </w:pPr>
            <w:r w:rsidRPr="00B11108">
              <w:rPr>
                <w:szCs w:val="20"/>
                <w:highlight w:val="green"/>
              </w:rPr>
              <w:t>Agreements</w:t>
            </w:r>
            <w:r w:rsidRPr="00B11108">
              <w:rPr>
                <w:szCs w:val="20"/>
              </w:rPr>
              <w:t>:</w:t>
            </w:r>
          </w:p>
          <w:p w14:paraId="012E2A9E" w14:textId="77777777"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14:paraId="6325A798" w14:textId="77777777" w:rsidR="00B63705" w:rsidRPr="00B11108" w:rsidRDefault="00B63705" w:rsidP="00B71C41"/>
        </w:tc>
      </w:tr>
    </w:tbl>
    <w:p w14:paraId="0014E954"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D527CBA" w14:textId="77777777" w:rsidTr="00B71C41">
        <w:trPr>
          <w:cantSplit/>
        </w:trPr>
        <w:tc>
          <w:tcPr>
            <w:tcW w:w="9026" w:type="dxa"/>
            <w:shd w:val="clear" w:color="auto" w:fill="auto"/>
          </w:tcPr>
          <w:p w14:paraId="3D47F2F7" w14:textId="77777777" w:rsidR="00B63705" w:rsidRPr="00B11108" w:rsidRDefault="00B63705" w:rsidP="00B71C41">
            <w:pPr>
              <w:rPr>
                <w:bCs/>
                <w:szCs w:val="20"/>
                <w:highlight w:val="green"/>
              </w:rPr>
            </w:pPr>
            <w:r w:rsidRPr="00B11108">
              <w:rPr>
                <w:bCs/>
                <w:szCs w:val="20"/>
                <w:highlight w:val="green"/>
              </w:rPr>
              <w:t>Agreements:</w:t>
            </w:r>
          </w:p>
          <w:p w14:paraId="0C40B119" w14:textId="77777777" w:rsidR="00B63705" w:rsidRPr="00B11108" w:rsidRDefault="00B63705" w:rsidP="00B71C41">
            <w:pPr>
              <w:rPr>
                <w:bCs/>
                <w:szCs w:val="20"/>
              </w:rPr>
            </w:pPr>
            <w:r w:rsidRPr="00B11108">
              <w:rPr>
                <w:bCs/>
                <w:szCs w:val="20"/>
              </w:rPr>
              <w:t>The CBR measurement time window size is 100 ms and 100 slots by (pre-)configuration.</w:t>
            </w:r>
          </w:p>
          <w:p w14:paraId="28D6B226" w14:textId="77777777" w:rsidR="00B63705" w:rsidRPr="00B11108" w:rsidRDefault="00B63705" w:rsidP="00B71C41">
            <w:pPr>
              <w:rPr>
                <w:bCs/>
                <w:szCs w:val="20"/>
              </w:rPr>
            </w:pPr>
            <w:r w:rsidRPr="00B11108">
              <w:rPr>
                <w:bCs/>
                <w:szCs w:val="20"/>
              </w:rPr>
              <w:t>CR window size is { 1000 ms, 1000 slots } by (pre)-configuration</w:t>
            </w:r>
          </w:p>
          <w:p w14:paraId="4F7D19C5" w14:textId="77777777" w:rsidR="00B63705" w:rsidRPr="00B11108" w:rsidRDefault="00B63705" w:rsidP="00B71C41"/>
        </w:tc>
      </w:tr>
    </w:tbl>
    <w:p w14:paraId="30879D19" w14:textId="77777777" w:rsidR="00B63705" w:rsidRPr="00B11108" w:rsidRDefault="00B63705" w:rsidP="00B63705">
      <w:pPr>
        <w:tabs>
          <w:tab w:val="num" w:pos="708"/>
        </w:tabs>
        <w:spacing w:after="120"/>
      </w:pPr>
    </w:p>
    <w:p w14:paraId="5DA2A464" w14:textId="77777777"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4B6BCC67" w14:textId="77777777" w:rsidTr="00B71C41">
        <w:trPr>
          <w:cantSplit/>
        </w:trPr>
        <w:tc>
          <w:tcPr>
            <w:tcW w:w="9026" w:type="dxa"/>
            <w:shd w:val="clear" w:color="auto" w:fill="auto"/>
          </w:tcPr>
          <w:p w14:paraId="43898823"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0E389191" w14:textId="77777777" w:rsidR="00B63705" w:rsidRPr="00B11108" w:rsidRDefault="00B63705" w:rsidP="008C200C">
            <w:pPr>
              <w:numPr>
                <w:ilvl w:val="0"/>
                <w:numId w:val="18"/>
              </w:numPr>
              <w:rPr>
                <w:rFonts w:ascii="Calibri" w:eastAsia="Times New Roman" w:hAnsi="Calibri" w:cs="Calibri"/>
                <w:color w:val="000000"/>
              </w:rPr>
            </w:pPr>
            <w:r w:rsidRPr="00B11108">
              <w:rPr>
                <w:rFonts w:ascii="Calibri" w:eastAsia="Times New Roman" w:hAnsi="Calibri" w:cs="Calibri"/>
                <w:color w:val="000000"/>
              </w:rPr>
              <w:t xml:space="preserve">The future segment of the CR evaluation window reuses the same </w:t>
            </w:r>
            <w:proofErr w:type="spellStart"/>
            <w:r w:rsidRPr="00B11108">
              <w:rPr>
                <w:rFonts w:ascii="Calibri" w:eastAsia="Times New Roman" w:hAnsi="Calibri" w:cs="Calibri"/>
                <w:color w:val="000000"/>
              </w:rPr>
              <w:t>behaviour</w:t>
            </w:r>
            <w:proofErr w:type="spellEnd"/>
            <w:r w:rsidRPr="00B11108">
              <w:rPr>
                <w:rFonts w:ascii="Calibri" w:eastAsia="Times New Roman" w:hAnsi="Calibri" w:cs="Calibri"/>
                <w:color w:val="000000"/>
              </w:rPr>
              <w:t xml:space="preserve"> as in the LTE V2X sidelink.</w:t>
            </w:r>
          </w:p>
          <w:p w14:paraId="2B351BE7" w14:textId="77777777" w:rsidR="00B63705" w:rsidRPr="00B11108" w:rsidRDefault="00B63705" w:rsidP="008C200C">
            <w:pPr>
              <w:numPr>
                <w:ilvl w:val="1"/>
                <w:numId w:val="18"/>
              </w:numPr>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14:paraId="2F7C378C" w14:textId="77777777" w:rsidR="00B63705" w:rsidRPr="00B11108" w:rsidRDefault="00B63705" w:rsidP="00B71C41"/>
        </w:tc>
      </w:tr>
      <w:tr w:rsidR="00B63705" w14:paraId="5290004C" w14:textId="77777777" w:rsidTr="00B71C41">
        <w:trPr>
          <w:cantSplit/>
        </w:trPr>
        <w:tc>
          <w:tcPr>
            <w:tcW w:w="9026" w:type="dxa"/>
            <w:shd w:val="clear" w:color="auto" w:fill="auto"/>
          </w:tcPr>
          <w:p w14:paraId="018D5D65" w14:textId="77777777" w:rsidR="00B63705" w:rsidRPr="007B5753" w:rsidRDefault="00B63705" w:rsidP="00B71C41">
            <w:pPr>
              <w:rPr>
                <w:szCs w:val="20"/>
              </w:rPr>
            </w:pPr>
            <w:r w:rsidRPr="007B5753">
              <w:rPr>
                <w:szCs w:val="20"/>
                <w:highlight w:val="green"/>
              </w:rPr>
              <w:lastRenderedPageBreak/>
              <w:t>Agreement</w:t>
            </w:r>
            <w:r w:rsidRPr="007B5753">
              <w:rPr>
                <w:szCs w:val="20"/>
              </w:rPr>
              <w:t xml:space="preserve">: </w:t>
            </w:r>
          </w:p>
          <w:p w14:paraId="2744943B" w14:textId="77777777" w:rsidR="00B63705" w:rsidRPr="007B5753" w:rsidRDefault="00B63705" w:rsidP="00B71C41">
            <w:pPr>
              <w:rPr>
                <w:szCs w:val="20"/>
              </w:rPr>
            </w:pPr>
            <w:r w:rsidRPr="007B5753">
              <w:rPr>
                <w:szCs w:val="20"/>
              </w:rPr>
              <w:t>For the constraints on past/future window in CR evaluation:</w:t>
            </w:r>
          </w:p>
          <w:p w14:paraId="0CF7592E" w14:textId="77777777" w:rsidR="00B63705" w:rsidRPr="007B5753" w:rsidRDefault="00B63705" w:rsidP="008C200C">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rPr>
              <w:t>n+b</w:t>
            </w:r>
            <w:proofErr w:type="spellEnd"/>
            <w:r w:rsidRPr="007B5753">
              <w:rPr>
                <w:rFonts w:ascii="Times New Roman" w:hAnsi="Times New Roman"/>
                <w:szCs w:val="20"/>
              </w:rPr>
              <w:t xml:space="preserve"> shall not exceed the last transmission opportunity of the grant for the current transmission </w:t>
            </w:r>
          </w:p>
          <w:p w14:paraId="0824EC1B"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&gt;= 0</w:t>
            </w:r>
          </w:p>
          <w:p w14:paraId="0B826DFD" w14:textId="77777777"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&lt; (a+b+1)/2</w:t>
            </w:r>
          </w:p>
          <w:p w14:paraId="25C23826" w14:textId="77777777" w:rsidR="00B63705" w:rsidRPr="007B5753" w:rsidRDefault="00B63705" w:rsidP="00B71C41">
            <w:pPr>
              <w:rPr>
                <w:szCs w:val="20"/>
              </w:rPr>
            </w:pPr>
            <w:r w:rsidRPr="007B5753">
              <w:rPr>
                <w:rFonts w:eastAsia="SimSun"/>
                <w:szCs w:val="20"/>
              </w:rPr>
              <w:t> </w:t>
            </w:r>
            <w:r w:rsidRPr="007B5753">
              <w:rPr>
                <w:szCs w:val="20"/>
              </w:rPr>
              <w:t>Notes:</w:t>
            </w:r>
          </w:p>
          <w:p w14:paraId="26F0D299" w14:textId="77777777"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rPr>
              <w:t>in the first bullet point above, LTE’s “should” has been replaced by “shall”</w:t>
            </w:r>
          </w:p>
          <w:p w14:paraId="7FCC1008" w14:textId="77777777" w:rsidR="00B63705" w:rsidRDefault="00B63705" w:rsidP="00B71C41"/>
        </w:tc>
      </w:tr>
    </w:tbl>
    <w:p w14:paraId="79684FBA"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0CE1D867" w14:textId="77777777" w:rsidTr="00B71C41">
        <w:trPr>
          <w:cantSplit/>
        </w:trPr>
        <w:tc>
          <w:tcPr>
            <w:tcW w:w="9026" w:type="dxa"/>
            <w:shd w:val="clear" w:color="auto" w:fill="auto"/>
          </w:tcPr>
          <w:p w14:paraId="31C796E5" w14:textId="77777777" w:rsidR="00B63705" w:rsidRDefault="00B63705" w:rsidP="00B71C41">
            <w:r>
              <w:rPr>
                <w:highlight w:val="green"/>
              </w:rPr>
              <w:t>Agreement:</w:t>
            </w:r>
          </w:p>
          <w:p w14:paraId="50F4A0A3" w14:textId="77777777" w:rsidR="00B63705" w:rsidRDefault="00B63705" w:rsidP="008C200C">
            <w:pPr>
              <w:numPr>
                <w:ilvl w:val="0"/>
                <w:numId w:val="21"/>
              </w:numPr>
              <w:rPr>
                <w:rFonts w:eastAsia="Times New Roman"/>
              </w:rPr>
            </w:pPr>
            <w:r>
              <w:rPr>
                <w:rFonts w:eastAsia="Times New Roman"/>
              </w:rPr>
              <w:t xml:space="preserve">UE evaluates CR and applies </w:t>
            </w:r>
            <w:proofErr w:type="spellStart"/>
            <w:r>
              <w:rPr>
                <w:rFonts w:eastAsia="Times New Roman"/>
              </w:rPr>
              <w:t>CR_limit</w:t>
            </w:r>
            <w:proofErr w:type="spellEnd"/>
            <w:r>
              <w:rPr>
                <w:rFonts w:eastAsia="Times New Roman"/>
              </w:rPr>
              <w:t xml:space="preserve"> for every (re)transmission.</w:t>
            </w:r>
          </w:p>
          <w:p w14:paraId="53C37810" w14:textId="77777777" w:rsidR="00B63705" w:rsidRDefault="00B63705" w:rsidP="00B71C41"/>
        </w:tc>
      </w:tr>
    </w:tbl>
    <w:p w14:paraId="4F37B20C"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2D8720C5" w14:textId="77777777" w:rsidTr="00B71C41">
        <w:trPr>
          <w:cantSplit/>
        </w:trPr>
        <w:tc>
          <w:tcPr>
            <w:tcW w:w="9026" w:type="dxa"/>
            <w:shd w:val="clear" w:color="auto" w:fill="auto"/>
          </w:tcPr>
          <w:p w14:paraId="26B64CE7" w14:textId="77777777" w:rsidR="00B63705" w:rsidRPr="007A7509" w:rsidRDefault="00B63705" w:rsidP="00B71C41">
            <w:r w:rsidRPr="007A7509">
              <w:rPr>
                <w:highlight w:val="green"/>
              </w:rPr>
              <w:t>Agreement:</w:t>
            </w:r>
            <w:r w:rsidRPr="007A7509">
              <w:t xml:space="preserve"> </w:t>
            </w:r>
          </w:p>
          <w:p w14:paraId="3AB10BE4" w14:textId="77777777" w:rsidR="00B63705" w:rsidRPr="007A7509" w:rsidRDefault="00B63705" w:rsidP="008C200C">
            <w:pPr>
              <w:numPr>
                <w:ilvl w:val="0"/>
                <w:numId w:val="22"/>
              </w:numPr>
            </w:pPr>
            <w:r w:rsidRPr="007A7509">
              <w:t>The CBR processing time is given by UE capability according to the following table</w:t>
            </w:r>
          </w:p>
          <w:p w14:paraId="3521F8BB"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3BBB264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FDBAC"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59AB4919"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1B20286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6A658F77"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92FD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C6E0D9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50C780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789BAD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DA9C9"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9A770E4"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7A2B1BE"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7B5099F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18467"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5D1230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339CBE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207FC16A"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F56E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59266C9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220699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602BC723" w14:textId="77777777" w:rsidR="00B63705" w:rsidRPr="007A7509" w:rsidRDefault="00B63705" w:rsidP="00B71C41">
            <w:pPr>
              <w:rPr>
                <w:rFonts w:ascii="Calibri" w:hAnsi="Calibri" w:cs="Calibri"/>
              </w:rPr>
            </w:pPr>
          </w:p>
          <w:p w14:paraId="0A837C6F" w14:textId="77777777" w:rsidR="00B63705" w:rsidRPr="007A7509" w:rsidRDefault="00B63705" w:rsidP="008C200C">
            <w:pPr>
              <w:numPr>
                <w:ilvl w:val="0"/>
                <w:numId w:val="23"/>
              </w:numPr>
            </w:pPr>
            <w:r w:rsidRPr="007A7509">
              <w:t>A UE shall only apply a single CBR/CR processing time capability in SL.</w:t>
            </w:r>
          </w:p>
          <w:p w14:paraId="71496552" w14:textId="77777777" w:rsidR="00B63705" w:rsidRPr="007A7509" w:rsidRDefault="00B63705" w:rsidP="008C200C">
            <w:pPr>
              <w:numPr>
                <w:ilvl w:val="0"/>
                <w:numId w:val="23"/>
              </w:numPr>
            </w:pPr>
            <w:r w:rsidRPr="007A7509">
              <w:t>CR processing time is the same as CBR processing time.</w:t>
            </w:r>
          </w:p>
          <w:p w14:paraId="27C0E111" w14:textId="77777777" w:rsidR="00B63705" w:rsidRPr="007A7509" w:rsidRDefault="00B63705" w:rsidP="00B71C41"/>
        </w:tc>
      </w:tr>
    </w:tbl>
    <w:p w14:paraId="3400E601"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66608C35" w14:textId="77777777" w:rsidTr="00B71C41">
        <w:trPr>
          <w:cantSplit/>
        </w:trPr>
        <w:tc>
          <w:tcPr>
            <w:tcW w:w="9026" w:type="dxa"/>
            <w:shd w:val="clear" w:color="auto" w:fill="auto"/>
          </w:tcPr>
          <w:p w14:paraId="2184964C" w14:textId="77777777" w:rsidR="00B63705" w:rsidRPr="006B30E0" w:rsidRDefault="00B63705" w:rsidP="00B71C41">
            <w:r w:rsidRPr="006B30E0">
              <w:rPr>
                <w:highlight w:val="green"/>
              </w:rPr>
              <w:lastRenderedPageBreak/>
              <w:t>Agreement:</w:t>
            </w:r>
          </w:p>
          <w:p w14:paraId="7686A498" w14:textId="77777777" w:rsidR="00B63705" w:rsidRPr="006B30E0" w:rsidRDefault="00B63705" w:rsidP="008C200C">
            <w:pPr>
              <w:pStyle w:val="ListParagraph"/>
              <w:numPr>
                <w:ilvl w:val="0"/>
                <w:numId w:val="24"/>
              </w:numPr>
              <w:ind w:left="1240"/>
            </w:pPr>
            <w:r w:rsidRPr="006B30E0">
              <w:t>The slot index in the definition of CBR is the physical slot index.</w:t>
            </w:r>
          </w:p>
          <w:p w14:paraId="266543E5" w14:textId="77777777" w:rsidR="00B63705" w:rsidRPr="006B30E0" w:rsidRDefault="00B63705" w:rsidP="00B71C41">
            <w:pPr>
              <w:rPr>
                <w:highlight w:val="green"/>
              </w:rPr>
            </w:pPr>
          </w:p>
          <w:p w14:paraId="15EA7898" w14:textId="77777777" w:rsidR="00B63705" w:rsidRPr="006B30E0" w:rsidRDefault="00B63705" w:rsidP="00B71C41">
            <w:bookmarkStart w:id="14" w:name="_Hlk34325238"/>
            <w:r w:rsidRPr="006B30E0">
              <w:rPr>
                <w:highlight w:val="green"/>
              </w:rPr>
              <w:t>Agreement:</w:t>
            </w:r>
          </w:p>
          <w:p w14:paraId="5F210EDF" w14:textId="77777777" w:rsidR="00B63705" w:rsidRPr="006B30E0" w:rsidRDefault="00B63705" w:rsidP="008C200C">
            <w:pPr>
              <w:pStyle w:val="ListParagraph"/>
              <w:numPr>
                <w:ilvl w:val="0"/>
                <w:numId w:val="24"/>
              </w:numPr>
              <w:ind w:left="1240"/>
            </w:pPr>
            <w:r w:rsidRPr="006B30E0">
              <w:t>The slot index in the definition of CR is the physical slot index.</w:t>
            </w:r>
            <w:bookmarkEnd w:id="14"/>
          </w:p>
          <w:p w14:paraId="12446EEF" w14:textId="77777777" w:rsidR="00B63705" w:rsidRDefault="00B63705" w:rsidP="00B71C41"/>
        </w:tc>
      </w:tr>
    </w:tbl>
    <w:p w14:paraId="20EFAEBD" w14:textId="77777777"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434C30EE" w14:textId="77777777" w:rsidTr="0074127E">
        <w:trPr>
          <w:cantSplit/>
        </w:trPr>
        <w:tc>
          <w:tcPr>
            <w:tcW w:w="9026" w:type="dxa"/>
            <w:shd w:val="clear" w:color="auto" w:fill="auto"/>
          </w:tcPr>
          <w:p w14:paraId="260F4834" w14:textId="77777777" w:rsidR="00B74041" w:rsidRPr="00AB65D5" w:rsidRDefault="00B74041" w:rsidP="0074127E">
            <w:pPr>
              <w:rPr>
                <w:rFonts w:ascii="Calibri" w:hAnsi="Calibri"/>
                <w:b/>
                <w:bCs/>
                <w:u w:val="single"/>
              </w:rPr>
            </w:pPr>
            <w:r w:rsidRPr="00AB65D5">
              <w:rPr>
                <w:rFonts w:ascii="Calibri" w:hAnsi="Calibri"/>
                <w:b/>
                <w:bCs/>
                <w:u w:val="single"/>
              </w:rPr>
              <w:t>Conclusion:</w:t>
            </w:r>
          </w:p>
          <w:p w14:paraId="3351A791" w14:textId="77777777" w:rsidR="00B74041" w:rsidRDefault="00B74041" w:rsidP="008C200C">
            <w:pPr>
              <w:pStyle w:val="ListParagraph"/>
              <w:numPr>
                <w:ilvl w:val="0"/>
                <w:numId w:val="27"/>
              </w:numPr>
            </w:pPr>
            <w:r>
              <w:t>Future granted resources which have been released due to HARQ feedback are not counted in the evaluation of CR</w:t>
            </w:r>
          </w:p>
          <w:p w14:paraId="5E9633C0" w14:textId="77777777" w:rsidR="00B74041" w:rsidRDefault="00B74041" w:rsidP="0074127E"/>
        </w:tc>
      </w:tr>
    </w:tbl>
    <w:p w14:paraId="5CFDEEAE"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14:paraId="2FF4A3E3" w14:textId="77777777" w:rsidTr="0074127E">
        <w:trPr>
          <w:cantSplit/>
        </w:trPr>
        <w:tc>
          <w:tcPr>
            <w:tcW w:w="9026" w:type="dxa"/>
            <w:shd w:val="clear" w:color="auto" w:fill="auto"/>
          </w:tcPr>
          <w:p w14:paraId="14BA6959" w14:textId="77777777" w:rsidR="00B74041" w:rsidRPr="00AB65D5" w:rsidRDefault="00B74041" w:rsidP="0074127E">
            <w:pPr>
              <w:rPr>
                <w:rFonts w:ascii="Calibri" w:hAnsi="Calibri"/>
                <w:highlight w:val="green"/>
              </w:rPr>
            </w:pPr>
            <w:r w:rsidRPr="00AB65D5">
              <w:rPr>
                <w:rFonts w:ascii="Calibri" w:hAnsi="Calibri"/>
                <w:highlight w:val="green"/>
              </w:rPr>
              <w:t>Agreements:</w:t>
            </w:r>
          </w:p>
          <w:p w14:paraId="4E683088" w14:textId="77777777" w:rsidR="00B74041" w:rsidRDefault="00B74041" w:rsidP="008C200C">
            <w:pPr>
              <w:pStyle w:val="ListParagraph"/>
              <w:numPr>
                <w:ilvl w:val="0"/>
                <w:numId w:val="27"/>
              </w:numPr>
            </w:pPr>
            <w:r>
              <w:t>Endorse the TP to clarify the meaning of “granted” in TS 38.215</w:t>
            </w:r>
          </w:p>
          <w:p w14:paraId="0E1AA9E6" w14:textId="77777777" w:rsidR="00B74041" w:rsidRDefault="00B74041" w:rsidP="0074127E"/>
        </w:tc>
      </w:tr>
    </w:tbl>
    <w:p w14:paraId="5740124E" w14:textId="77777777"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14:paraId="2C5E81F6" w14:textId="77777777" w:rsidTr="0074127E">
        <w:trPr>
          <w:cantSplit/>
        </w:trPr>
        <w:tc>
          <w:tcPr>
            <w:tcW w:w="9026" w:type="dxa"/>
            <w:shd w:val="clear" w:color="auto" w:fill="auto"/>
          </w:tcPr>
          <w:p w14:paraId="500B282E" w14:textId="77777777" w:rsidR="000D7AD1" w:rsidRPr="00E4496F" w:rsidRDefault="000D7AD1" w:rsidP="0074127E">
            <w:pPr>
              <w:rPr>
                <w:rFonts w:ascii="Calibri" w:eastAsia="DengXian" w:hAnsi="Calibri"/>
              </w:rPr>
            </w:pPr>
            <w:r w:rsidRPr="00E4496F">
              <w:rPr>
                <w:rFonts w:ascii="Calibri" w:eastAsia="DengXian" w:hAnsi="Calibri"/>
                <w:highlight w:val="green"/>
              </w:rPr>
              <w:t>Agreements:</w:t>
            </w:r>
          </w:p>
          <w:p w14:paraId="5711517D" w14:textId="77777777" w:rsidR="000D7AD1" w:rsidRPr="00E4496F" w:rsidRDefault="000D7AD1" w:rsidP="008C200C">
            <w:pPr>
              <w:pStyle w:val="ListParagraph"/>
              <w:numPr>
                <w:ilvl w:val="0"/>
                <w:numId w:val="28"/>
              </w:numPr>
              <w:spacing w:before="150" w:after="150"/>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14:paraId="4E700E03" w14:textId="77777777" w:rsidR="000D7AD1" w:rsidRPr="00E4496F" w:rsidRDefault="000D7AD1" w:rsidP="008C200C">
            <w:pPr>
              <w:pStyle w:val="ListParagraph"/>
              <w:numPr>
                <w:ilvl w:val="0"/>
                <w:numId w:val="28"/>
              </w:numPr>
              <w:spacing w:before="150" w:after="150"/>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14:paraId="3BD66E9E" w14:textId="77777777" w:rsidR="000D7AD1" w:rsidRDefault="000D7AD1" w:rsidP="0074127E"/>
        </w:tc>
      </w:tr>
    </w:tbl>
    <w:p w14:paraId="40AC76AF" w14:textId="77777777" w:rsidR="000D7AD1" w:rsidRPr="000D7AD1" w:rsidRDefault="000D7AD1" w:rsidP="00B63705">
      <w:pPr>
        <w:tabs>
          <w:tab w:val="num" w:pos="708"/>
        </w:tabs>
        <w:spacing w:after="120"/>
      </w:pPr>
    </w:p>
    <w:p w14:paraId="3351F9E2"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5" w:name="_Toc37801454"/>
      <w:r w:rsidRPr="00B11108">
        <w:rPr>
          <w:rFonts w:ascii="Arial" w:eastAsia="Times New Roman" w:hAnsi="Arial" w:cs="Arial"/>
          <w:sz w:val="28"/>
          <w:szCs w:val="28"/>
          <w:lang w:eastAsia="en-GB"/>
        </w:rPr>
        <w:t>TX Parameter Restrictions</w:t>
      </w:r>
      <w:bookmarkEnd w:id="15"/>
    </w:p>
    <w:p w14:paraId="6AEC1290"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F418837" w14:textId="77777777" w:rsidTr="00B71C41">
        <w:trPr>
          <w:cantSplit/>
        </w:trPr>
        <w:tc>
          <w:tcPr>
            <w:tcW w:w="9026" w:type="dxa"/>
            <w:shd w:val="clear" w:color="auto" w:fill="auto"/>
          </w:tcPr>
          <w:p w14:paraId="7D9118BE"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426F29BC" w14:textId="77777777" w:rsidR="00B63705" w:rsidRPr="00B11108" w:rsidRDefault="00B63705" w:rsidP="008C200C">
            <w:pPr>
              <w:numPr>
                <w:ilvl w:val="0"/>
                <w:numId w:val="17"/>
              </w:numPr>
              <w:spacing w:before="100" w:beforeAutospacing="1" w:after="100" w:afterAutospacing="1"/>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14:paraId="3DA0DCC0" w14:textId="77777777" w:rsidR="00B63705" w:rsidRPr="00B11108" w:rsidRDefault="00B63705" w:rsidP="00B71C41"/>
        </w:tc>
      </w:tr>
    </w:tbl>
    <w:p w14:paraId="70139758" w14:textId="77777777"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602F2DA1" w14:textId="77777777" w:rsidTr="00B71C41">
        <w:trPr>
          <w:cantSplit/>
        </w:trPr>
        <w:tc>
          <w:tcPr>
            <w:tcW w:w="9026" w:type="dxa"/>
            <w:shd w:val="clear" w:color="auto" w:fill="auto"/>
          </w:tcPr>
          <w:p w14:paraId="3AA2045A" w14:textId="77777777" w:rsidR="00591FBF" w:rsidRPr="00D94474" w:rsidRDefault="00591FBF" w:rsidP="00B71C41">
            <w:pPr>
              <w:rPr>
                <w:highlight w:val="green"/>
              </w:rPr>
            </w:pPr>
            <w:r w:rsidRPr="00D94474">
              <w:rPr>
                <w:rFonts w:ascii="Calibri" w:hAnsi="Calibri" w:cs="Calibri"/>
                <w:highlight w:val="green"/>
              </w:rPr>
              <w:lastRenderedPageBreak/>
              <w:t>Agreement:</w:t>
            </w:r>
          </w:p>
          <w:p w14:paraId="748DD46C" w14:textId="77777777" w:rsidR="00591FBF" w:rsidRDefault="00591FBF" w:rsidP="008C200C">
            <w:pPr>
              <w:numPr>
                <w:ilvl w:val="0"/>
                <w:numId w:val="26"/>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01B2A60" w14:textId="77777777"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2D355129" w14:textId="77777777"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number of sub-channels</w:t>
            </w:r>
          </w:p>
          <w:p w14:paraId="717752C8" w14:textId="77777777"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Upper bound of number of (re)transmissions</w:t>
            </w:r>
          </w:p>
          <w:p w14:paraId="09AFB66D"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34F61923" w14:textId="77777777" w:rsidR="00591FBF" w:rsidRDefault="00591FBF" w:rsidP="00B71C41"/>
        </w:tc>
      </w:tr>
    </w:tbl>
    <w:p w14:paraId="0CF65222" w14:textId="77777777" w:rsidR="00591FBF" w:rsidRDefault="00591FBF" w:rsidP="00B63705">
      <w:pPr>
        <w:tabs>
          <w:tab w:val="num" w:pos="708"/>
        </w:tabs>
        <w:spacing w:after="120"/>
      </w:pPr>
    </w:p>
    <w:p w14:paraId="60B99141" w14:textId="77777777" w:rsidR="00591FBF" w:rsidRPr="00B11108" w:rsidRDefault="00591FBF" w:rsidP="00B63705">
      <w:pPr>
        <w:tabs>
          <w:tab w:val="num" w:pos="708"/>
        </w:tabs>
        <w:spacing w:after="120"/>
      </w:pPr>
    </w:p>
    <w:p w14:paraId="4A065F93" w14:textId="77777777" w:rsidR="00B63705" w:rsidRDefault="00B63705" w:rsidP="00AD2A49">
      <w:pPr>
        <w:tabs>
          <w:tab w:val="num" w:pos="708"/>
        </w:tabs>
        <w:spacing w:after="120"/>
      </w:pPr>
    </w:p>
    <w:p w14:paraId="718D78FE"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6" w:name="_Toc37801455"/>
      <w:r w:rsidRPr="00AF786C">
        <w:rPr>
          <w:rFonts w:ascii="Arial" w:hAnsi="Arial"/>
          <w:sz w:val="36"/>
          <w:szCs w:val="36"/>
        </w:rPr>
        <w:t>Appendix: Contributions used as basis for the summary</w:t>
      </w:r>
      <w:bookmarkEnd w:id="16"/>
    </w:p>
    <w:p w14:paraId="5B67AC5F" w14:textId="77777777"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650"/>
      </w:tblGrid>
      <w:tr w:rsidR="001A7C90" w:rsidRPr="001A7C90" w14:paraId="0CF5FFB2"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34C9B58" w14:textId="77777777" w:rsidR="001A7C90" w:rsidRPr="001A7C90" w:rsidRDefault="002A1BAA" w:rsidP="001A7C90">
            <w:pPr>
              <w:rPr>
                <w:rFonts w:eastAsia="Times New Roman"/>
                <w:lang w:eastAsia="en-GB"/>
              </w:rPr>
            </w:pPr>
            <w:hyperlink r:id="rId8" w:history="1">
              <w:r w:rsidR="001A7C90" w:rsidRPr="001A7C90">
                <w:rPr>
                  <w:rFonts w:eastAsia="Times New Roman"/>
                  <w:color w:val="0000FF"/>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1CF048DA" w14:textId="77777777" w:rsidR="001A7C90" w:rsidRPr="001A7C90" w:rsidRDefault="001A7C90" w:rsidP="001A7C90">
            <w:pPr>
              <w:rPr>
                <w:rFonts w:eastAsia="Times New Roman"/>
                <w:lang w:eastAsia="en-GB"/>
              </w:rPr>
            </w:pPr>
            <w:r w:rsidRPr="001A7C90">
              <w:rPr>
                <w:rFonts w:eastAsia="Times New Roman"/>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78A6B" w14:textId="77777777" w:rsidR="001A7C90" w:rsidRPr="001A7C90" w:rsidRDefault="001A7C90" w:rsidP="001A7C90">
            <w:pPr>
              <w:rPr>
                <w:rFonts w:eastAsia="Times New Roman"/>
                <w:lang w:eastAsia="en-GB"/>
              </w:rPr>
            </w:pPr>
            <w:r w:rsidRPr="001A7C90">
              <w:rPr>
                <w:rFonts w:eastAsia="Times New Roman"/>
                <w:lang w:eastAsia="en-GB"/>
              </w:rPr>
              <w:t>ZTE, Sanechips</w:t>
            </w:r>
          </w:p>
        </w:tc>
      </w:tr>
      <w:tr w:rsidR="001A7C90" w:rsidRPr="001A7C90" w14:paraId="76BB038F"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45EF474" w14:textId="77777777" w:rsidR="001A7C90" w:rsidRPr="001A7C90" w:rsidRDefault="002A1BAA" w:rsidP="001A7C90">
            <w:pPr>
              <w:rPr>
                <w:rFonts w:eastAsia="Times New Roman"/>
                <w:lang w:eastAsia="en-GB"/>
              </w:rPr>
            </w:pPr>
            <w:hyperlink r:id="rId9" w:history="1">
              <w:r w:rsidR="001A7C90" w:rsidRPr="001A7C90">
                <w:rPr>
                  <w:rFonts w:eastAsia="Times New Roman"/>
                  <w:color w:val="0000FF"/>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59D4E719" w14:textId="77777777" w:rsidR="001A7C90" w:rsidRPr="001A7C90" w:rsidRDefault="001A7C90" w:rsidP="001A7C90">
            <w:pPr>
              <w:rPr>
                <w:rFonts w:eastAsia="Times New Roman"/>
                <w:lang w:eastAsia="en-GB"/>
              </w:rPr>
            </w:pPr>
            <w:r w:rsidRPr="001A7C90">
              <w:rPr>
                <w:rFonts w:eastAsia="Times New Roman"/>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28591" w14:textId="77777777" w:rsidR="001A7C90" w:rsidRPr="001A7C90" w:rsidRDefault="001A7C90" w:rsidP="001A7C90">
            <w:pPr>
              <w:rPr>
                <w:rFonts w:eastAsia="Times New Roman"/>
                <w:lang w:eastAsia="en-GB"/>
              </w:rPr>
            </w:pPr>
            <w:r w:rsidRPr="001A7C90">
              <w:rPr>
                <w:rFonts w:eastAsia="Times New Roman"/>
                <w:lang w:eastAsia="en-GB"/>
              </w:rPr>
              <w:t>vivo</w:t>
            </w:r>
          </w:p>
        </w:tc>
      </w:tr>
      <w:tr w:rsidR="001A7C90" w:rsidRPr="001A7C90" w14:paraId="63FC7031"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F8476C3" w14:textId="77777777" w:rsidR="001A7C90" w:rsidRPr="001A7C90" w:rsidRDefault="002A1BAA" w:rsidP="001A7C90">
            <w:pPr>
              <w:rPr>
                <w:rFonts w:eastAsia="Times New Roman"/>
                <w:lang w:eastAsia="en-GB"/>
              </w:rPr>
            </w:pPr>
            <w:hyperlink r:id="rId10" w:history="1">
              <w:r w:rsidR="001A7C90" w:rsidRPr="001A7C90">
                <w:rPr>
                  <w:rFonts w:eastAsia="Times New Roman"/>
                  <w:color w:val="0000FF"/>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17CD13C0" w14:textId="77777777" w:rsidR="001A7C90" w:rsidRPr="001A7C90" w:rsidRDefault="001A7C90" w:rsidP="001A7C90">
            <w:pPr>
              <w:rPr>
                <w:rFonts w:eastAsia="Times New Roman"/>
                <w:lang w:eastAsia="en-GB"/>
              </w:rPr>
            </w:pPr>
            <w:r w:rsidRPr="001A7C90">
              <w:rPr>
                <w:rFonts w:eastAsia="Times New Roman"/>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B586F" w14:textId="77777777" w:rsidR="001A7C90" w:rsidRPr="001A7C90" w:rsidRDefault="001A7C90" w:rsidP="001A7C90">
            <w:pPr>
              <w:rPr>
                <w:rFonts w:eastAsia="Times New Roman"/>
                <w:lang w:eastAsia="en-GB"/>
              </w:rPr>
            </w:pPr>
            <w:r w:rsidRPr="001A7C90">
              <w:rPr>
                <w:rFonts w:eastAsia="Times New Roman"/>
                <w:lang w:eastAsia="en-GB"/>
              </w:rPr>
              <w:t xml:space="preserve">Huawei, </w:t>
            </w:r>
            <w:proofErr w:type="spellStart"/>
            <w:r w:rsidRPr="001A7C90">
              <w:rPr>
                <w:rFonts w:eastAsia="Times New Roman"/>
                <w:lang w:eastAsia="en-GB"/>
              </w:rPr>
              <w:t>HiSilicon</w:t>
            </w:r>
            <w:proofErr w:type="spellEnd"/>
          </w:p>
        </w:tc>
      </w:tr>
      <w:tr w:rsidR="001A7C90" w:rsidRPr="001A7C90" w14:paraId="7F1F746D"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668E7C8" w14:textId="77777777" w:rsidR="001A7C90" w:rsidRPr="001A7C90" w:rsidRDefault="002A1BAA" w:rsidP="001A7C90">
            <w:pPr>
              <w:rPr>
                <w:rFonts w:eastAsia="Times New Roman"/>
                <w:lang w:eastAsia="en-GB"/>
              </w:rPr>
            </w:pPr>
            <w:hyperlink r:id="rId11" w:history="1">
              <w:r w:rsidR="001A7C90" w:rsidRPr="001A7C90">
                <w:rPr>
                  <w:rFonts w:eastAsia="Times New Roman"/>
                  <w:color w:val="0000FF"/>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190D7A5" w14:textId="77777777" w:rsidR="001A7C90" w:rsidRPr="001A7C90" w:rsidRDefault="001A7C90" w:rsidP="001A7C90">
            <w:pPr>
              <w:rPr>
                <w:rFonts w:eastAsia="Times New Roman"/>
                <w:lang w:eastAsia="en-GB"/>
              </w:rPr>
            </w:pPr>
            <w:r w:rsidRPr="001A7C90">
              <w:rPr>
                <w:rFonts w:eastAsia="Times New Roman"/>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DB5AD" w14:textId="77777777" w:rsidR="001A7C90" w:rsidRPr="001A7C90" w:rsidRDefault="001A7C90" w:rsidP="001A7C90">
            <w:pPr>
              <w:rPr>
                <w:rFonts w:eastAsia="Times New Roman"/>
                <w:lang w:eastAsia="en-GB"/>
              </w:rPr>
            </w:pPr>
            <w:r w:rsidRPr="001A7C90">
              <w:rPr>
                <w:rFonts w:eastAsia="Times New Roman"/>
                <w:lang w:eastAsia="en-GB"/>
              </w:rPr>
              <w:t>OPPO</w:t>
            </w:r>
          </w:p>
        </w:tc>
      </w:tr>
      <w:tr w:rsidR="001A7C90" w:rsidRPr="001A7C90" w14:paraId="2D7AF951"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4C27DD8" w14:textId="77777777" w:rsidR="001A7C90" w:rsidRPr="001A7C90" w:rsidRDefault="002A1BAA" w:rsidP="001A7C90">
            <w:pPr>
              <w:rPr>
                <w:rFonts w:eastAsia="Times New Roman"/>
                <w:lang w:eastAsia="en-GB"/>
              </w:rPr>
            </w:pPr>
            <w:hyperlink r:id="rId12" w:history="1">
              <w:r w:rsidR="001A7C90" w:rsidRPr="001A7C90">
                <w:rPr>
                  <w:rFonts w:eastAsia="Times New Roman"/>
                  <w:color w:val="0000FF"/>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462B83C" w14:textId="77777777" w:rsidR="001A7C90" w:rsidRPr="001A7C90" w:rsidRDefault="001A7C90" w:rsidP="001A7C90">
            <w:pPr>
              <w:rPr>
                <w:rFonts w:eastAsia="Times New Roman"/>
                <w:lang w:eastAsia="en-GB"/>
              </w:rPr>
            </w:pPr>
            <w:r w:rsidRPr="001A7C90">
              <w:rPr>
                <w:rFonts w:eastAsia="Times New Roman"/>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2BDDF" w14:textId="77777777" w:rsidR="001A7C90" w:rsidRPr="001A7C90" w:rsidRDefault="001A7C90" w:rsidP="001A7C90">
            <w:pPr>
              <w:rPr>
                <w:rFonts w:eastAsia="Times New Roman"/>
                <w:lang w:eastAsia="en-GB"/>
              </w:rPr>
            </w:pPr>
            <w:r w:rsidRPr="001A7C90">
              <w:rPr>
                <w:rFonts w:eastAsia="Times New Roman"/>
                <w:lang w:eastAsia="en-GB"/>
              </w:rPr>
              <w:t>Samsung</w:t>
            </w:r>
          </w:p>
        </w:tc>
      </w:tr>
      <w:tr w:rsidR="001A7C90" w:rsidRPr="001A7C90" w14:paraId="45C3EB35"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1BB6214" w14:textId="77777777" w:rsidR="001A7C90" w:rsidRPr="001A7C90" w:rsidRDefault="002A1BAA" w:rsidP="001A7C90">
            <w:pPr>
              <w:rPr>
                <w:rFonts w:eastAsia="Times New Roman"/>
                <w:lang w:eastAsia="en-GB"/>
              </w:rPr>
            </w:pPr>
            <w:hyperlink r:id="rId13" w:history="1">
              <w:r w:rsidR="001A7C90" w:rsidRPr="001A7C90">
                <w:rPr>
                  <w:rFonts w:eastAsia="Times New Roman"/>
                  <w:color w:val="0000FF"/>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6CAE884F" w14:textId="77777777" w:rsidR="001A7C90" w:rsidRPr="001A7C90" w:rsidRDefault="001A7C90" w:rsidP="001A7C90">
            <w:pPr>
              <w:rPr>
                <w:rFonts w:eastAsia="Times New Roman"/>
                <w:lang w:eastAsia="en-GB"/>
              </w:rPr>
            </w:pPr>
            <w:r w:rsidRPr="001A7C90">
              <w:rPr>
                <w:rFonts w:eastAsia="Times New Roman"/>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01FE1" w14:textId="77777777" w:rsidR="001A7C90" w:rsidRPr="001A7C90" w:rsidRDefault="001A7C90" w:rsidP="001A7C90">
            <w:pPr>
              <w:rPr>
                <w:rFonts w:eastAsia="Times New Roman"/>
                <w:lang w:eastAsia="en-GB"/>
              </w:rPr>
            </w:pPr>
            <w:proofErr w:type="spellStart"/>
            <w:r w:rsidRPr="001A7C90">
              <w:rPr>
                <w:rFonts w:eastAsia="Times New Roman"/>
                <w:lang w:eastAsia="en-GB"/>
              </w:rPr>
              <w:t>InterDigital</w:t>
            </w:r>
            <w:proofErr w:type="spellEnd"/>
            <w:r w:rsidRPr="001A7C90">
              <w:rPr>
                <w:rFonts w:eastAsia="Times New Roman"/>
                <w:lang w:eastAsia="en-GB"/>
              </w:rPr>
              <w:t>, Inc.</w:t>
            </w:r>
          </w:p>
        </w:tc>
      </w:tr>
      <w:tr w:rsidR="001A7C90" w:rsidRPr="001A7C90" w14:paraId="7146C92A" w14:textId="77777777"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8231C76" w14:textId="77777777" w:rsidR="001A7C90" w:rsidRPr="001A7C90" w:rsidRDefault="002A1BAA" w:rsidP="001A7C90">
            <w:pPr>
              <w:rPr>
                <w:rFonts w:eastAsia="Times New Roman"/>
                <w:lang w:eastAsia="en-GB"/>
              </w:rPr>
            </w:pPr>
            <w:hyperlink r:id="rId14" w:history="1">
              <w:r w:rsidR="001A7C90" w:rsidRPr="001A7C90">
                <w:rPr>
                  <w:rFonts w:eastAsia="Times New Roman"/>
                  <w:color w:val="0000FF"/>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14:paraId="460783EE" w14:textId="77777777" w:rsidR="001A7C90" w:rsidRPr="001A7C90" w:rsidRDefault="001A7C90" w:rsidP="001A7C90">
            <w:pPr>
              <w:rPr>
                <w:rFonts w:eastAsia="Times New Roman"/>
                <w:lang w:eastAsia="en-GB"/>
              </w:rPr>
            </w:pPr>
            <w:r w:rsidRPr="001A7C90">
              <w:rPr>
                <w:rFonts w:eastAsia="Times New Roman"/>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D099E" w14:textId="77777777" w:rsidR="001A7C90" w:rsidRPr="001A7C90" w:rsidRDefault="001A7C90" w:rsidP="001A7C90">
            <w:pPr>
              <w:rPr>
                <w:rFonts w:eastAsia="Times New Roman"/>
                <w:lang w:eastAsia="en-GB"/>
              </w:rPr>
            </w:pPr>
            <w:r w:rsidRPr="001A7C90">
              <w:rPr>
                <w:rFonts w:eastAsia="Times New Roman"/>
                <w:lang w:eastAsia="en-GB"/>
              </w:rPr>
              <w:t>Ericsson</w:t>
            </w:r>
          </w:p>
        </w:tc>
      </w:tr>
    </w:tbl>
    <w:p w14:paraId="43A03722" w14:textId="77777777" w:rsidR="009A6757" w:rsidRDefault="009A6757" w:rsidP="00AD2A49">
      <w:pPr>
        <w:tabs>
          <w:tab w:val="num" w:pos="708"/>
        </w:tabs>
        <w:spacing w:after="120"/>
      </w:pPr>
    </w:p>
    <w:p w14:paraId="746FFC53" w14:textId="77777777" w:rsidR="00566E02" w:rsidRDefault="00566E02" w:rsidP="00AD2A49">
      <w:pPr>
        <w:tabs>
          <w:tab w:val="num" w:pos="708"/>
        </w:tabs>
        <w:spacing w:after="120"/>
      </w:pPr>
    </w:p>
    <w:p w14:paraId="072FE85A" w14:textId="77777777" w:rsidR="00566E02" w:rsidRPr="00566E02" w:rsidRDefault="00566E02" w:rsidP="00566E02"/>
    <w:p w14:paraId="53F18342"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BB2C8" w14:textId="77777777" w:rsidR="002A1BAA" w:rsidRDefault="002A1BAA">
      <w:r>
        <w:separator/>
      </w:r>
    </w:p>
  </w:endnote>
  <w:endnote w:type="continuationSeparator" w:id="0">
    <w:p w14:paraId="3B271575" w14:textId="77777777" w:rsidR="002A1BAA" w:rsidRDefault="002A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A463B" w14:textId="77777777" w:rsidR="002A1BAA" w:rsidRDefault="002A1BAA">
      <w:r>
        <w:separator/>
      </w:r>
    </w:p>
  </w:footnote>
  <w:footnote w:type="continuationSeparator" w:id="0">
    <w:p w14:paraId="5ADB945B" w14:textId="77777777" w:rsidR="002A1BAA" w:rsidRDefault="002A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7C0"/>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BAA"/>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61F"/>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22B"/>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B34"/>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7E3"/>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6F26"/>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72"/>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047"/>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9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F26"/>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C46F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6F26"/>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8A522B"/>
    <w:rPr>
      <w:rFonts w:ascii="Arial" w:hAnsi="Arial"/>
      <w:vanish w:val="0"/>
      <w:color w:val="FF0000"/>
      <w:sz w:val="24"/>
    </w:rPr>
  </w:style>
  <w:style w:type="paragraph" w:styleId="BodyText3">
    <w:name w:val="Body Text 3"/>
    <w:basedOn w:val="Normal"/>
    <w:rsid w:val="008A522B"/>
    <w:rPr>
      <w:i/>
    </w:rPr>
  </w:style>
  <w:style w:type="paragraph" w:styleId="DocumentMap">
    <w:name w:val="Document Map"/>
    <w:basedOn w:val="Normal"/>
    <w:semiHidden/>
    <w:rsid w:val="008A522B"/>
    <w:pPr>
      <w:shd w:val="clear" w:color="auto" w:fill="000080"/>
    </w:pPr>
    <w:rPr>
      <w:rFonts w:ascii="Tahoma" w:hAnsi="Tahoma"/>
    </w:rPr>
  </w:style>
  <w:style w:type="paragraph" w:customStyle="1" w:styleId="Bulletedo1">
    <w:name w:val="Bulleted o 1"/>
    <w:basedOn w:val="Normal"/>
    <w:rsid w:val="008A522B"/>
    <w:pPr>
      <w:numPr>
        <w:numId w:val="1"/>
      </w:numPr>
    </w:pPr>
  </w:style>
  <w:style w:type="paragraph" w:customStyle="1" w:styleId="text">
    <w:name w:val="text"/>
    <w:basedOn w:val="Normal"/>
    <w:rsid w:val="008A522B"/>
    <w:pPr>
      <w:spacing w:after="240"/>
    </w:pPr>
    <w:rPr>
      <w:rFonts w:eastAsia="SimSun"/>
    </w:rPr>
  </w:style>
  <w:style w:type="paragraph" w:customStyle="1" w:styleId="Equation">
    <w:name w:val="Equation"/>
    <w:basedOn w:val="Normal"/>
    <w:next w:val="Normal"/>
    <w:rsid w:val="008A522B"/>
    <w:pPr>
      <w:tabs>
        <w:tab w:val="right" w:pos="10206"/>
      </w:tabs>
      <w:spacing w:after="220"/>
      <w:ind w:left="1298"/>
    </w:pPr>
    <w:rPr>
      <w:rFonts w:ascii="Arial" w:hAnsi="Arial"/>
    </w:rPr>
  </w:style>
  <w:style w:type="paragraph" w:customStyle="1" w:styleId="00BodyText">
    <w:name w:val="00 BodyText"/>
    <w:basedOn w:val="Normal"/>
    <w:rsid w:val="008A522B"/>
    <w:pPr>
      <w:spacing w:after="220"/>
    </w:pPr>
    <w:rPr>
      <w:rFonts w:ascii="Arial" w:hAnsi="Arial"/>
    </w:rPr>
  </w:style>
  <w:style w:type="paragraph" w:customStyle="1" w:styleId="11BodyText">
    <w:name w:val="11 BodyText"/>
    <w:basedOn w:val="Normal"/>
    <w:rsid w:val="008A522B"/>
    <w:pPr>
      <w:spacing w:after="220"/>
      <w:ind w:left="1298"/>
    </w:pPr>
    <w:rPr>
      <w:rFonts w:ascii="Arial" w:hAnsi="Arial"/>
    </w:rPr>
  </w:style>
  <w:style w:type="paragraph" w:customStyle="1" w:styleId="table">
    <w:name w:val="table"/>
    <w:basedOn w:val="text"/>
    <w:next w:val="text"/>
    <w:rsid w:val="008A522B"/>
    <w:pPr>
      <w:spacing w:after="0"/>
      <w:jc w:val="center"/>
    </w:pPr>
    <w:rPr>
      <w:sz w:val="20"/>
    </w:rPr>
  </w:style>
  <w:style w:type="paragraph" w:styleId="Caption">
    <w:name w:val="caption"/>
    <w:aliases w:val="cap,3GPP Caption Table"/>
    <w:basedOn w:val="Normal"/>
    <w:next w:val="Normal"/>
    <w:link w:val="CaptionChar"/>
    <w:qFormat/>
    <w:rsid w:val="008A522B"/>
    <w:pPr>
      <w:spacing w:before="120" w:after="120"/>
    </w:pPr>
    <w:rPr>
      <w:b/>
      <w:bCs/>
    </w:rPr>
  </w:style>
  <w:style w:type="paragraph" w:customStyle="1" w:styleId="bodyCharCharChar">
    <w:name w:val="body Char Char Char"/>
    <w:basedOn w:val="Normal"/>
    <w:rsid w:val="008A522B"/>
    <w:pPr>
      <w:tabs>
        <w:tab w:val="left" w:pos="2160"/>
      </w:tabs>
      <w:spacing w:before="120" w:after="120" w:line="280" w:lineRule="atLeast"/>
    </w:pPr>
    <w:rPr>
      <w:rFonts w:ascii="New York" w:hAnsi="New York"/>
    </w:rPr>
  </w:style>
  <w:style w:type="paragraph" w:styleId="BodyText">
    <w:name w:val="Body Text"/>
    <w:aliases w:val="bt"/>
    <w:basedOn w:val="Normal"/>
    <w:rsid w:val="008A522B"/>
    <w:pPr>
      <w:spacing w:after="120"/>
    </w:pPr>
    <w:rPr>
      <w:rFonts w:ascii="Times" w:hAnsi="Times"/>
    </w:rPr>
  </w:style>
  <w:style w:type="paragraph" w:styleId="BodyText2">
    <w:name w:val="Body Text 2"/>
    <w:basedOn w:val="Normal"/>
    <w:rsid w:val="008A522B"/>
    <w:pPr>
      <w:tabs>
        <w:tab w:val="left" w:pos="1985"/>
      </w:tabs>
    </w:pPr>
    <w:rPr>
      <w:rFonts w:ascii="Arial" w:hAnsi="Arial"/>
    </w:rPr>
  </w:style>
  <w:style w:type="character" w:customStyle="1" w:styleId="Heading1Char">
    <w:name w:val="Heading 1 Char"/>
    <w:rsid w:val="008A522B"/>
    <w:rPr>
      <w:rFonts w:ascii="Arial" w:hAnsi="Arial"/>
      <w:sz w:val="36"/>
      <w:lang w:val="en-GB" w:eastAsia="en-US" w:bidi="ar-SA"/>
    </w:rPr>
  </w:style>
  <w:style w:type="paragraph" w:customStyle="1" w:styleId="body">
    <w:name w:val="body"/>
    <w:basedOn w:val="Normal"/>
    <w:rsid w:val="008A522B"/>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2036</Words>
  <Characters>11608</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2020-08-12T21:53:00Z</dcterms:created>
  <dcterms:modified xsi:type="dcterms:W3CDTF">2020-08-12T21:53:00Z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y fmtid="{D5CDD505-2E9C-101B-9397-08002B2CF9AE}" pid="4" name="_2015_ms_pID_725343">
    <vt:lpwstr>(2)3yBhDDlAY9T5X9i3GZmYHZtD8SbBowGJ/Bl86M26EmS/dXlPi7PsveAXRuLCD1Uqe7GADCs7
moIRV3FqDruwuyYnfvBTHzuAwornsnLivNqcLVGcg46tjx2ENm+vOtgJI2IAy6Yh36d+RR6V
gl5xy8ssQshACocUvBeoV63q2HsIj7TFNkTxLNMhAleMQUc5+avIvyc3S+qNPJHXAtcjo1cZ
h1oSg27ydFk97V3e3N</vt:lpwstr>
  </property>
  <property fmtid="{D5CDD505-2E9C-101B-9397-08002B2CF9AE}" pid="5" name="_2015_ms_pID_7253431">
    <vt:lpwstr>GQ9wMDh3JG8vUkjap6h7lt3Z8BYZm+IGVGbw+8P2IsbCEvxtDWmD92
wkRFq0NOTs8DvNwbc7Uwx1PplldSoThpIgfq4u/xFbOmy7clyjsMgkWbJK4ASn26sbcnpcT3
IIyW6hhBrZsbVPjvJz5xD8CxeC05WPji856gTrGkQhBLMcTEsrunGSzsKMfOINIHkkU=</vt:lpwstr>
  </property>
</Properties>
</file>