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B308D1">
        <w:rPr>
          <w:rFonts w:ascii="Arial" w:hAnsi="Arial"/>
          <w:sz w:val="22"/>
        </w:rPr>
        <w:t>Email 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Heading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proofErr w:type="spellStart"/>
      <w:r>
        <w:rPr>
          <w:bCs/>
          <w:kern w:val="32"/>
          <w:lang w:val="en-US" w:eastAsia="zh-CN"/>
        </w:rPr>
        <w:t>msec</w:t>
      </w:r>
      <w:proofErr w:type="spellEnd"/>
      <w:r>
        <w:rPr>
          <w:bCs/>
          <w:kern w:val="32"/>
          <w:lang w:val="en-US" w:eastAsia="zh-CN"/>
        </w:rPr>
        <w:t xml:space="preserve">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proofErr w:type="spellStart"/>
      <w:r>
        <w:rPr>
          <w:bCs/>
          <w:kern w:val="32"/>
          <w:lang w:val="en-US" w:eastAsia="zh-CN"/>
        </w:rPr>
        <w:t>msec</w:t>
      </w:r>
      <w:proofErr w:type="spellEnd"/>
      <w:r>
        <w:rPr>
          <w:bCs/>
          <w:kern w:val="32"/>
          <w:lang w:val="en-US" w:eastAsia="zh-CN"/>
        </w:rPr>
        <w:t xml:space="preserve">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77777777"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533F8E90" w14:textId="77777777" w:rsidR="001958D8" w:rsidRDefault="001958D8" w:rsidP="001958D8">
      <w:pPr>
        <w:pStyle w:val="Heading2"/>
        <w:numPr>
          <w:ilvl w:val="1"/>
          <w:numId w:val="1"/>
        </w:numPr>
        <w:rPr>
          <w:lang w:val="en-US"/>
        </w:rPr>
      </w:pPr>
      <w:r>
        <w:rPr>
          <w:lang w:val="en-US"/>
        </w:rPr>
        <w:t>Initial Discussion</w:t>
      </w:r>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ListParagraph"/>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ListParagraph"/>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ListParagraph"/>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ListParagraph"/>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ListParagraph"/>
        <w:numPr>
          <w:ilvl w:val="0"/>
          <w:numId w:val="30"/>
        </w:numPr>
        <w:jc w:val="both"/>
        <w:rPr>
          <w:lang w:val="en-US"/>
        </w:rPr>
      </w:pPr>
      <w:r>
        <w:rPr>
          <w:lang w:val="en-US"/>
        </w:rPr>
        <w:t>Alt 5: Others</w:t>
      </w:r>
      <w:r w:rsidR="001D7F4E">
        <w:rPr>
          <w:lang w:val="en-US"/>
        </w:rPr>
        <w:t>.</w:t>
      </w:r>
    </w:p>
    <w:p w14:paraId="3CD0B69B" w14:textId="77777777" w:rsidR="00F540AC" w:rsidRPr="00F540AC" w:rsidRDefault="00F540AC" w:rsidP="00EE16C8">
      <w:pPr>
        <w:pStyle w:val="Caption"/>
        <w:jc w:val="center"/>
        <w:rPr>
          <w:lang w:val="en-US"/>
        </w:rPr>
      </w:pPr>
      <w:r>
        <w:t xml:space="preserve">Table </w:t>
      </w:r>
      <w:r w:rsidR="00A642DD">
        <w:fldChar w:fldCharType="begin"/>
      </w:r>
      <w:r>
        <w:instrText xml:space="preserve"> SEQ Table \* ARABIC </w:instrText>
      </w:r>
      <w:r w:rsidR="00A642DD">
        <w:fldChar w:fldCharType="separate"/>
      </w:r>
      <w:r>
        <w:rPr>
          <w:noProof/>
        </w:rPr>
        <w:t>1</w:t>
      </w:r>
      <w:r w:rsidR="00A642DD">
        <w:fldChar w:fldCharType="end"/>
      </w:r>
      <w:r>
        <w:t xml:space="preserve"> </w:t>
      </w:r>
      <w:r w:rsidR="00EE16C8">
        <w:t>Company views on values for T</w:t>
      </w:r>
    </w:p>
    <w:tbl>
      <w:tblPr>
        <w:tblStyle w:val="TableGrid"/>
        <w:tblW w:w="0" w:type="auto"/>
        <w:jc w:val="center"/>
        <w:tblLook w:val="04A0" w:firstRow="1" w:lastRow="0" w:firstColumn="1" w:lastColumn="0" w:noHBand="0" w:noVBand="1"/>
      </w:tblPr>
      <w:tblGrid>
        <w:gridCol w:w="1705"/>
        <w:gridCol w:w="990"/>
        <w:gridCol w:w="5940"/>
      </w:tblGrid>
      <w:tr w:rsidR="007D5E16" w14:paraId="529BC6BA" w14:textId="77777777" w:rsidTr="007D5E16">
        <w:trPr>
          <w:jc w:val="center"/>
        </w:trPr>
        <w:tc>
          <w:tcPr>
            <w:tcW w:w="1705" w:type="dxa"/>
          </w:tcPr>
          <w:p w14:paraId="2DFA2C61" w14:textId="77777777" w:rsidR="007D5E16" w:rsidRDefault="007D5E16" w:rsidP="007D5E16">
            <w:pPr>
              <w:rPr>
                <w:lang w:val="en-US"/>
              </w:rPr>
            </w:pPr>
            <w:r>
              <w:rPr>
                <w:lang w:val="en-US"/>
              </w:rPr>
              <w:t>Company</w:t>
            </w:r>
          </w:p>
        </w:tc>
        <w:tc>
          <w:tcPr>
            <w:tcW w:w="990"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7D5E16">
        <w:trPr>
          <w:jc w:val="center"/>
        </w:trPr>
        <w:tc>
          <w:tcPr>
            <w:tcW w:w="1705" w:type="dxa"/>
          </w:tcPr>
          <w:p w14:paraId="3D23C24F" w14:textId="77777777" w:rsidR="007D5E16" w:rsidRDefault="00F5659A" w:rsidP="007D5E16">
            <w:pPr>
              <w:rPr>
                <w:lang w:val="en-US"/>
              </w:rPr>
            </w:pPr>
            <w:r>
              <w:rPr>
                <w:lang w:val="en-US"/>
              </w:rPr>
              <w:t>OPPO</w:t>
            </w:r>
          </w:p>
        </w:tc>
        <w:tc>
          <w:tcPr>
            <w:tcW w:w="990"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proofErr w:type="spellStart"/>
            <w:r w:rsidR="00947857">
              <w:rPr>
                <w:bCs/>
                <w:kern w:val="32"/>
                <w:lang w:val="en-US" w:eastAsia="zh-CN"/>
              </w:rPr>
              <w:t>ms</w:t>
            </w:r>
            <w:proofErr w:type="spellEnd"/>
            <w:r w:rsidR="00947857">
              <w:rPr>
                <w:bCs/>
                <w:kern w:val="32"/>
                <w:lang w:val="en-US" w:eastAsia="zh-CN"/>
              </w:rPr>
              <w:t xml:space="preserve"> prior to the start of the earlier transmission or reception. Furthermore, the issue of </w:t>
            </w:r>
            <m:oMath>
              <m:r>
                <w:rPr>
                  <w:rFonts w:ascii="Cambria Math" w:hAnsi="Cambria Math"/>
                </w:rPr>
                <m:t>T</m:t>
              </m:r>
            </m:oMath>
            <w:r w:rsidR="00947857">
              <w:t xml:space="preserve"> </w:t>
            </w:r>
            <w:proofErr w:type="spellStart"/>
            <w:r w:rsidR="00947857">
              <w:rPr>
                <w:bCs/>
                <w:kern w:val="32"/>
                <w:lang w:val="en-US" w:eastAsia="zh-CN"/>
              </w:rPr>
              <w:t>ms</w:t>
            </w:r>
            <w:proofErr w:type="spellEnd"/>
            <w:r w:rsidR="00947857">
              <w:rPr>
                <w:bCs/>
                <w:kern w:val="32"/>
                <w:lang w:val="en-US" w:eastAsia="zh-CN"/>
              </w:rPr>
              <w:t xml:space="preserve">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t xml:space="preserve">So based on the above, it is not critical to define a value for </w:t>
            </w:r>
            <m:oMath>
              <m:r>
                <w:rPr>
                  <w:rFonts w:ascii="Cambria Math" w:hAnsi="Cambria Math"/>
                </w:rPr>
                <m:t>T</m:t>
              </m:r>
            </m:oMath>
            <w:r>
              <w:t xml:space="preserve"> </w:t>
            </w:r>
            <w:proofErr w:type="spellStart"/>
            <w:r>
              <w:rPr>
                <w:bCs/>
                <w:kern w:val="32"/>
                <w:lang w:val="en-US" w:eastAsia="zh-CN"/>
              </w:rPr>
              <w:t>ms</w:t>
            </w:r>
            <w:proofErr w:type="spellEnd"/>
            <w:r>
              <w:rPr>
                <w:bCs/>
                <w:kern w:val="32"/>
                <w:lang w:val="en-US" w:eastAsia="zh-CN"/>
              </w:rPr>
              <w:t xml:space="preserve"> in the spec and it can be leave it to UE implementation.</w:t>
            </w:r>
          </w:p>
        </w:tc>
      </w:tr>
      <w:tr w:rsidR="003C7716" w14:paraId="3851096D" w14:textId="77777777" w:rsidTr="007D5E16">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t>LG Electronics</w:t>
            </w:r>
          </w:p>
        </w:tc>
        <w:tc>
          <w:tcPr>
            <w:tcW w:w="990"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 xml:space="preserve">irst of all, the exact meaning of “T </w:t>
            </w:r>
            <w:proofErr w:type="spellStart"/>
            <w:r>
              <w:rPr>
                <w:rFonts w:ascii="Calibri" w:hAnsi="Calibri" w:cs="Calibri"/>
                <w:sz w:val="22"/>
                <w:szCs w:val="22"/>
                <w:lang w:val="en-US" w:eastAsia="ko-KR"/>
              </w:rPr>
              <w:t>msec</w:t>
            </w:r>
            <w:proofErr w:type="spellEnd"/>
            <w:r>
              <w:rPr>
                <w:rFonts w:ascii="Calibri" w:hAnsi="Calibri" w:cs="Calibri"/>
                <w:sz w:val="22"/>
                <w:szCs w:val="22"/>
                <w:lang w:val="en-US" w:eastAsia="ko-KR"/>
              </w:rPr>
              <w:t xml:space="preserve"> prior to” in the specification should be clarified. To be specific, which of followings is correct?</w:t>
            </w:r>
          </w:p>
          <w:p w14:paraId="0B7EE6E2" w14:textId="77777777" w:rsidR="003C7716"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 xml:space="preserve">In case of (a), when defining T value, the inter-module communication delay should be taken into account. Since the maximum value of X was defined as 20ms in the agenda of NR </w:t>
            </w:r>
            <w:proofErr w:type="spellStart"/>
            <w:r>
              <w:rPr>
                <w:rFonts w:ascii="Calibri" w:hAnsi="Calibri" w:cs="Calibri"/>
                <w:sz w:val="22"/>
                <w:szCs w:val="22"/>
                <w:lang w:val="en-US" w:eastAsia="ko-KR"/>
              </w:rPr>
              <w:t>Uu</w:t>
            </w:r>
            <w:proofErr w:type="spellEnd"/>
            <w:r>
              <w:rPr>
                <w:rFonts w:ascii="Calibri" w:hAnsi="Calibri" w:cs="Calibri"/>
                <w:sz w:val="22"/>
                <w:szCs w:val="22"/>
                <w:lang w:val="en-US" w:eastAsia="ko-KR"/>
              </w:rPr>
              <w:t xml:space="preserve"> controlling LTE SL, T value can be set to 20ms.</w:t>
            </w:r>
          </w:p>
        </w:tc>
      </w:tr>
      <w:tr w:rsidR="007D5E16" w14:paraId="71C3C969" w14:textId="77777777" w:rsidTr="007D5E16">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990"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w:t>
            </w:r>
            <w:proofErr w:type="spellStart"/>
            <w:r>
              <w:rPr>
                <w:rFonts w:eastAsiaTheme="minorEastAsia"/>
                <w:lang w:val="en-US" w:eastAsia="zh-CN"/>
              </w:rPr>
              <w:t>msce</w:t>
            </w:r>
            <w:proofErr w:type="spellEnd"/>
            <w:r>
              <w:rPr>
                <w:rFonts w:eastAsiaTheme="minorEastAsia"/>
                <w:lang w:val="en-US" w:eastAsia="zh-CN"/>
              </w:rPr>
              <w:t xml:space="preserv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lastRenderedPageBreak/>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7D5E16">
        <w:trPr>
          <w:jc w:val="center"/>
        </w:trPr>
        <w:tc>
          <w:tcPr>
            <w:tcW w:w="1705" w:type="dxa"/>
          </w:tcPr>
          <w:p w14:paraId="7F12A7B8" w14:textId="77777777" w:rsidR="002C6E20" w:rsidRDefault="002C6E20" w:rsidP="002C6E20">
            <w:pPr>
              <w:rPr>
                <w:lang w:val="en-US"/>
              </w:rPr>
            </w:pPr>
            <w:r>
              <w:rPr>
                <w:lang w:val="en-US"/>
              </w:rPr>
              <w:lastRenderedPageBreak/>
              <w:t>vivo</w:t>
            </w:r>
          </w:p>
        </w:tc>
        <w:tc>
          <w:tcPr>
            <w:tcW w:w="990"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7D5E16">
        <w:trPr>
          <w:jc w:val="center"/>
        </w:trPr>
        <w:tc>
          <w:tcPr>
            <w:tcW w:w="1705" w:type="dxa"/>
          </w:tcPr>
          <w:p w14:paraId="124B9F64" w14:textId="77777777" w:rsidR="007D5E16" w:rsidRPr="00383F80" w:rsidRDefault="00383F80" w:rsidP="007D5E16">
            <w:r>
              <w:t>Ericsson</w:t>
            </w:r>
          </w:p>
        </w:tc>
        <w:tc>
          <w:tcPr>
            <w:tcW w:w="990"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7D5E16">
        <w:trPr>
          <w:jc w:val="center"/>
        </w:trPr>
        <w:tc>
          <w:tcPr>
            <w:tcW w:w="1705" w:type="dxa"/>
          </w:tcPr>
          <w:p w14:paraId="1256BD63" w14:textId="77777777" w:rsidR="007D5E16" w:rsidRDefault="001E4097" w:rsidP="007D5E16">
            <w:pPr>
              <w:rPr>
                <w:lang w:val="en-US"/>
              </w:rPr>
            </w:pPr>
            <w:r>
              <w:rPr>
                <w:lang w:val="en-US"/>
              </w:rPr>
              <w:t xml:space="preserve">ZTE, </w:t>
            </w:r>
            <w:proofErr w:type="spellStart"/>
            <w:r>
              <w:rPr>
                <w:lang w:val="en-US"/>
              </w:rPr>
              <w:t>Sanechips</w:t>
            </w:r>
            <w:proofErr w:type="spellEnd"/>
          </w:p>
        </w:tc>
        <w:tc>
          <w:tcPr>
            <w:tcW w:w="990"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7D5E16">
        <w:trPr>
          <w:jc w:val="center"/>
        </w:trPr>
        <w:tc>
          <w:tcPr>
            <w:tcW w:w="1705" w:type="dxa"/>
          </w:tcPr>
          <w:p w14:paraId="3250F8F5" w14:textId="62D12283" w:rsidR="007D5E16" w:rsidRDefault="00AC7503" w:rsidP="007D5E16">
            <w:pPr>
              <w:rPr>
                <w:lang w:val="en-US"/>
              </w:rPr>
            </w:pPr>
            <w:proofErr w:type="spellStart"/>
            <w:r>
              <w:rPr>
                <w:lang w:val="en-US"/>
              </w:rPr>
              <w:t>Futurewei</w:t>
            </w:r>
            <w:proofErr w:type="spellEnd"/>
          </w:p>
        </w:tc>
        <w:tc>
          <w:tcPr>
            <w:tcW w:w="990"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490881" w14:paraId="4358E35B" w14:textId="77777777" w:rsidTr="007D5E16">
        <w:trPr>
          <w:jc w:val="center"/>
        </w:trPr>
        <w:tc>
          <w:tcPr>
            <w:tcW w:w="1705" w:type="dxa"/>
          </w:tcPr>
          <w:p w14:paraId="071C3B3B" w14:textId="64FC19E3" w:rsidR="00490881" w:rsidRDefault="00490881" w:rsidP="007D5E16">
            <w:pPr>
              <w:rPr>
                <w:lang w:val="en-US"/>
              </w:rPr>
            </w:pPr>
            <w:r>
              <w:rPr>
                <w:lang w:val="en-US"/>
              </w:rPr>
              <w:t>Qualcomm</w:t>
            </w:r>
          </w:p>
        </w:tc>
        <w:tc>
          <w:tcPr>
            <w:tcW w:w="990" w:type="dxa"/>
          </w:tcPr>
          <w:p w14:paraId="61190C0A" w14:textId="6AEF7D36" w:rsidR="00490881" w:rsidRDefault="00490881" w:rsidP="007D5E16">
            <w:pPr>
              <w:rPr>
                <w:lang w:val="en-US"/>
              </w:rPr>
            </w:pPr>
            <w:r>
              <w:rPr>
                <w:lang w:val="en-US"/>
              </w:rPr>
              <w:t xml:space="preserve">Alt </w:t>
            </w:r>
            <w:r w:rsidR="00857554">
              <w:rPr>
                <w:lang w:val="en-US"/>
              </w:rPr>
              <w:t>3</w:t>
            </w:r>
            <w:r w:rsidR="00256FC1">
              <w:rPr>
                <w:lang w:val="en-US"/>
              </w:rPr>
              <w:t xml:space="preserve"> </w:t>
            </w:r>
          </w:p>
        </w:tc>
        <w:tc>
          <w:tcPr>
            <w:tcW w:w="5940" w:type="dxa"/>
          </w:tcPr>
          <w:p w14:paraId="18EFD206" w14:textId="208F9B3B" w:rsidR="001B392A" w:rsidRDefault="00BC45EA" w:rsidP="007D5E16">
            <w:pPr>
              <w:rPr>
                <w:lang w:val="en-US"/>
              </w:rPr>
            </w:pPr>
            <w:r>
              <w:rPr>
                <w:lang w:val="en-US"/>
              </w:rPr>
              <w:t>We agree with LG</w:t>
            </w:r>
            <w:r w:rsidR="009D315A">
              <w:rPr>
                <w:lang w:val="en-US"/>
              </w:rPr>
              <w:t xml:space="preserve">, </w:t>
            </w:r>
            <w:r>
              <w:rPr>
                <w:lang w:val="en-US"/>
              </w:rPr>
              <w:t>CATT</w:t>
            </w:r>
            <w:r w:rsidR="009D315A">
              <w:rPr>
                <w:lang w:val="en-US"/>
              </w:rPr>
              <w:t>, and Vivo</w:t>
            </w:r>
            <w:r>
              <w:rPr>
                <w:lang w:val="en-US"/>
              </w:rPr>
              <w:t xml:space="preserve"> that the answer depends on the reference point for T. </w:t>
            </w:r>
            <w:r w:rsidR="00644760">
              <w:rPr>
                <w:lang w:val="en-US"/>
              </w:rPr>
              <w:t xml:space="preserve">20 </w:t>
            </w:r>
            <w:proofErr w:type="spellStart"/>
            <w:r w:rsidR="00644760">
              <w:rPr>
                <w:lang w:val="en-US"/>
              </w:rPr>
              <w:t>ms</w:t>
            </w:r>
            <w:proofErr w:type="spellEnd"/>
            <w:r w:rsidR="00644760">
              <w:rPr>
                <w:lang w:val="en-US"/>
              </w:rPr>
              <w:t xml:space="preserve"> is sufficient </w:t>
            </w:r>
            <w:r w:rsidR="00C23117">
              <w:rPr>
                <w:lang w:val="en-US"/>
              </w:rPr>
              <w:t>to address both interpretations in LG’s list</w:t>
            </w:r>
            <w:r w:rsidR="00A048FA">
              <w:rPr>
                <w:lang w:val="en-US"/>
              </w:rPr>
              <w:t xml:space="preserve">; whereas 4 </w:t>
            </w:r>
            <w:proofErr w:type="spellStart"/>
            <w:r w:rsidR="00A048FA">
              <w:rPr>
                <w:lang w:val="en-US"/>
              </w:rPr>
              <w:t>ms</w:t>
            </w:r>
            <w:proofErr w:type="spellEnd"/>
            <w:r w:rsidR="00A048FA">
              <w:rPr>
                <w:lang w:val="en-US"/>
              </w:rPr>
              <w:t xml:space="preserve"> </w:t>
            </w:r>
            <w:r w:rsidR="005B000B">
              <w:rPr>
                <w:lang w:val="en-US"/>
              </w:rPr>
              <w:t>would only apply for Interpretation (b).</w:t>
            </w:r>
            <w:r w:rsidR="001B392A">
              <w:rPr>
                <w:lang w:val="en-US"/>
              </w:rPr>
              <w:t xml:space="preserve"> </w:t>
            </w:r>
            <w:r w:rsidR="00C23117">
              <w:rPr>
                <w:lang w:val="en-US"/>
              </w:rPr>
              <w:t>Therefore, while we think that a</w:t>
            </w:r>
            <w:r w:rsidR="001C5B5D">
              <w:rPr>
                <w:lang w:val="en-US"/>
              </w:rPr>
              <w:t xml:space="preserve"> valu</w:t>
            </w:r>
            <w:bookmarkStart w:id="2" w:name="_GoBack"/>
            <w:bookmarkEnd w:id="2"/>
            <w:r w:rsidR="001C5B5D">
              <w:rPr>
                <w:lang w:val="en-US"/>
              </w:rPr>
              <w:t>e less than 20ms could be selected, it</w:t>
            </w:r>
            <w:r w:rsidR="00667B5C">
              <w:rPr>
                <w:lang w:val="en-US"/>
              </w:rPr>
              <w:t xml:space="preserve"> i</w:t>
            </w:r>
            <w:r w:rsidR="001C5B5D">
              <w:rPr>
                <w:lang w:val="en-US"/>
              </w:rPr>
              <w:t xml:space="preserve">s simplest to go with 20 </w:t>
            </w:r>
            <w:proofErr w:type="spellStart"/>
            <w:r w:rsidR="001C5B5D">
              <w:rPr>
                <w:lang w:val="en-US"/>
              </w:rPr>
              <w:t>ms</w:t>
            </w:r>
            <w:proofErr w:type="spellEnd"/>
            <w:r w:rsidR="005B1682">
              <w:rPr>
                <w:lang w:val="en-US"/>
              </w:rPr>
              <w:t xml:space="preserve"> at this point</w:t>
            </w:r>
            <w:r w:rsidR="00343B7D">
              <w:rPr>
                <w:lang w:val="en-US"/>
              </w:rPr>
              <w:t>.</w:t>
            </w:r>
          </w:p>
        </w:tc>
      </w:tr>
    </w:tbl>
    <w:p w14:paraId="7DD65B48" w14:textId="77777777" w:rsidR="007A5411" w:rsidRDefault="007A5411" w:rsidP="007D5E16">
      <w:pPr>
        <w:jc w:val="both"/>
        <w:rPr>
          <w:rFonts w:eastAsia="Malgun Gothic"/>
          <w:lang w:val="en-US"/>
        </w:rPr>
      </w:pPr>
    </w:p>
    <w:p w14:paraId="2378D278" w14:textId="77777777" w:rsidR="00940C05" w:rsidRDefault="00940C05" w:rsidP="00940C05">
      <w:pPr>
        <w:pStyle w:val="Heading1"/>
        <w:numPr>
          <w:ilvl w:val="0"/>
          <w:numId w:val="1"/>
        </w:numPr>
        <w:rPr>
          <w:lang w:val="en-US"/>
        </w:rPr>
      </w:pPr>
      <w:r>
        <w:rPr>
          <w:lang w:val="en-US"/>
        </w:rPr>
        <w:t>Discussion on Issue 2</w:t>
      </w:r>
    </w:p>
    <w:p w14:paraId="6D2EFC10" w14:textId="77777777" w:rsidR="009C360F" w:rsidRPr="009C360F" w:rsidRDefault="006B4303" w:rsidP="009C360F">
      <w:pPr>
        <w:rPr>
          <w:lang w:val="en-US"/>
        </w:rPr>
      </w:pPr>
      <w:r>
        <w:rPr>
          <w:lang w:val="en-US"/>
        </w:rPr>
        <w:t>[This discussion will commence after August 20</w:t>
      </w:r>
      <w:r w:rsidRPr="006B4303">
        <w:rPr>
          <w:vertAlign w:val="superscript"/>
          <w:lang w:val="en-US"/>
        </w:rPr>
        <w:t>th</w:t>
      </w:r>
      <w:r>
        <w:rPr>
          <w:lang w:val="en-US"/>
        </w:rPr>
        <w:t>]</w:t>
      </w:r>
    </w:p>
    <w:bookmarkEnd w:id="0"/>
    <w:p w14:paraId="3E88F40A" w14:textId="77777777" w:rsidR="00A61432" w:rsidRDefault="009C360F" w:rsidP="009C360F">
      <w:pPr>
        <w:pStyle w:val="Heading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3"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3"/>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 w:name="_Ref48052331"/>
      <w:r w:rsidRPr="00D402FF">
        <w:rPr>
          <w:sz w:val="20"/>
        </w:rPr>
        <w:t>R1-2005744, “Discussion on essential corrections in in-device coexistence,” LG Electronics.</w:t>
      </w:r>
      <w:bookmarkEnd w:id="4"/>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5" w:name="_Ref48052738"/>
      <w:r w:rsidRPr="00D402FF">
        <w:rPr>
          <w:sz w:val="20"/>
        </w:rPr>
        <w:t>R1-2006438, “Correction for in-device coexistence in SL,” Ericsson.</w:t>
      </w:r>
      <w:bookmarkEnd w:id="5"/>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6" w:name="_Ref48052753"/>
      <w:r w:rsidRPr="00D402FF">
        <w:rPr>
          <w:sz w:val="20"/>
        </w:rPr>
        <w:t>R1-2006771, “In-device Coexistence between LTE and NR sidelink,” Qualcomm Incorporated.</w:t>
      </w:r>
      <w:bookmarkEnd w:id="6"/>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7" w:name="_Ref48052857"/>
      <w:r w:rsidRPr="00D402FF">
        <w:rPr>
          <w:sz w:val="20"/>
        </w:rPr>
        <w:lastRenderedPageBreak/>
        <w:t xml:space="preserve">R1-2006869, “Discussion on processing time restriction for in-device coexistence,” </w:t>
      </w:r>
      <w:proofErr w:type="spellStart"/>
      <w:r w:rsidRPr="00D402FF">
        <w:rPr>
          <w:sz w:val="20"/>
        </w:rPr>
        <w:t>ASUSTeK</w:t>
      </w:r>
      <w:proofErr w:type="spellEnd"/>
      <w:r w:rsidRPr="00D402FF">
        <w:rPr>
          <w:sz w:val="20"/>
        </w:rPr>
        <w:t>.</w:t>
      </w:r>
      <w:bookmarkEnd w:id="7"/>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A10B" w14:textId="77777777" w:rsidR="008C1FFF" w:rsidRDefault="008C1FFF" w:rsidP="00B21235">
      <w:pPr>
        <w:spacing w:after="0"/>
      </w:pPr>
      <w:r>
        <w:separator/>
      </w:r>
    </w:p>
  </w:endnote>
  <w:endnote w:type="continuationSeparator" w:id="0">
    <w:p w14:paraId="728F1C79" w14:textId="77777777" w:rsidR="008C1FFF" w:rsidRDefault="008C1FFF"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2E465" w14:textId="77777777" w:rsidR="008C1FFF" w:rsidRDefault="008C1FFF" w:rsidP="00B21235">
      <w:pPr>
        <w:spacing w:after="0"/>
      </w:pPr>
      <w:r>
        <w:separator/>
      </w:r>
    </w:p>
  </w:footnote>
  <w:footnote w:type="continuationSeparator" w:id="0">
    <w:p w14:paraId="7D922165" w14:textId="77777777" w:rsidR="008C1FFF" w:rsidRDefault="008C1FFF"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4"/>
  </w:num>
  <w:num w:numId="2">
    <w:abstractNumId w:val="20"/>
  </w:num>
  <w:num w:numId="3">
    <w:abstractNumId w:val="30"/>
  </w:num>
  <w:num w:numId="4">
    <w:abstractNumId w:val="9"/>
  </w:num>
  <w:num w:numId="5">
    <w:abstractNumId w:val="4"/>
  </w:num>
  <w:num w:numId="6">
    <w:abstractNumId w:val="23"/>
  </w:num>
  <w:num w:numId="7">
    <w:abstractNumId w:val="7"/>
  </w:num>
  <w:num w:numId="8">
    <w:abstractNumId w:val="12"/>
  </w:num>
  <w:num w:numId="9">
    <w:abstractNumId w:val="27"/>
  </w:num>
  <w:num w:numId="10">
    <w:abstractNumId w:val="8"/>
  </w:num>
  <w:num w:numId="11">
    <w:abstractNumId w:val="14"/>
  </w:num>
  <w:num w:numId="12">
    <w:abstractNumId w:val="5"/>
  </w:num>
  <w:num w:numId="13">
    <w:abstractNumId w:val="25"/>
  </w:num>
  <w:num w:numId="14">
    <w:abstractNumId w:val="21"/>
  </w:num>
  <w:num w:numId="15">
    <w:abstractNumId w:val="15"/>
  </w:num>
  <w:num w:numId="16">
    <w:abstractNumId w:val="17"/>
  </w:num>
  <w:num w:numId="17">
    <w:abstractNumId w:val="16"/>
  </w:num>
  <w:num w:numId="18">
    <w:abstractNumId w:val="6"/>
  </w:num>
  <w:num w:numId="19">
    <w:abstractNumId w:val="13"/>
  </w:num>
  <w:num w:numId="20">
    <w:abstractNumId w:val="2"/>
  </w:num>
  <w:num w:numId="21">
    <w:abstractNumId w:val="10"/>
  </w:num>
  <w:num w:numId="22">
    <w:abstractNumId w:val="0"/>
  </w:num>
  <w:num w:numId="23">
    <w:abstractNumId w:val="15"/>
  </w:num>
  <w:num w:numId="24">
    <w:abstractNumId w:val="19"/>
  </w:num>
  <w:num w:numId="25">
    <w:abstractNumId w:val="2"/>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6"/>
  </w:num>
  <w:num w:numId="29">
    <w:abstractNumId w:val="22"/>
  </w:num>
  <w:num w:numId="30">
    <w:abstractNumId w:val="3"/>
  </w:num>
  <w:num w:numId="31">
    <w:abstractNumId w:val="11"/>
  </w:num>
  <w:num w:numId="32">
    <w:abstractNumId w:val="28"/>
  </w:num>
  <w:num w:numId="3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DB4"/>
    <w:rsid w:val="001A04F1"/>
    <w:rsid w:val="001A15D3"/>
    <w:rsid w:val="001A2ABD"/>
    <w:rsid w:val="001A3918"/>
    <w:rsid w:val="001A3AC8"/>
    <w:rsid w:val="001A494F"/>
    <w:rsid w:val="001A568E"/>
    <w:rsid w:val="001A5ADB"/>
    <w:rsid w:val="001A6D7C"/>
    <w:rsid w:val="001A724B"/>
    <w:rsid w:val="001A7596"/>
    <w:rsid w:val="001A78B8"/>
    <w:rsid w:val="001B1214"/>
    <w:rsid w:val="001B2865"/>
    <w:rsid w:val="001B33AB"/>
    <w:rsid w:val="001B3535"/>
    <w:rsid w:val="001B392A"/>
    <w:rsid w:val="001B494C"/>
    <w:rsid w:val="001B5F3F"/>
    <w:rsid w:val="001B671F"/>
    <w:rsid w:val="001C0883"/>
    <w:rsid w:val="001C190D"/>
    <w:rsid w:val="001C26F5"/>
    <w:rsid w:val="001C2E47"/>
    <w:rsid w:val="001C3327"/>
    <w:rsid w:val="001C38F3"/>
    <w:rsid w:val="001C43FC"/>
    <w:rsid w:val="001C4698"/>
    <w:rsid w:val="001C479B"/>
    <w:rsid w:val="001C5B5D"/>
    <w:rsid w:val="001C64A6"/>
    <w:rsid w:val="001C67CC"/>
    <w:rsid w:val="001C7116"/>
    <w:rsid w:val="001C7C0E"/>
    <w:rsid w:val="001D00E3"/>
    <w:rsid w:val="001D02CD"/>
    <w:rsid w:val="001D1113"/>
    <w:rsid w:val="001D13C9"/>
    <w:rsid w:val="001D1783"/>
    <w:rsid w:val="001D2518"/>
    <w:rsid w:val="001D3C75"/>
    <w:rsid w:val="001D53E4"/>
    <w:rsid w:val="001D7D7A"/>
    <w:rsid w:val="001D7F4E"/>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6FC1"/>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3B7D"/>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1562"/>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881"/>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6493"/>
    <w:rsid w:val="00570BB2"/>
    <w:rsid w:val="005715AC"/>
    <w:rsid w:val="00571AE1"/>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00B"/>
    <w:rsid w:val="005B02ED"/>
    <w:rsid w:val="005B049A"/>
    <w:rsid w:val="005B0EF2"/>
    <w:rsid w:val="005B168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4760"/>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67B5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4E6"/>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5850"/>
    <w:rsid w:val="007E71E5"/>
    <w:rsid w:val="007E7264"/>
    <w:rsid w:val="007F0160"/>
    <w:rsid w:val="007F513D"/>
    <w:rsid w:val="007F69A6"/>
    <w:rsid w:val="007F7937"/>
    <w:rsid w:val="007F7B30"/>
    <w:rsid w:val="007F7B8A"/>
    <w:rsid w:val="00803444"/>
    <w:rsid w:val="008040F3"/>
    <w:rsid w:val="008042A0"/>
    <w:rsid w:val="008044F1"/>
    <w:rsid w:val="008065A6"/>
    <w:rsid w:val="008068F5"/>
    <w:rsid w:val="00806D21"/>
    <w:rsid w:val="008078E6"/>
    <w:rsid w:val="00810627"/>
    <w:rsid w:val="00810645"/>
    <w:rsid w:val="008111B0"/>
    <w:rsid w:val="00811468"/>
    <w:rsid w:val="00812503"/>
    <w:rsid w:val="00812B25"/>
    <w:rsid w:val="008131DB"/>
    <w:rsid w:val="008134F6"/>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554"/>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360F"/>
    <w:rsid w:val="009C56B6"/>
    <w:rsid w:val="009C56EC"/>
    <w:rsid w:val="009C713A"/>
    <w:rsid w:val="009C794D"/>
    <w:rsid w:val="009D21D5"/>
    <w:rsid w:val="009D315A"/>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8FA"/>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4AE7"/>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5EA"/>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17"/>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49E9"/>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B71AD"/>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E50B3-EECD-449F-93D7-2F103F31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1215</Words>
  <Characters>6929</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Qualcomm</cp:lastModifiedBy>
  <cp:revision>21</cp:revision>
  <dcterms:created xsi:type="dcterms:W3CDTF">2020-08-17T19:19:00Z</dcterms:created>
  <dcterms:modified xsi:type="dcterms:W3CDTF">2020-08-18T01:38:00Z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