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Heading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Heading1"/>
        <w:jc w:val="both"/>
      </w:pPr>
      <w:r>
        <w:t>Discussion</w:t>
      </w:r>
    </w:p>
    <w:p w14:paraId="1341235F" w14:textId="77777777" w:rsidR="00AD32A7" w:rsidRDefault="00FB10F1">
      <w:pPr>
        <w:pStyle w:val="Heading2"/>
      </w:pPr>
      <w:r>
        <w:t>1.3</w:t>
      </w:r>
      <w:r>
        <w:tab/>
        <w:t>HARQ reporting to gNB</w:t>
      </w:r>
    </w:p>
    <w:p w14:paraId="44F6B66C" w14:textId="77777777" w:rsidR="00AD32A7" w:rsidRDefault="00FB10F1">
      <w:pPr>
        <w:pStyle w:val="Heading3"/>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TableGrid"/>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Heading3"/>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ListParagraph"/>
        <w:numPr>
          <w:ilvl w:val="0"/>
          <w:numId w:val="16"/>
        </w:numPr>
        <w:rPr>
          <w:b/>
          <w:bCs/>
        </w:rPr>
      </w:pPr>
      <w:r>
        <w:rPr>
          <w:b/>
          <w:bCs/>
        </w:rPr>
        <w:t>Yes (please provide details).</w:t>
      </w:r>
    </w:p>
    <w:p w14:paraId="007A7FDE" w14:textId="77777777" w:rsidR="00AD32A7" w:rsidRDefault="00FB10F1">
      <w:pPr>
        <w:pStyle w:val="ListParagraph"/>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ListParagraph"/>
        <w:numPr>
          <w:ilvl w:val="0"/>
          <w:numId w:val="17"/>
        </w:numPr>
        <w:spacing w:before="240"/>
      </w:pPr>
      <w:r>
        <w:t>A majority of companies is supportive of not having any further specification.</w:t>
      </w:r>
    </w:p>
    <w:p w14:paraId="40A27548" w14:textId="77777777" w:rsidR="00AD32A7" w:rsidRDefault="00FB10F1">
      <w:pPr>
        <w:pStyle w:val="ListParagraph"/>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ListParagraph"/>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ListParagraph"/>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ListParagraph"/>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ListParagraph"/>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Author" w:date="1901-01-01T00:00:00Z"/>
          <w:b/>
          <w:bCs/>
        </w:rPr>
      </w:pPr>
      <w:del w:id="3" w:author="Author">
        <w:r>
          <w:rPr>
            <w:b/>
            <w:bCs/>
            <w:highlight w:val="yellow"/>
          </w:rPr>
          <w:delText>Proposed conclusion:</w:delText>
        </w:r>
      </w:del>
    </w:p>
    <w:p w14:paraId="3EC5AE21" w14:textId="77777777" w:rsidR="00AD32A7" w:rsidRDefault="00FB10F1">
      <w:pPr>
        <w:pStyle w:val="ListParagraph"/>
        <w:numPr>
          <w:ilvl w:val="0"/>
          <w:numId w:val="19"/>
        </w:numPr>
        <w:spacing w:before="240"/>
      </w:pPr>
      <w:del w:id="4" w:author="Author">
        <w:r>
          <w:delText>No additional expceptional reports to the gNB are specified at this point.</w:delText>
        </w:r>
      </w:del>
    </w:p>
    <w:tbl>
      <w:tblPr>
        <w:tblStyle w:val="TableGrid"/>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understaning, the skip mechanism is captured in 38.321. In section 5.22.1.3.1.3, </w:t>
            </w:r>
            <w:r>
              <w:rPr>
                <w:rFonts w:eastAsia="Yu Mincho"/>
                <w:color w:val="0070C0"/>
                <w:lang w:val="en-GB"/>
              </w:rPr>
              <w:lastRenderedPageBreak/>
              <w:t>there is the following description, which comes from Uu description in 5.4.3.1.3. Therefore, the skip situation can occur. Meanwhile, we cannot find RAN2 agreement for this...</w:t>
            </w:r>
          </w:p>
          <w:tbl>
            <w:tblPr>
              <w:tblStyle w:val="TableGrid"/>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w:t>
            </w:r>
            <w:r>
              <w:rPr>
                <w:rFonts w:eastAsiaTheme="minorEastAsia"/>
                <w:lang w:val="en-GB"/>
              </w:rPr>
              <w:lastRenderedPageBreak/>
              <w:t>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Heading3"/>
        <w:ind w:left="0" w:firstLine="0"/>
      </w:pPr>
      <w:r>
        <w:t>1.3.3</w:t>
      </w:r>
      <w:r>
        <w:tab/>
        <w:t>Other TPs with editorial/minor corrections</w:t>
      </w:r>
    </w:p>
    <w:p w14:paraId="45045A38" w14:textId="77777777" w:rsidR="00AD32A7" w:rsidRDefault="00FB10F1">
      <w:pPr>
        <w:pStyle w:val="Heading4"/>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TableGrid"/>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lastRenderedPageBreak/>
              <w:t>&lt;Unchanged parts omitted&gt;</w:t>
            </w:r>
          </w:p>
          <w:p w14:paraId="0BC689BD" w14:textId="77777777" w:rsidR="00AD32A7" w:rsidRDefault="00FB10F1">
            <w:pPr>
              <w:pStyle w:val="Heading2"/>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Author">
              <w:r>
                <w:rPr>
                  <w:iCs/>
                </w:rPr>
                <w:delText xml:space="preserve">receptions </w:delText>
              </w:r>
            </w:del>
            <w:ins w:id="18" w:author="Author">
              <w:r>
                <w:rPr>
                  <w:iCs/>
                </w:rPr>
                <w:t xml:space="preserve">transmissions </w:t>
              </w:r>
            </w:ins>
            <w:r>
              <w:rPr>
                <w:iCs/>
              </w:rPr>
              <w:t>by a UE within a time period provided by</w:t>
            </w:r>
            <w:del w:id="19" w:author="Author">
              <w:r>
                <w:rPr>
                  <w:iCs/>
                </w:rPr>
                <w:delText xml:space="preserve"> </w:delText>
              </w:r>
              <w:r>
                <w:rPr>
                  <w:i/>
                  <w:iCs/>
                </w:rPr>
                <w:delText>periodSlCG</w:delText>
              </w:r>
            </w:del>
            <w:ins w:id="20" w:author="Author">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Author">
              <w:r>
                <w:rPr>
                  <w:i/>
                </w:rPr>
                <w:t>sl-PSFCH-ToPUCCH-CG-Type1</w:t>
              </w:r>
            </w:ins>
            <w:del w:id="22" w:author="Author">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42C9D322" w:rsidR="00AD32A7" w:rsidRDefault="00FB10F1">
            <w:pPr>
              <w:rPr>
                <w:iCs/>
              </w:rPr>
            </w:pPr>
            <w:r>
              <w:rPr>
                <w:color w:val="000000"/>
                <w:lang w:eastAsia="zh-CN"/>
              </w:rPr>
              <w:t xml:space="preserve">For a </w:t>
            </w:r>
            <w:r>
              <w:rPr>
                <w:lang w:eastAsia="zh-CN"/>
              </w:rPr>
              <w:t xml:space="preserve">PSSCH </w:t>
            </w:r>
            <w:del w:id="23" w:author="Author">
              <w:r>
                <w:rPr>
                  <w:lang w:eastAsia="zh-CN"/>
                </w:rPr>
                <w:delText xml:space="preserve">reception </w:delText>
              </w:r>
            </w:del>
            <w:ins w:id="24" w:author="Author">
              <w:r>
                <w:rPr>
                  <w:lang w:eastAsia="zh-CN"/>
                </w:rPr>
                <w:t xml:space="preserve">transmission </w:t>
              </w:r>
            </w:ins>
            <w:r>
              <w:rPr>
                <w:lang w:eastAsia="zh-CN"/>
              </w:rPr>
              <w:t>by a UE that is scheduled by a DCI format, or</w:t>
            </w:r>
            <w:r>
              <w:t xml:space="preserve"> for a SL configured grant Type 2 </w:t>
            </w:r>
            <w:del w:id="25" w:author="Author">
              <w:r>
                <w:delText xml:space="preserve">PSCCH </w:delText>
              </w:r>
            </w:del>
            <w:ins w:id="26" w:author="Author">
              <w:r>
                <w:t xml:space="preserve">PSSCH </w:t>
              </w:r>
            </w:ins>
            <w:del w:id="27" w:author="Author">
              <w:r>
                <w:delText xml:space="preserve">reception </w:delText>
              </w:r>
            </w:del>
            <w:ins w:id="28" w:author="Author">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Author">
              <w:r>
                <w:rPr>
                  <w:iCs/>
                </w:rPr>
                <w:delText>reception</w:delText>
              </w:r>
            </w:del>
            <w:ins w:id="30" w:author="Author">
              <w:r>
                <w:rPr>
                  <w:iCs/>
                </w:rPr>
                <w:t>transmission</w:t>
              </w:r>
            </w:ins>
            <w:r>
              <w:rPr>
                <w:iCs/>
              </w:rPr>
              <w:t xml:space="preserve">, a PUCCH resource can be provided </w:t>
            </w:r>
            <w:del w:id="31" w:author="Author">
              <w:r>
                <w:rPr>
                  <w:i/>
                  <w:iCs/>
                </w:rPr>
                <w:delText>PUCCH-SL-Config</w:delText>
              </w:r>
            </w:del>
            <w:ins w:id="32" w:author="Autho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2785603D" w:rsidR="00AD32A7" w:rsidRDefault="00FB10F1">
      <w:pPr>
        <w:spacing w:before="240"/>
        <w:rPr>
          <w:b/>
          <w:bCs/>
        </w:rPr>
      </w:pPr>
      <w:r>
        <w:rPr>
          <w:b/>
          <w:bCs/>
        </w:rPr>
        <w:lastRenderedPageBreak/>
        <w:t>FL summary (25/8/2020</w:t>
      </w:r>
      <w:r w:rsidR="008045B4">
        <w:rPr>
          <w:b/>
          <w:bCs/>
        </w:rPr>
        <w:t xml:space="preserve"> and 26/8/2020</w:t>
      </w:r>
      <w:r>
        <w:rPr>
          <w:b/>
          <w:bCs/>
        </w:rPr>
        <w:t>)</w:t>
      </w:r>
      <w:r w:rsidR="008045B4">
        <w:rPr>
          <w:b/>
          <w:bCs/>
        </w:rPr>
        <w:t xml:space="preserve"> </w:t>
      </w:r>
    </w:p>
    <w:p w14:paraId="39E3F91D" w14:textId="77777777" w:rsidR="00AD32A7" w:rsidRDefault="00FB10F1">
      <w:pPr>
        <w:pStyle w:val="ListParagraph"/>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17457FB2" w14:textId="77777777" w:rsidR="00AD32A7" w:rsidRDefault="00FB10F1">
            <w:pPr>
              <w:rPr>
                <w:rFonts w:eastAsiaTheme="minorEastAsia"/>
                <w:color w:val="4472C4" w:themeColor="accent1"/>
                <w:lang w:val="en-GB"/>
              </w:rPr>
            </w:pPr>
            <w:r>
              <w:rPr>
                <w:rFonts w:eastAsiaTheme="minorEastAsia"/>
                <w:color w:val="4472C4" w:themeColor="accent1"/>
                <w:lang w:val="en-GB"/>
              </w:rPr>
              <w:t>[DCM2] Thank you, but one ‘-r16’ is remaining (last part of the TP).</w:t>
            </w:r>
          </w:p>
          <w:p w14:paraId="60409BB7" w14:textId="77777777" w:rsidR="00073E8E" w:rsidRDefault="00073E8E" w:rsidP="00073E8E">
            <w:pPr>
              <w:rPr>
                <w:color w:val="FF0000"/>
                <w:lang w:val="en-GB"/>
              </w:rPr>
            </w:pPr>
            <w:r>
              <w:rPr>
                <w:rFonts w:eastAsiaTheme="minorEastAsia"/>
                <w:color w:val="FF0000"/>
                <w:lang w:val="en-GB"/>
              </w:rPr>
              <w:t>FL reply 25/8/2020:</w:t>
            </w:r>
          </w:p>
          <w:p w14:paraId="3BC97DB6" w14:textId="3791F08E" w:rsidR="00073E8E" w:rsidRDefault="00073E8E" w:rsidP="00073E8E">
            <w:pPr>
              <w:rPr>
                <w:lang w:val="en-GB"/>
              </w:rPr>
            </w:pPr>
            <w:r>
              <w:rPr>
                <w:rFonts w:eastAsiaTheme="minorEastAsia"/>
                <w:color w:val="FF0000"/>
                <w:lang w:val="en-GB"/>
              </w:rPr>
              <w:t>Thanks. Done.</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Heading4"/>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TableGrid"/>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Heading4"/>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5E38819E"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Author">
              <w:r>
                <w:delText>PSFCH reception</w:delText>
              </w:r>
            </w:del>
            <w:ins w:id="35" w:author="Author" w:date="2020-08-26T11:30:00Z">
              <w:r w:rsidR="002578B9">
                <w:t xml:space="preserve">occasions for </w:t>
              </w:r>
            </w:ins>
            <w:ins w:id="36" w:author="Author">
              <w:r>
                <w:t>candidate PSSCH transmission</w:t>
              </w:r>
            </w:ins>
            <w:ins w:id="37" w:author="Author" w:date="2020-08-26T11:30:00Z">
              <w:r w:rsidR="002578B9">
                <w:t>s</w:t>
              </w:r>
            </w:ins>
            <w:del w:id="38" w:author="Author" w:date="2020-08-26T11:30:00Z">
              <w:r w:rsidDel="002578B9">
                <w:delText xml:space="preserve"> occasions</w:delText>
              </w:r>
            </w:del>
            <w:r>
              <w:t xml:space="preserve">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9" w:author="Author">
              <w:r>
                <w:t xml:space="preserve"> with index </w:t>
              </w:r>
              <m:oMath>
                <m:r>
                  <w:rPr>
                    <w:rFonts w:ascii="Cambria Math"/>
                  </w:rPr>
                  <m:t>j</m:t>
                </m:r>
              </m:oMath>
            </w:ins>
            <w:r>
              <w:t xml:space="preserve"> with corresponding PSFCH reception</w:t>
            </w:r>
            <w:del w:id="40" w:author="Author">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41" w:author="Author">
              <w:r>
                <w:delText xml:space="preserve">receive </w:delText>
              </w:r>
            </w:del>
            <w:ins w:id="42" w:author="Author">
              <w:r>
                <w:t xml:space="preserve">transmit </w:t>
              </w:r>
            </w:ins>
            <w:r>
              <w:t xml:space="preserve">a </w:t>
            </w:r>
            <w:del w:id="43" w:author="Author">
              <w:r>
                <w:delText xml:space="preserve">PSFCH </w:delText>
              </w:r>
            </w:del>
            <w:ins w:id="44" w:author="Author">
              <w:r>
                <w:t xml:space="preserve">PSSCH </w:t>
              </w:r>
            </w:ins>
            <w:r>
              <w:t>in a</w:t>
            </w:r>
            <w:ins w:id="45" w:author="Author" w:date="2020-08-26T11:34:00Z">
              <w:r w:rsidR="00143528">
                <w:t>n</w:t>
              </w:r>
            </w:ins>
            <w:r>
              <w:t xml:space="preserve"> </w:t>
            </w:r>
            <w:ins w:id="46" w:author="Author" w:date="2020-08-26T11:30:00Z">
              <w:r w:rsidR="002578B9">
                <w:t xml:space="preserve">occasion for </w:t>
              </w:r>
            </w:ins>
            <w:del w:id="47" w:author="Author">
              <w:r>
                <w:delText xml:space="preserve">PSFCH </w:delText>
              </w:r>
            </w:del>
            <w:ins w:id="48" w:author="Author">
              <w:r>
                <w:t xml:space="preserve">PSSCH </w:t>
              </w:r>
            </w:ins>
            <w:del w:id="49" w:author="Author">
              <w:r>
                <w:delText xml:space="preserve">reception </w:delText>
              </w:r>
            </w:del>
            <w:ins w:id="50" w:author="Author">
              <w:r>
                <w:t>transmission</w:t>
              </w:r>
              <w:del w:id="51" w:author="Author" w:date="2020-08-26T11:30:00Z">
                <w:r w:rsidDel="002578B9">
                  <w:delText xml:space="preserve"> </w:delText>
                </w:r>
              </w:del>
            </w:ins>
            <w:del w:id="52" w:author="Author" w:date="2020-08-26T11:30:00Z">
              <w:r w:rsidDel="002578B9">
                <w:delText>occasion</w:delText>
              </w:r>
            </w:del>
            <w:r>
              <w:t xml:space="preserve">, due to the UE not detecting a corresponding DCI format 3_0, the UE generates a NACK value for the </w:t>
            </w:r>
            <w:ins w:id="53" w:author="Author" w:date="2020-08-26T11:31:00Z">
              <w:r w:rsidR="002578B9">
                <w:t xml:space="preserve">occasion for </w:t>
              </w:r>
            </w:ins>
            <w:del w:id="54" w:author="Author">
              <w:r>
                <w:delText xml:space="preserve">PSFCH </w:delText>
              </w:r>
            </w:del>
            <w:ins w:id="55" w:author="Author">
              <w:r>
                <w:t xml:space="preserve">PSSCH </w:t>
              </w:r>
            </w:ins>
            <w:del w:id="56" w:author="Author">
              <w:r>
                <w:delText xml:space="preserve">reception </w:delText>
              </w:r>
            </w:del>
            <w:ins w:id="57" w:author="Author">
              <w:r>
                <w:t>transmission</w:t>
              </w:r>
              <w:del w:id="58" w:author="Author" w:date="2020-08-26T11:31:00Z">
                <w:r w:rsidDel="002578B9">
                  <w:delText xml:space="preserve"> </w:delText>
                </w:r>
              </w:del>
            </w:ins>
            <w:del w:id="59" w:author="Author" w:date="2020-08-26T11:31:00Z">
              <w:r w:rsidDel="002578B9">
                <w:delText>occasion</w:delText>
              </w:r>
            </w:del>
            <w:r>
              <w:t xml:space="preserve">.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1D5953D5" w:rsidR="00AD32A7" w:rsidRDefault="00FB10F1">
      <w:pPr>
        <w:pStyle w:val="ListParagraph"/>
        <w:numPr>
          <w:ilvl w:val="0"/>
          <w:numId w:val="19"/>
        </w:numPr>
        <w:spacing w:before="240"/>
      </w:pPr>
      <w:bookmarkStart w:id="60" w:name="_Hlk49257560"/>
      <w:r>
        <w:t>I have kept the TP, let’s see if we can have a common understanding on the changes.</w:t>
      </w:r>
    </w:p>
    <w:p w14:paraId="44A4675D" w14:textId="7E39B657" w:rsidR="002578B9" w:rsidRDefault="002578B9" w:rsidP="002578B9">
      <w:pPr>
        <w:spacing w:before="240"/>
        <w:rPr>
          <w:b/>
          <w:bCs/>
        </w:rPr>
      </w:pPr>
      <w:r>
        <w:rPr>
          <w:b/>
          <w:bCs/>
        </w:rPr>
        <w:t>FL summary (26/8/2020)</w:t>
      </w:r>
    </w:p>
    <w:p w14:paraId="721E3778" w14:textId="187F3818" w:rsidR="002578B9" w:rsidRDefault="002578B9" w:rsidP="002578B9">
      <w:pPr>
        <w:pStyle w:val="ListParagraph"/>
        <w:numPr>
          <w:ilvl w:val="0"/>
          <w:numId w:val="19"/>
        </w:numPr>
        <w:spacing w:before="240"/>
      </w:pPr>
      <w:r>
        <w:t>I have changed the wording ”candidate PSSCH transmssion occasion” for ”occasion for candidate PSSCH transmssion”, like in the rest of the spec, as suggested by Sharp.</w:t>
      </w:r>
    </w:p>
    <w:bookmarkEnd w:id="60"/>
    <w:p w14:paraId="3C50C48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ListParagraph"/>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ListParagraph"/>
              <w:numPr>
                <w:ilvl w:val="0"/>
                <w:numId w:val="20"/>
              </w:numPr>
              <w:rPr>
                <w:rFonts w:eastAsia="等线"/>
                <w:lang w:val="en-GB"/>
              </w:rPr>
            </w:pPr>
            <w:r>
              <w:rPr>
                <w:rFonts w:eastAsia="等线"/>
                <w:lang w:val="en-GB"/>
              </w:rPr>
              <w:lastRenderedPageBreak/>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TableGrid"/>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spacing w:before="120" w:after="180"/>
                    <w:ind w:left="1134" w:hanging="1134"/>
                    <w:outlineLvl w:val="2"/>
                    <w:rPr>
                      <w:rFonts w:ascii="Arial" w:eastAsia="宋体" w:hAnsi="Arial" w:cs="Times New Roman"/>
                      <w:sz w:val="28"/>
                      <w:szCs w:val="20"/>
                      <w:lang w:val="en-GB"/>
                    </w:rPr>
                  </w:pPr>
                  <w:r w:rsidRPr="007404AB">
                    <w:rPr>
                      <w:rFonts w:ascii="Arial" w:eastAsia="宋体" w:hAnsi="Arial" w:cs="Times New Roman"/>
                      <w:sz w:val="28"/>
                      <w:szCs w:val="20"/>
                      <w:lang w:val="en-GB"/>
                    </w:rPr>
                    <w:t>16.5.1</w:t>
                  </w:r>
                  <w:r w:rsidRPr="007404AB">
                    <w:rPr>
                      <w:rFonts w:ascii="Arial" w:eastAsia="宋体" w:hAnsi="Arial" w:cs="Times New Roman"/>
                      <w:sz w:val="28"/>
                      <w:szCs w:val="20"/>
                      <w:lang w:val="en-GB"/>
                    </w:rPr>
                    <w:tab/>
                    <w:t>Type-1 HARQ-ACK codebook</w:t>
                  </w:r>
                  <w:r w:rsidRPr="007404AB">
                    <w:rPr>
                      <w:rFonts w:ascii="Arial" w:eastAsia="宋体" w:hAnsi="Arial" w:cs="Times New Roman" w:hint="eastAsia"/>
                      <w:sz w:val="28"/>
                      <w:szCs w:val="20"/>
                      <w:lang w:val="en-GB"/>
                    </w:rPr>
                    <w:t xml:space="preserve"> </w:t>
                  </w:r>
                  <w:r w:rsidRPr="007404AB">
                    <w:rPr>
                      <w:rFonts w:ascii="Arial" w:eastAsia="宋体" w:hAnsi="Arial" w:cs="Times New Roman"/>
                      <w:sz w:val="28"/>
                      <w:szCs w:val="20"/>
                      <w:lang w:val="en-GB"/>
                    </w:rPr>
                    <w:t xml:space="preserve">determination </w:t>
                  </w:r>
                </w:p>
                <w:p w14:paraId="466D257C" w14:textId="7C2198A4" w:rsidR="007404AB" w:rsidRDefault="007404AB" w:rsidP="007404AB">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w:t>
                  </w:r>
                </w:p>
                <w:p w14:paraId="15A63E68" w14:textId="2FE9B408"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 xml:space="preserve">If a UE reports HARQ-ACK information in a PUCCH </w:t>
                  </w:r>
                  <w:r w:rsidRPr="007404AB">
                    <w:rPr>
                      <w:rFonts w:ascii="Times New Roman" w:eastAsia="宋体" w:hAnsi="Times New Roman" w:cs="Times New Roman"/>
                      <w:sz w:val="20"/>
                      <w:szCs w:val="20"/>
                      <w:lang w:val="en-GB"/>
                    </w:rPr>
                    <w:t xml:space="preserve">only for </w:t>
                  </w:r>
                </w:p>
                <w:p w14:paraId="33AC527A" w14:textId="56445082"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p w14:paraId="32ACF03E" w14:textId="38A9776C" w:rsidR="007404AB" w:rsidRPr="007404AB" w:rsidRDefault="007404AB" w:rsidP="007404AB">
                  <w:pPr>
                    <w:spacing w:after="180"/>
                    <w:rPr>
                      <w:rFonts w:ascii="Times New Roman" w:eastAsia="宋体" w:hAnsi="Times New Roman" w:cs="Times New Roman"/>
                      <w:sz w:val="20"/>
                      <w:szCs w:val="20"/>
                      <w:lang w:val="en-GB" w:eastAsia="x-none"/>
                    </w:rPr>
                  </w:pPr>
                  <w:r w:rsidRPr="007404AB">
                    <w:rPr>
                      <w:rFonts w:ascii="Times New Roman" w:eastAsia="宋体" w:hAnsi="Times New Roman" w:cs="Times New Roman"/>
                      <w:sz w:val="20"/>
                      <w:szCs w:val="20"/>
                    </w:rPr>
                    <w:t xml:space="preserve">within the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as determined in Clause 16.5.1.1</w:t>
                  </w:r>
                  <w:r w:rsidRPr="007404AB">
                    <w:rPr>
                      <w:rFonts w:ascii="Times New Roman" w:eastAsia="宋体" w:hAnsi="Times New Roman" w:cs="Times New Roman"/>
                      <w:sz w:val="20"/>
                      <w:szCs w:val="20"/>
                    </w:rPr>
                    <w:t>,</w:t>
                  </w:r>
                  <w:r w:rsidRPr="007404AB">
                    <w:rPr>
                      <w:rFonts w:ascii="Times New Roman" w:eastAsia="宋体" w:hAnsi="Times New Roman" w:cs="Times New Roman"/>
                      <w:sz w:val="20"/>
                      <w:szCs w:val="20"/>
                      <w:lang w:val="en-GB"/>
                    </w:rPr>
                    <w:t xml:space="preserve"> </w:t>
                  </w:r>
                  <w:r>
                    <w:rPr>
                      <w:rFonts w:ascii="Times New Roman" w:eastAsia="宋体" w:hAnsi="Times New Roman" w:cs="Times New Roman"/>
                      <w:sz w:val="20"/>
                      <w:szCs w:val="20"/>
                      <w:lang w:val="en-GB" w:eastAsia="x-none"/>
                    </w:rPr>
                    <w:t>[…]</w:t>
                  </w:r>
                  <w:r w:rsidRPr="007404AB">
                    <w:rPr>
                      <w:rFonts w:ascii="Times New Roman" w:eastAsia="宋体" w:hAnsi="Times New Roman" w:cs="Times New Roman"/>
                      <w:sz w:val="20"/>
                      <w:szCs w:val="20"/>
                      <w:lang w:val="en-GB" w:eastAsia="x-none"/>
                    </w:rPr>
                    <w:t>.</w:t>
                  </w:r>
                </w:p>
                <w:p w14:paraId="2F8946E0" w14:textId="77777777" w:rsidR="007404AB" w:rsidRPr="007404AB" w:rsidRDefault="007404AB" w:rsidP="007404AB">
                  <w:pPr>
                    <w:keepNext/>
                    <w:keepLines/>
                    <w:spacing w:before="120" w:after="180"/>
                    <w:ind w:left="1418" w:hanging="1418"/>
                    <w:outlineLvl w:val="3"/>
                    <w:rPr>
                      <w:rFonts w:ascii="Arial" w:eastAsia="宋体" w:hAnsi="Arial" w:cs="Times New Roman"/>
                      <w:sz w:val="24"/>
                      <w:szCs w:val="20"/>
                      <w:lang w:val="en-GB"/>
                    </w:rPr>
                  </w:pPr>
                  <w:r w:rsidRPr="007404AB">
                    <w:rPr>
                      <w:rFonts w:ascii="Arial" w:eastAsia="宋体" w:hAnsi="Arial" w:cs="Times New Roman"/>
                      <w:sz w:val="24"/>
                      <w:szCs w:val="20"/>
                      <w:lang w:val="en-GB"/>
                    </w:rPr>
                    <w:t>16.5.1.1</w:t>
                  </w:r>
                  <w:r w:rsidRPr="007404AB">
                    <w:rPr>
                      <w:rFonts w:ascii="Arial" w:eastAsia="宋体" w:hAnsi="Arial" w:cs="Times New Roman" w:hint="eastAsia"/>
                      <w:sz w:val="24"/>
                      <w:szCs w:val="20"/>
                      <w:lang w:val="en-GB"/>
                    </w:rPr>
                    <w:tab/>
                  </w:r>
                  <w:r w:rsidRPr="007404AB">
                    <w:rPr>
                      <w:rFonts w:ascii="Arial" w:eastAsia="宋体" w:hAnsi="Arial" w:cs="Times New Roman"/>
                      <w:sz w:val="24"/>
                      <w:szCs w:val="20"/>
                      <w:lang w:val="en-GB"/>
                    </w:rPr>
                    <w:t>Type-1 HARQ-ACK codebook in physical uplink control channel</w:t>
                  </w:r>
                </w:p>
                <w:p w14:paraId="4070DCBC" w14:textId="1AB4442E" w:rsidR="007404AB" w:rsidRPr="007404AB" w:rsidRDefault="007404AB" w:rsidP="007404AB">
                  <w:pPr>
                    <w:spacing w:after="180"/>
                    <w:rPr>
                      <w:rFonts w:ascii="Times New Roman" w:eastAsia="宋体" w:hAnsi="Times New Roman" w:cs="Arial"/>
                      <w:sz w:val="20"/>
                      <w:szCs w:val="20"/>
                    </w:rPr>
                  </w:pPr>
                  <w:r w:rsidRPr="007404AB">
                    <w:rPr>
                      <w:rFonts w:ascii="Times New Roman" w:eastAsia="宋体" w:hAnsi="Times New Roman" w:cs="Times New Roman"/>
                      <w:sz w:val="20"/>
                      <w:szCs w:val="20"/>
                    </w:rPr>
                    <w:t xml:space="preserve">For a SL BWP on a serving cell </w:t>
                  </w:r>
                  <m:oMath>
                    <m:r>
                      <w:rPr>
                        <w:rFonts w:ascii="Cambria Math" w:eastAsia="宋体" w:hAnsi="Cambria Math" w:cs="Times New Roman"/>
                        <w:sz w:val="20"/>
                        <w:szCs w:val="20"/>
                      </w:rPr>
                      <m:t>c</m:t>
                    </m:r>
                  </m:oMath>
                  <w:r w:rsidRPr="007404AB">
                    <w:rPr>
                      <w:rFonts w:ascii="Times New Roman" w:eastAsia="宋体" w:hAnsi="Times New Roman" w:cs="Times New Roman"/>
                      <w:sz w:val="20"/>
                      <w:szCs w:val="20"/>
                    </w:rPr>
                    <w:t xml:space="preserve"> and an active UL BWP on the primary cell, as described in Clause 12, a UE determines a set of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Arial"/>
                      <w:sz w:val="20"/>
                      <w:szCs w:val="20"/>
                      <w:lang w:val="en-GB"/>
                    </w:rPr>
                    <w:t xml:space="preserve"> </w:t>
                  </w:r>
                  <w:r w:rsidRPr="007404AB">
                    <w:rPr>
                      <w:rFonts w:ascii="Times New Roman" w:eastAsia="宋体" w:hAnsi="Times New Roman" w:cs="Arial"/>
                      <w:sz w:val="20"/>
                      <w:szCs w:val="20"/>
                      <w:highlight w:val="yellow"/>
                      <w:lang w:val="en-GB"/>
                    </w:rPr>
                    <w:t>occasions for candidate PSSCH transmissions</w:t>
                  </w:r>
                  <w:r w:rsidRPr="007404AB">
                    <w:rPr>
                      <w:rFonts w:ascii="Times New Roman" w:eastAsia="宋体" w:hAnsi="Times New Roman" w:cs="Arial"/>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n</m:t>
                        </m:r>
                      </m:e>
                      <m:sub>
                        <m:r>
                          <w:rPr>
                            <w:rFonts w:ascii="Cambria Math" w:eastAsia="宋体" w:hAnsi="Cambria Math" w:cs="Arial"/>
                            <w:sz w:val="20"/>
                            <w:szCs w:val="20"/>
                            <w:lang w:val="en-GB"/>
                          </w:rPr>
                          <m:t>U</m:t>
                        </m:r>
                      </m:sub>
                    </m:sSub>
                  </m:oMath>
                  <w:r w:rsidRPr="007404AB">
                    <w:rPr>
                      <w:rFonts w:ascii="Times New Roman" w:eastAsia="宋体" w:hAnsi="Times New Roman" w:cs="Arial"/>
                      <w:sz w:val="20"/>
                      <w:szCs w:val="20"/>
                      <w:lang w:val="en-GB"/>
                    </w:rPr>
                    <w:t xml:space="preserve">. </w:t>
                  </w:r>
                  <w:r>
                    <w:rPr>
                      <w:rFonts w:ascii="Times New Roman" w:eastAsia="宋体" w:hAnsi="Times New Roman" w:cs="Arial"/>
                      <w:sz w:val="20"/>
                      <w:szCs w:val="20"/>
                      <w:lang w:val="en-GB"/>
                    </w:rPr>
                    <w:t>[…]</w:t>
                  </w:r>
                </w:p>
                <w:p w14:paraId="45C24FF1" w14:textId="2769EBF2" w:rsidR="007404AB" w:rsidRPr="007404AB" w:rsidRDefault="007404AB" w:rsidP="007404AB">
                  <w:pPr>
                    <w:spacing w:after="180"/>
                    <w:rPr>
                      <w:rFonts w:ascii="Times New Roman" w:eastAsia="宋体" w:hAnsi="Times New Roman" w:cs="Arial"/>
                      <w:sz w:val="20"/>
                      <w:szCs w:val="20"/>
                      <w:lang w:eastAsia="zh-CN"/>
                    </w:rPr>
                  </w:pPr>
                  <w:r>
                    <w:rPr>
                      <w:rFonts w:ascii="Times New Roman" w:eastAsia="宋体" w:hAnsi="Times New Roman" w:cs="Arial" w:hint="eastAsia"/>
                      <w:sz w:val="20"/>
                      <w:szCs w:val="20"/>
                      <w:lang w:eastAsia="zh-CN"/>
                    </w:rPr>
                    <w:t>[</w:t>
                  </w:r>
                  <w:r>
                    <w:rPr>
                      <w:rFonts w:ascii="Times New Roman" w:eastAsia="宋体" w:hAnsi="Times New Roman" w:cs="Arial"/>
                      <w:sz w:val="20"/>
                      <w:szCs w:val="20"/>
                      <w:lang w:eastAsia="zh-CN"/>
                    </w:rPr>
                    <w:t>...]</w:t>
                  </w:r>
                </w:p>
                <w:p w14:paraId="5FA2F280" w14:textId="77777777"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For</w:t>
                  </w:r>
                  <w:r w:rsidRPr="007404AB">
                    <w:rPr>
                      <w:rFonts w:ascii="Times New Roman" w:eastAsia="宋体" w:hAnsi="Times New Roman" w:cs="Times New Roman" w:hint="eastAsia"/>
                      <w:sz w:val="20"/>
                      <w:szCs w:val="20"/>
                    </w:rPr>
                    <w:t xml:space="preserve"> </w:t>
                  </w:r>
                  <w:r w:rsidRPr="007404AB">
                    <w:rPr>
                      <w:rFonts w:ascii="Times New Roman" w:eastAsia="宋体" w:hAnsi="Times New Roman" w:cs="Times New Roman"/>
                      <w:sz w:val="20"/>
                      <w:szCs w:val="20"/>
                    </w:rPr>
                    <w:t>the set of slot timing values</w:t>
                  </w:r>
                  <w:r w:rsidRPr="007404AB">
                    <w:rPr>
                      <w:rFonts w:ascii="Times New Roman" w:eastAsia="宋体" w:hAnsi="Times New Roman" w:cs="Times New Roman" w:hint="eastAsia"/>
                      <w:sz w:val="20"/>
                      <w:szCs w:val="20"/>
                      <w:vertAlign w:val="subscript"/>
                    </w:rPr>
                    <w:t xml:space="preserve">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K</m:t>
                        </m:r>
                      </m:e>
                      <m:sub>
                        <m:r>
                          <w:rPr>
                            <w:rFonts w:ascii="Cambria Math" w:eastAsia="宋体" w:hAnsi="Cambria Math" w:cs="Arial"/>
                            <w:sz w:val="20"/>
                            <w:szCs w:val="20"/>
                            <w:lang w:val="en-GB"/>
                          </w:rPr>
                          <m:t>1</m:t>
                        </m:r>
                      </m:sub>
                    </m:sSub>
                  </m:oMath>
                  <w:r w:rsidRPr="007404AB">
                    <w:rPr>
                      <w:rFonts w:ascii="Times New Roman" w:eastAsia="宋体" w:hAnsi="Times New Roman" w:cs="Times New Roman" w:hint="eastAsia"/>
                      <w:sz w:val="20"/>
                      <w:szCs w:val="20"/>
                    </w:rPr>
                    <w:t>,</w:t>
                  </w:r>
                  <w:r w:rsidRPr="007404AB">
                    <w:rPr>
                      <w:rFonts w:ascii="Times New Roman" w:eastAsia="宋体" w:hAnsi="Times New Roman" w:cs="Times New Roman"/>
                      <w:sz w:val="20"/>
                      <w:szCs w:val="20"/>
                    </w:rPr>
                    <w:t xml:space="preserve"> the UE determines a set of</w:t>
                  </w:r>
                  <w:r w:rsidRPr="007404AB">
                    <w:rPr>
                      <w:rFonts w:ascii="Times New Roman" w:eastAsia="宋体" w:hAnsi="Times New Roman" w:cs="Times New Roman" w:hint="eastAsia"/>
                      <w:sz w:val="20"/>
                      <w:szCs w:val="20"/>
                    </w:rPr>
                    <w:t xml:space="preserv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w:t>
                  </w:r>
                  <w:r w:rsidRPr="007404AB">
                    <w:rPr>
                      <w:rFonts w:ascii="Times New Roman" w:eastAsia="宋体" w:hAnsi="Times New Roman" w:cs="Times New Roman" w:hint="eastAsia"/>
                      <w:sz w:val="20"/>
                      <w:szCs w:val="20"/>
                      <w:lang w:val="en-GB"/>
                    </w:rPr>
                    <w:t>according to the following pseudo</w:t>
                  </w:r>
                  <w:r w:rsidRPr="007404AB">
                    <w:rPr>
                      <w:rFonts w:ascii="Times New Roman" w:eastAsia="宋体" w:hAnsi="Times New Roman" w:cs="Times New Roman"/>
                      <w:sz w:val="20"/>
                      <w:szCs w:val="20"/>
                      <w:lang w:val="en-GB"/>
                    </w:rPr>
                    <w:t>-</w:t>
                  </w:r>
                  <w:r>
                    <w:rPr>
                      <w:rFonts w:ascii="Times New Roman" w:eastAsia="宋体" w:hAnsi="Times New Roman" w:cs="Times New Roman" w:hint="eastAsia"/>
                      <w:sz w:val="20"/>
                      <w:szCs w:val="20"/>
                      <w:lang w:val="en-GB"/>
                    </w:rPr>
                    <w:t>code.</w:t>
                  </w:r>
                </w:p>
                <w:p w14:paraId="6BFB2633" w14:textId="3357DE85"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tc>
            </w:tr>
          </w:tbl>
          <w:p w14:paraId="7D24AAAA" w14:textId="77777777" w:rsidR="007404AB" w:rsidRDefault="007404AB">
            <w:pPr>
              <w:rPr>
                <w:rFonts w:eastAsia="等线"/>
                <w:color w:val="0070C0"/>
                <w:lang w:val="en-GB" w:eastAsia="zh-CN"/>
              </w:rPr>
            </w:pPr>
          </w:p>
          <w:p w14:paraId="48F9DDAF" w14:textId="281E6513" w:rsidR="006A6518" w:rsidRPr="006A6518" w:rsidRDefault="006A6518" w:rsidP="006A6518">
            <w:pPr>
              <w:rPr>
                <w:rFonts w:eastAsia="等线"/>
                <w:color w:val="806000" w:themeColor="accent4" w:themeShade="80"/>
                <w:lang w:val="en-GB"/>
              </w:rPr>
            </w:pPr>
            <w:r w:rsidRPr="006A6518">
              <w:rPr>
                <w:rFonts w:eastAsia="等线"/>
                <w:color w:val="806000" w:themeColor="accent4" w:themeShade="80"/>
                <w:lang w:val="en-GB"/>
              </w:rPr>
              <w:t>Sharp 2</w:t>
            </w:r>
            <w:r w:rsidRPr="006A6518">
              <w:rPr>
                <w:rFonts w:eastAsia="等线" w:hint="eastAsia"/>
                <w:color w:val="806000" w:themeColor="accent4" w:themeShade="80"/>
                <w:lang w:val="en-GB" w:eastAsia="zh-CN"/>
              </w:rPr>
              <w:t>7</w:t>
            </w:r>
            <w:r w:rsidRPr="006A6518">
              <w:rPr>
                <w:rFonts w:eastAsia="等线"/>
                <w:color w:val="806000" w:themeColor="accent4" w:themeShade="80"/>
                <w:lang w:val="en-GB"/>
              </w:rPr>
              <w:t>/8/2020:</w:t>
            </w:r>
          </w:p>
          <w:p w14:paraId="4363066A" w14:textId="45E1E5EE" w:rsidR="006A6518" w:rsidRDefault="006A6518">
            <w:pPr>
              <w:rPr>
                <w:rFonts w:eastAsia="等线"/>
                <w:color w:val="806000" w:themeColor="accent4" w:themeShade="80"/>
                <w:lang w:val="en-GB" w:eastAsia="zh-CN"/>
              </w:rPr>
            </w:pPr>
            <w:r>
              <w:rPr>
                <w:rFonts w:eastAsia="等线"/>
                <w:color w:val="806000" w:themeColor="accent4" w:themeShade="80"/>
                <w:lang w:val="en-GB" w:eastAsia="zh-CN"/>
              </w:rPr>
              <w:t xml:space="preserve">Just one small comment: </w:t>
            </w:r>
            <w:r>
              <w:rPr>
                <w:rFonts w:eastAsia="等线" w:hint="eastAsia"/>
                <w:color w:val="806000" w:themeColor="accent4" w:themeShade="80"/>
                <w:lang w:val="en-GB" w:eastAsia="zh-CN"/>
              </w:rPr>
              <w:t xml:space="preserve">in the latest TP, </w:t>
            </w:r>
            <w:r>
              <w:rPr>
                <w:rFonts w:eastAsia="等线"/>
                <w:color w:val="806000" w:themeColor="accent4" w:themeShade="80"/>
                <w:lang w:val="en-GB" w:eastAsia="zh-CN"/>
              </w:rPr>
              <w:t>the word “</w:t>
            </w:r>
            <w:r>
              <w:rPr>
                <w:rFonts w:eastAsia="等线" w:hint="eastAsia"/>
                <w:color w:val="806000" w:themeColor="accent4" w:themeShade="80"/>
                <w:lang w:val="en-GB" w:eastAsia="zh-CN"/>
              </w:rPr>
              <w:t>candidate</w:t>
            </w:r>
            <w:r>
              <w:rPr>
                <w:rFonts w:eastAsia="等线"/>
                <w:color w:val="806000" w:themeColor="accent4" w:themeShade="80"/>
                <w:lang w:val="en-GB" w:eastAsia="zh-CN"/>
              </w:rPr>
              <w:t>”</w:t>
            </w:r>
            <w:r>
              <w:rPr>
                <w:rFonts w:eastAsia="等线" w:hint="eastAsia"/>
                <w:color w:val="806000" w:themeColor="accent4" w:themeShade="80"/>
                <w:lang w:val="en-GB" w:eastAsia="zh-CN"/>
              </w:rPr>
              <w:t xml:space="preserve"> before </w:t>
            </w:r>
            <w:r>
              <w:rPr>
                <w:rFonts w:eastAsia="等线"/>
                <w:color w:val="806000" w:themeColor="accent4" w:themeShade="80"/>
                <w:lang w:val="en-GB" w:eastAsia="zh-CN"/>
              </w:rPr>
              <w:t>“</w:t>
            </w:r>
            <w:r>
              <w:rPr>
                <w:rFonts w:eastAsia="等线" w:hint="eastAsia"/>
                <w:color w:val="806000" w:themeColor="accent4" w:themeShade="80"/>
                <w:lang w:val="en-GB" w:eastAsia="zh-CN"/>
              </w:rPr>
              <w:t>PSSCH</w:t>
            </w:r>
            <w:r>
              <w:rPr>
                <w:rFonts w:eastAsia="等线"/>
                <w:color w:val="806000" w:themeColor="accent4" w:themeShade="80"/>
                <w:lang w:val="en-GB" w:eastAsia="zh-CN"/>
              </w:rPr>
              <w:t>”</w:t>
            </w:r>
            <w:r>
              <w:rPr>
                <w:rFonts w:eastAsia="等线" w:hint="eastAsia"/>
                <w:color w:val="806000" w:themeColor="accent4" w:themeShade="80"/>
                <w:lang w:val="en-GB" w:eastAsia="zh-CN"/>
              </w:rPr>
              <w:t xml:space="preserve"> is missing in the last two </w:t>
            </w:r>
            <w:r>
              <w:rPr>
                <w:rFonts w:eastAsia="等线"/>
                <w:color w:val="806000" w:themeColor="accent4" w:themeShade="80"/>
                <w:lang w:val="en-GB" w:eastAsia="zh-CN"/>
              </w:rPr>
              <w:t>“</w:t>
            </w:r>
            <w:r>
              <w:rPr>
                <w:rFonts w:eastAsia="等线" w:hint="eastAsia"/>
                <w:color w:val="806000" w:themeColor="accent4" w:themeShade="80"/>
                <w:lang w:val="en-GB" w:eastAsia="zh-CN"/>
              </w:rPr>
              <w:t>occasion</w:t>
            </w:r>
            <w:r>
              <w:rPr>
                <w:rFonts w:eastAsia="等线"/>
                <w:color w:val="806000" w:themeColor="accent4" w:themeShade="80"/>
                <w:lang w:val="en-GB" w:eastAsia="zh-CN"/>
              </w:rPr>
              <w:t>”</w:t>
            </w:r>
            <w:r>
              <w:rPr>
                <w:rFonts w:eastAsia="等线" w:hint="eastAsia"/>
                <w:color w:val="806000" w:themeColor="accent4" w:themeShade="80"/>
                <w:lang w:val="en-GB" w:eastAsia="zh-CN"/>
              </w:rPr>
              <w:t>s.</w:t>
            </w:r>
          </w:p>
          <w:p w14:paraId="13634EF0" w14:textId="77777777" w:rsidR="006A6518" w:rsidRPr="006A6518" w:rsidRDefault="006A6518">
            <w:pPr>
              <w:rPr>
                <w:rFonts w:eastAsia="等线"/>
                <w:color w:val="806000" w:themeColor="accent4" w:themeShade="80"/>
                <w:lang w:val="en-GB" w:eastAsia="zh-CN"/>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7B2181CF"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1895532B" w14:textId="77777777" w:rsidR="00FC4BDB" w:rsidRDefault="00FC4BDB">
            <w:pPr>
              <w:rPr>
                <w:color w:val="FF0000"/>
                <w:lang w:val="en-GB"/>
              </w:rPr>
            </w:pPr>
          </w:p>
          <w:p w14:paraId="4F7DCAB9" w14:textId="77777777" w:rsidR="00FC4BDB" w:rsidRPr="00704DE8" w:rsidRDefault="00FC4BDB" w:rsidP="00FC4BDB">
            <w:pPr>
              <w:rPr>
                <w:color w:val="00B050"/>
                <w:lang w:val="en-GB"/>
              </w:rPr>
            </w:pPr>
            <w:r w:rsidRPr="00704DE8">
              <w:rPr>
                <w:color w:val="00B050"/>
                <w:lang w:val="en-GB"/>
              </w:rPr>
              <w:t>[HW, HiSi_2] (08/26/2020)</w:t>
            </w:r>
          </w:p>
          <w:p w14:paraId="27D70409" w14:textId="77777777" w:rsidR="00FC4BDB" w:rsidRPr="00704DE8" w:rsidRDefault="00FC4BDB" w:rsidP="00FC4BDB">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EC2852A" w14:textId="77777777" w:rsidR="00FC4BDB" w:rsidRPr="00704DE8" w:rsidRDefault="00FC4BDB" w:rsidP="00FC4BDB">
            <w:pPr>
              <w:pStyle w:val="ListParagraph"/>
              <w:numPr>
                <w:ilvl w:val="0"/>
                <w:numId w:val="47"/>
              </w:numPr>
              <w:rPr>
                <w:color w:val="00B050"/>
                <w:lang w:val="en-GB"/>
              </w:rPr>
            </w:pPr>
            <w:r w:rsidRPr="00704DE8">
              <w:rPr>
                <w:color w:val="00B050"/>
                <w:lang w:val="en-GB"/>
              </w:rPr>
              <w:t>According to the PUCCH slots, to find which slots have PSFCH resource, i.e. find the PSFCH occasion;</w:t>
            </w:r>
          </w:p>
          <w:p w14:paraId="077B896F" w14:textId="77777777" w:rsidR="00FC4BDB" w:rsidRPr="00704DE8" w:rsidRDefault="00FC4BDB" w:rsidP="00FC4BDB">
            <w:pPr>
              <w:pStyle w:val="ListParagraph"/>
              <w:numPr>
                <w:ilvl w:val="0"/>
                <w:numId w:val="47"/>
              </w:numPr>
              <w:rPr>
                <w:color w:val="00B050"/>
                <w:lang w:val="en-GB"/>
              </w:rPr>
            </w:pPr>
            <w:r w:rsidRPr="00704DE8">
              <w:rPr>
                <w:color w:val="00B050"/>
                <w:lang w:val="en-GB"/>
              </w:rPr>
              <w:t>Based on the confirmed PSFCH resource, to find corresponding slots for PSSCH transmission, i.e. find PSSCH occasion.</w:t>
            </w:r>
          </w:p>
          <w:p w14:paraId="4C33493A" w14:textId="77777777" w:rsidR="00FC4BDB" w:rsidRDefault="00FC4BDB" w:rsidP="00FC4BDB">
            <w:pPr>
              <w:rPr>
                <w:color w:val="00B050"/>
                <w:lang w:val="en-GB"/>
              </w:rPr>
            </w:pPr>
            <w:r w:rsidRPr="00704DE8">
              <w:rPr>
                <w:color w:val="00B050"/>
                <w:lang w:val="en-GB"/>
              </w:rPr>
              <w:t>Therefore, without the first step, we cannot find the PSSCH occasion. That is why we think it is not totally appropriate to change M_A as PSSCH occasion only. If we keep it as original wording, it can still work but would have some redundant bits.</w:t>
            </w:r>
          </w:p>
          <w:p w14:paraId="668D1860" w14:textId="77777777" w:rsidR="00743F6E" w:rsidRPr="00E25782" w:rsidRDefault="00743F6E" w:rsidP="00743F6E">
            <w:pPr>
              <w:rPr>
                <w:rFonts w:eastAsia="等线"/>
                <w:color w:val="7030A0"/>
                <w:lang w:val="en-GB" w:eastAsia="zh-CN"/>
              </w:rPr>
            </w:pPr>
            <w:r w:rsidRPr="00E25782">
              <w:rPr>
                <w:rFonts w:eastAsia="等线" w:hint="eastAsia"/>
                <w:color w:val="7030A0"/>
                <w:lang w:val="en-GB" w:eastAsia="zh-CN"/>
              </w:rPr>
              <w:t>[</w:t>
            </w:r>
            <w:r w:rsidRPr="00E25782">
              <w:rPr>
                <w:rFonts w:eastAsia="等线"/>
                <w:color w:val="7030A0"/>
                <w:lang w:val="en-GB" w:eastAsia="zh-CN"/>
              </w:rPr>
              <w:t>vivo 2020/08/26]</w:t>
            </w:r>
          </w:p>
          <w:p w14:paraId="4DED00B4" w14:textId="77777777" w:rsidR="00743F6E" w:rsidRDefault="00743F6E" w:rsidP="00743F6E">
            <w:pPr>
              <w:rPr>
                <w:rFonts w:eastAsia="等线"/>
                <w:color w:val="7030A0"/>
                <w:lang w:val="en-GB" w:eastAsia="zh-CN"/>
              </w:rPr>
            </w:pPr>
            <w:r w:rsidRPr="00E25782">
              <w:rPr>
                <w:rFonts w:eastAsia="等线"/>
                <w:color w:val="7030A0"/>
                <w:lang w:val="en-GB" w:eastAsia="zh-CN"/>
              </w:rPr>
              <w:t>Thanks for your reply</w:t>
            </w:r>
            <w:r>
              <w:rPr>
                <w:rFonts w:eastAsia="等线"/>
                <w:color w:val="7030A0"/>
                <w:lang w:val="en-GB" w:eastAsia="zh-CN"/>
              </w:rPr>
              <w:t>.</w:t>
            </w:r>
          </w:p>
          <w:p w14:paraId="1840CD77" w14:textId="77777777" w:rsidR="00743F6E" w:rsidRDefault="00743F6E" w:rsidP="00743F6E">
            <w:pPr>
              <w:rPr>
                <w:rFonts w:eastAsia="等线"/>
                <w:color w:val="7030A0"/>
                <w:lang w:val="en-GB" w:eastAsia="zh-CN"/>
              </w:rPr>
            </w:pPr>
            <w:r>
              <w:rPr>
                <w:rFonts w:eastAsia="等线"/>
                <w:color w:val="7030A0"/>
                <w:lang w:val="en-GB" w:eastAsia="zh-CN"/>
              </w:rPr>
              <w:t xml:space="preserve">We have similar understanding with you on the two steps determine M_A. </w:t>
            </w:r>
          </w:p>
          <w:p w14:paraId="0916FA11" w14:textId="77777777" w:rsidR="00743F6E" w:rsidRDefault="00743F6E" w:rsidP="00743F6E">
            <w:pPr>
              <w:rPr>
                <w:rFonts w:eastAsia="等线"/>
                <w:color w:val="7030A0"/>
                <w:lang w:val="en-GB" w:eastAsia="zh-CN"/>
              </w:rPr>
            </w:pPr>
            <w:r>
              <w:rPr>
                <w:rFonts w:eastAsia="等线"/>
                <w:color w:val="7030A0"/>
                <w:lang w:val="en-GB" w:eastAsia="zh-CN"/>
              </w:rPr>
              <w:t>R</w:t>
            </w:r>
            <w:r>
              <w:rPr>
                <w:rFonts w:eastAsia="等线" w:hint="eastAsia"/>
                <w:color w:val="7030A0"/>
                <w:lang w:val="en-GB" w:eastAsia="zh-CN"/>
              </w:rPr>
              <w:t>egarding</w:t>
            </w:r>
            <w:r>
              <w:rPr>
                <w:rFonts w:eastAsia="等线"/>
                <w:color w:val="7030A0"/>
                <w:lang w:val="en-GB" w:eastAsia="zh-CN"/>
              </w:rPr>
              <w:t xml:space="preserve"> your comment </w:t>
            </w:r>
            <w:r w:rsidRPr="00704DE8">
              <w:rPr>
                <w:color w:val="00B050"/>
                <w:lang w:val="en-GB"/>
              </w:rPr>
              <w:t>it can still work but would have some redundant bits</w:t>
            </w:r>
          </w:p>
          <w:p w14:paraId="51841B9E" w14:textId="77777777" w:rsidR="00743F6E" w:rsidRDefault="00743F6E" w:rsidP="00743F6E">
            <w:pPr>
              <w:rPr>
                <w:rFonts w:eastAsia="等线"/>
                <w:color w:val="7030A0"/>
                <w:lang w:val="en-GB" w:eastAsia="zh-CN"/>
              </w:rPr>
            </w:pPr>
            <w:r>
              <w:rPr>
                <w:rFonts w:eastAsia="等线"/>
                <w:color w:val="7030A0"/>
                <w:lang w:val="en-GB" w:eastAsia="zh-CN"/>
              </w:rPr>
              <w:t xml:space="preserve">I am afraid we have different understandings. If we keep the wording as it is, then the HARQ-ACK reporting is broken. For example, there are 4 PSFCH occasions involved in a type 1 codebook, each PSFCH occasion has 4 associated PSSCH slots (because PSFCH period =4). Then there are 16 bits to be reported because these 16 PSSCH slots may be used for different TBs. But if we follow the current wording that M is the number Of PSFCH occasion(i.e., M=4), then only 4 bits will be reported, which means 12 HARQ-ACK bits have to be dropped. </w:t>
            </w:r>
          </w:p>
          <w:p w14:paraId="54245423" w14:textId="77777777" w:rsidR="00743F6E" w:rsidRDefault="00743F6E" w:rsidP="00743F6E">
            <w:pPr>
              <w:rPr>
                <w:rFonts w:eastAsia="宋体" w:cstheme="minorHAnsi"/>
                <w:color w:val="7030A0"/>
                <w:sz w:val="22"/>
                <w:lang w:val="en-GB" w:eastAsia="zh-CN"/>
              </w:rPr>
            </w:pPr>
            <w:r>
              <w:rPr>
                <w:rFonts w:eastAsia="等线"/>
                <w:color w:val="7030A0"/>
                <w:lang w:val="en-GB" w:eastAsia="zh-CN"/>
              </w:rPr>
              <w:t>Regarding the definition of M_A you metioned, I share the same view with you that the determination of M_A is related to PSFCH reception occasion as well as PSSCH occasion. Maybe we can try to align the wording with M_A (</w:t>
            </w:r>
            <m:oMath>
              <m:sSub>
                <m:sSubPr>
                  <m:ctrlPr>
                    <w:rPr>
                      <w:rFonts w:ascii="Cambria Math" w:eastAsia="宋体" w:hAnsi="Cambria Math" w:cs="Arial"/>
                      <w:i/>
                      <w:sz w:val="20"/>
                      <w:szCs w:val="20"/>
                      <w:highlight w:val="yellow"/>
                      <w:lang w:val="en-GB"/>
                    </w:rPr>
                  </m:ctrlPr>
                </m:sSubPr>
                <m:e>
                  <m:r>
                    <w:rPr>
                      <w:rFonts w:ascii="Cambria Math" w:eastAsia="宋体" w:hAnsi="Times New Roman" w:cs="Arial"/>
                      <w:sz w:val="20"/>
                      <w:szCs w:val="20"/>
                      <w:highlight w:val="yellow"/>
                      <w:lang w:val="en-GB"/>
                    </w:rPr>
                    <m:t>M</m:t>
                  </m:r>
                </m:e>
                <m:sub>
                  <m:r>
                    <w:rPr>
                      <w:rFonts w:ascii="Cambria Math" w:eastAsia="宋体" w:hAnsi="Times New Roman" w:cs="Arial"/>
                      <w:sz w:val="20"/>
                      <w:szCs w:val="20"/>
                      <w:highlight w:val="yellow"/>
                      <w:lang w:val="en-GB"/>
                    </w:rPr>
                    <m:t>A</m:t>
                  </m:r>
                </m:sub>
              </m:sSub>
            </m:oMath>
            <w:r w:rsidRPr="004645BB">
              <w:rPr>
                <w:rFonts w:ascii="Times New Roman" w:eastAsia="宋体" w:hAnsi="Times New Roman" w:cs="Arial"/>
                <w:sz w:val="20"/>
                <w:szCs w:val="20"/>
                <w:highlight w:val="yellow"/>
                <w:lang w:val="en-GB"/>
              </w:rPr>
              <w:t xml:space="preserve"> occasions for candidate PSSCH transmissions with corresponding PSFCH receptio</w:t>
            </w:r>
            <w:r w:rsidRPr="000A1215">
              <w:rPr>
                <w:rFonts w:ascii="Times New Roman" w:eastAsia="宋体" w:hAnsi="Times New Roman" w:cs="Arial"/>
                <w:sz w:val="20"/>
                <w:szCs w:val="20"/>
                <w:highlight w:val="yellow"/>
                <w:lang w:val="en-GB"/>
              </w:rPr>
              <w:t>n occasions</w:t>
            </w:r>
            <w:r>
              <w:rPr>
                <w:rFonts w:eastAsia="等线"/>
                <w:color w:val="7030A0"/>
                <w:lang w:val="en-GB" w:eastAsia="zh-CN"/>
              </w:rPr>
              <w:t xml:space="preserve">) . E.g., </w:t>
            </w:r>
            <w:r w:rsidRPr="004645BB">
              <w:rPr>
                <w:rFonts w:eastAsia="等线" w:cstheme="minorHAnsi"/>
                <w:color w:val="7030A0"/>
                <w:sz w:val="22"/>
                <w:lang w:val="en-GB" w:eastAsia="zh-CN"/>
              </w:rPr>
              <w:t>replac</w:t>
            </w:r>
            <w:r>
              <w:rPr>
                <w:rFonts w:eastAsia="等线" w:cstheme="minorHAnsi"/>
                <w:color w:val="7030A0"/>
                <w:sz w:val="22"/>
                <w:lang w:val="en-GB" w:eastAsia="zh-CN"/>
              </w:rPr>
              <w:t>ing</w:t>
            </w:r>
            <w:r w:rsidRPr="004645BB">
              <w:rPr>
                <w:rFonts w:eastAsia="等线" w:cstheme="minorHAnsi"/>
                <w:color w:val="7030A0"/>
                <w:sz w:val="22"/>
                <w:lang w:val="en-GB" w:eastAsia="zh-CN"/>
              </w:rPr>
              <w:t xml:space="preserve"> </w:t>
            </w:r>
            <w:r>
              <w:rPr>
                <w:rFonts w:eastAsia="等线" w:cstheme="minorHAnsi"/>
                <w:color w:val="7030A0"/>
                <w:sz w:val="22"/>
                <w:lang w:val="en-GB" w:eastAsia="zh-CN"/>
              </w:rPr>
              <w:t>‘</w:t>
            </w:r>
            <w:r w:rsidRPr="00FF66C7">
              <w:rPr>
                <w:rFonts w:cstheme="minorHAnsi"/>
                <w:color w:val="7030A0"/>
                <w:sz w:val="22"/>
              </w:rPr>
              <w:t xml:space="preserve">occasion for candidate PSSCH transmssion </w:t>
            </w:r>
            <w:r>
              <w:rPr>
                <w:rFonts w:cstheme="minorHAnsi"/>
                <w:color w:val="7030A0"/>
                <w:sz w:val="22"/>
              </w:rPr>
              <w:t>‘</w:t>
            </w:r>
            <w:r w:rsidRPr="004645BB">
              <w:rPr>
                <w:rFonts w:cstheme="minorHAnsi"/>
                <w:color w:val="7030A0"/>
                <w:sz w:val="22"/>
              </w:rPr>
              <w:t xml:space="preserve"> to </w:t>
            </w:r>
            <w:r>
              <w:rPr>
                <w:rFonts w:cstheme="minorHAnsi"/>
                <w:color w:val="7030A0"/>
                <w:sz w:val="22"/>
              </w:rPr>
              <w:t>‘</w:t>
            </w:r>
            <w:r w:rsidRPr="00FF66C7">
              <w:rPr>
                <w:rFonts w:cstheme="minorHAnsi"/>
                <w:color w:val="7030A0"/>
                <w:sz w:val="22"/>
              </w:rPr>
              <w:t xml:space="preserve">occasions for </w:t>
            </w:r>
            <w:r w:rsidRPr="004645BB">
              <w:rPr>
                <w:rFonts w:cstheme="minorHAnsi"/>
                <w:color w:val="7030A0"/>
                <w:sz w:val="22"/>
              </w:rPr>
              <w:t xml:space="preserve">candidate PSSCH transmissions </w:t>
            </w:r>
            <w:r w:rsidRPr="004645BB">
              <w:rPr>
                <w:rFonts w:eastAsia="宋体" w:cstheme="minorHAnsi"/>
                <w:color w:val="7030A0"/>
                <w:sz w:val="22"/>
                <w:lang w:val="en-GB"/>
              </w:rPr>
              <w:t>with corresponding PSFCH reception</w:t>
            </w:r>
            <w:r>
              <w:rPr>
                <w:rFonts w:eastAsia="宋体" w:cstheme="minorHAnsi"/>
                <w:color w:val="7030A0"/>
                <w:sz w:val="22"/>
                <w:lang w:val="en-GB"/>
              </w:rPr>
              <w:t xml:space="preserve"> </w:t>
            </w:r>
            <w:r w:rsidRPr="000A1215">
              <w:rPr>
                <w:rFonts w:eastAsia="宋体" w:cstheme="minorHAnsi"/>
                <w:color w:val="7030A0"/>
                <w:sz w:val="22"/>
                <w:lang w:val="en-GB"/>
              </w:rPr>
              <w:t>occasions</w:t>
            </w:r>
            <w:r>
              <w:rPr>
                <w:rFonts w:eastAsia="宋体" w:cstheme="minorHAnsi"/>
                <w:color w:val="7030A0"/>
                <w:sz w:val="22"/>
                <w:lang w:val="en-GB"/>
              </w:rPr>
              <w:t>’, then the TP could be updated as below.</w:t>
            </w:r>
            <w:r>
              <w:rPr>
                <w:rFonts w:eastAsia="宋体" w:cstheme="minorHAnsi"/>
                <w:color w:val="7030A0"/>
                <w:sz w:val="22"/>
                <w:lang w:val="en-GB" w:eastAsia="zh-CN"/>
              </w:rPr>
              <w:t xml:space="preserve"> It that acceptable to you?</w:t>
            </w:r>
          </w:p>
          <w:p w14:paraId="10BCB775" w14:textId="77777777" w:rsidR="00743F6E" w:rsidRDefault="00743F6E" w:rsidP="00743F6E">
            <w:pPr>
              <w:jc w:val="center"/>
            </w:pPr>
            <w:r>
              <w:rPr>
                <w:b/>
                <w:color w:val="FF0000"/>
              </w:rPr>
              <w:t>&lt;Unchanged parts omitted&gt;</w:t>
            </w:r>
          </w:p>
          <w:p w14:paraId="32D6B6D5" w14:textId="77777777" w:rsidR="00743F6E" w:rsidRPr="004645BB" w:rsidRDefault="00743F6E" w:rsidP="00743F6E">
            <w:pPr>
              <w:rPr>
                <w:rFonts w:cstheme="minorHAnsi"/>
                <w:sz w:val="22"/>
              </w:rPr>
            </w:pPr>
            <w:r w:rsidRPr="004645BB">
              <w:rPr>
                <w:rFonts w:cstheme="minorHAnsi"/>
                <w:sz w:val="22"/>
              </w:rPr>
              <w:t xml:space="preserve">The cardinality of the set </w:t>
            </w:r>
            <m:oMath>
              <m:sSub>
                <m:sSubPr>
                  <m:ctrlPr>
                    <w:rPr>
                      <w:rFonts w:ascii="Cambria Math" w:hAnsi="Cambria Math" w:cstheme="minorHAnsi"/>
                      <w:i/>
                      <w:sz w:val="22"/>
                    </w:rPr>
                  </m:ctrlPr>
                </m:sSubPr>
                <m:e>
                  <m:r>
                    <w:rPr>
                      <w:rFonts w:ascii="Cambria Math" w:hAnsi="Cambria Math" w:cstheme="minorHAnsi"/>
                      <w:sz w:val="22"/>
                    </w:rPr>
                    <m:t>M</m:t>
                  </m:r>
                </m:e>
                <m:sub>
                  <m:r>
                    <w:rPr>
                      <w:rFonts w:ascii="Cambria Math" w:hAnsi="Cambria Math" w:cstheme="minorHAnsi"/>
                      <w:sz w:val="22"/>
                    </w:rPr>
                    <m:t>A</m:t>
                  </m:r>
                </m:sub>
              </m:sSub>
            </m:oMath>
            <w:r w:rsidRPr="004645BB">
              <w:rPr>
                <w:rFonts w:cstheme="minorHAnsi"/>
                <w:sz w:val="22"/>
              </w:rPr>
              <w:t xml:space="preserve"> defines a total number </w:t>
            </w:r>
            <m:oMath>
              <m:r>
                <w:rPr>
                  <w:rFonts w:ascii="Cambria Math" w:hAnsi="Cambria Math" w:cstheme="minorHAnsi"/>
                  <w:sz w:val="22"/>
                </w:rPr>
                <m:t>M</m:t>
              </m:r>
            </m:oMath>
            <w:r w:rsidRPr="004645BB">
              <w:rPr>
                <w:rFonts w:cstheme="minorHAnsi"/>
                <w:sz w:val="22"/>
              </w:rPr>
              <w:t xml:space="preserve"> of </w:t>
            </w:r>
            <w:del w:id="61" w:author="Author">
              <w:r w:rsidRPr="004645BB">
                <w:rPr>
                  <w:rFonts w:cstheme="minorHAnsi"/>
                  <w:sz w:val="22"/>
                </w:rPr>
                <w:delText>PSFCH reception</w:delText>
              </w:r>
            </w:del>
            <w:ins w:id="62" w:author="Author" w:date="2020-08-26T11:30:00Z">
              <w:r w:rsidRPr="004645BB">
                <w:rPr>
                  <w:rFonts w:cstheme="minorHAnsi"/>
                  <w:sz w:val="22"/>
                </w:rPr>
                <w:t xml:space="preserve">occasions for </w:t>
              </w:r>
            </w:ins>
            <w:ins w:id="63" w:author="Author">
              <w:r w:rsidRPr="004645BB">
                <w:rPr>
                  <w:rFonts w:cstheme="minorHAnsi"/>
                  <w:sz w:val="22"/>
                </w:rPr>
                <w:t>candidate PSSCH transmission</w:t>
              </w:r>
            </w:ins>
            <w:ins w:id="64" w:author="Author" w:date="2020-08-26T11:30:00Z">
              <w:r w:rsidRPr="004645BB">
                <w:rPr>
                  <w:rFonts w:cstheme="minorHAnsi"/>
                  <w:sz w:val="22"/>
                </w:rPr>
                <w:t>s</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del w:id="65" w:author="Author" w:date="2020-08-26T11:30:00Z">
              <w:r w:rsidRPr="004645BB" w:rsidDel="002578B9">
                <w:rPr>
                  <w:rFonts w:cstheme="minorHAnsi"/>
                  <w:sz w:val="22"/>
                </w:rPr>
                <w:delText xml:space="preserve"> occasions</w:delText>
              </w:r>
            </w:del>
            <w:r w:rsidRPr="004645BB">
              <w:rPr>
                <w:rFonts w:cstheme="minorHAnsi"/>
                <w:sz w:val="22"/>
              </w:rPr>
              <w:t xml:space="preserve"> corresponding to the HARQ-ACK information bits. A UE determines </w:t>
            </w:r>
            <m:oMath>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0</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r>
                    <w:rPr>
                      <w:rFonts w:ascii="Cambria Math" w:hAnsi="Cambria Math" w:cstheme="minorHAnsi"/>
                      <w:sz w:val="22"/>
                    </w:rPr>
                    <m:t>1</m:t>
                  </m:r>
                </m:sub>
                <m:sup>
                  <m:r>
                    <w:rPr>
                      <w:rFonts w:ascii="Cambria Math" w:hAnsi="Cambria Math" w:cstheme="minorHAnsi"/>
                      <w:sz w:val="22"/>
                    </w:rPr>
                    <m:t>ACK</m:t>
                  </m:r>
                </m:sup>
              </m:sSubSup>
              <m:r>
                <m:rPr>
                  <m:sty m:val="p"/>
                </m:rPr>
                <w:rPr>
                  <w:rFonts w:ascii="Cambria Math" w:hAnsi="Cambria Math" w:cstheme="minorHAnsi"/>
                  <w:sz w:val="22"/>
                  <w:lang w:val="en-US"/>
                </w:rPr>
                <m:t>,…,</m:t>
              </m:r>
              <m:sSubSup>
                <m:sSubSupPr>
                  <m:ctrlPr>
                    <w:rPr>
                      <w:rFonts w:ascii="Cambria Math" w:hAnsi="Cambria Math" w:cstheme="minorHAnsi"/>
                      <w:i/>
                      <w:sz w:val="22"/>
                      <w:lang w:val="zh-CN"/>
                    </w:rPr>
                  </m:ctrlPr>
                </m:sSubSupPr>
                <m:e>
                  <m:acc>
                    <m:accPr>
                      <m:chr m:val="̃"/>
                      <m:ctrlPr>
                        <w:rPr>
                          <w:rFonts w:ascii="Cambria Math" w:hAnsi="Cambria Math" w:cstheme="minorHAnsi"/>
                          <w:i/>
                          <w:sz w:val="22"/>
                          <w:lang w:val="zh-CN"/>
                        </w:rPr>
                      </m:ctrlPr>
                    </m:accPr>
                    <m:e>
                      <m:r>
                        <w:rPr>
                          <w:rFonts w:ascii="Cambria Math" w:hAnsi="Cambria Math" w:cstheme="minorHAnsi"/>
                          <w:sz w:val="22"/>
                        </w:rPr>
                        <m:t>o</m:t>
                      </m:r>
                    </m:e>
                  </m:acc>
                </m:e>
                <m:sub>
                  <m:sSup>
                    <m:sSupPr>
                      <m:ctrlPr>
                        <w:rPr>
                          <w:rFonts w:ascii="Cambria Math" w:hAnsi="Cambria Math" w:cstheme="minorHAnsi"/>
                          <w:i/>
                          <w:sz w:val="22"/>
                        </w:rPr>
                      </m:ctrlPr>
                    </m:sSupPr>
                    <m:e>
                      <m:r>
                        <w:rPr>
                          <w:rFonts w:ascii="Cambria Math" w:hAnsi="Cambria Math" w:cstheme="minorHAnsi"/>
                          <w:sz w:val="22"/>
                        </w:rPr>
                        <m:t>O</m:t>
                      </m:r>
                    </m:e>
                    <m:sup>
                      <m:r>
                        <w:rPr>
                          <w:rFonts w:ascii="Cambria Math" w:hAnsi="Cambria Math" w:cstheme="minorHAnsi"/>
                          <w:sz w:val="22"/>
                        </w:rPr>
                        <m:t>ACK</m:t>
                      </m:r>
                    </m:sup>
                  </m:sSup>
                  <m:r>
                    <w:rPr>
                      <w:rFonts w:ascii="Cambria Math" w:hAnsi="Cambria Math" w:cstheme="minorHAnsi"/>
                      <w:sz w:val="22"/>
                    </w:rPr>
                    <m:t>-1</m:t>
                  </m:r>
                </m:sub>
                <m:sup>
                  <m:r>
                    <w:rPr>
                      <w:rFonts w:ascii="Cambria Math" w:hAnsi="Cambria Math" w:cstheme="minorHAnsi"/>
                      <w:sz w:val="22"/>
                    </w:rPr>
                    <m:t>ACK</m:t>
                  </m:r>
                </m:sup>
              </m:sSubSup>
            </m:oMath>
            <w:r w:rsidRPr="004645BB">
              <w:rPr>
                <w:rFonts w:cstheme="minorHAnsi"/>
                <w:sz w:val="22"/>
              </w:rPr>
              <w:t xml:space="preserve"> HARQ-ACK information bits, for a total number of  </w:t>
            </w:r>
            <m:oMath>
              <m:sSub>
                <m:sSubPr>
                  <m:ctrlPr>
                    <w:rPr>
                      <w:rFonts w:ascii="Cambria Math" w:hAnsi="Cambria Math" w:cstheme="minorHAnsi"/>
                      <w:i/>
                      <w:sz w:val="22"/>
                    </w:rPr>
                  </m:ctrlPr>
                </m:sSubPr>
                <m:e>
                  <m:r>
                    <w:rPr>
                      <w:rFonts w:ascii="Cambria Math" w:hAnsi="Cambria Math" w:cstheme="minorHAnsi"/>
                      <w:sz w:val="22"/>
                    </w:rPr>
                    <m:t>O</m:t>
                  </m:r>
                </m:e>
                <m:sub>
                  <m:r>
                    <m:rPr>
                      <m:nor/>
                    </m:rPr>
                    <w:rPr>
                      <w:rFonts w:cstheme="minorHAnsi"/>
                      <w:sz w:val="22"/>
                    </w:rPr>
                    <m:t>ACK</m:t>
                  </m:r>
                  <m:ctrlPr>
                    <w:rPr>
                      <w:rFonts w:ascii="Cambria Math" w:hAnsi="Cambria Math" w:cstheme="minorHAnsi"/>
                      <w:sz w:val="22"/>
                    </w:rPr>
                  </m:ctrlPr>
                </m:sub>
              </m:sSub>
            </m:oMath>
            <w:r w:rsidRPr="004645BB">
              <w:rPr>
                <w:rFonts w:cstheme="minorHAnsi"/>
                <w:sz w:val="22"/>
              </w:rPr>
              <w:t xml:space="preserve"> HARQ-ACK information bits as </w:t>
            </w:r>
            <m:oMath>
              <m:sSubSup>
                <m:sSubSupPr>
                  <m:ctrlPr>
                    <w:rPr>
                      <w:rFonts w:ascii="Cambria Math" w:hAnsi="Cambria Math" w:cstheme="minorHAnsi"/>
                      <w:i/>
                      <w:sz w:val="22"/>
                    </w:rPr>
                  </m:ctrlPr>
                </m:sSubSupPr>
                <m:e>
                  <m:acc>
                    <m:accPr>
                      <m:chr m:val="̃"/>
                      <m:ctrlPr>
                        <w:rPr>
                          <w:rFonts w:ascii="Cambria Math" w:hAnsi="Cambria Math" w:cstheme="minorHAnsi"/>
                          <w:i/>
                          <w:sz w:val="22"/>
                        </w:rPr>
                      </m:ctrlPr>
                    </m:accPr>
                    <m:e>
                      <m:r>
                        <w:rPr>
                          <w:rFonts w:ascii="Cambria Math" w:hAnsi="Cambria Math" w:cstheme="minorHAnsi"/>
                          <w:sz w:val="22"/>
                        </w:rPr>
                        <m:t>o</m:t>
                      </m:r>
                    </m:e>
                  </m:acc>
                </m:e>
                <m:sub>
                  <m:r>
                    <w:rPr>
                      <w:rFonts w:ascii="Cambria Math" w:hAnsi="Cambria Math" w:cstheme="minorHAnsi"/>
                      <w:sz w:val="22"/>
                    </w:rPr>
                    <m:t>j</m:t>
                  </m:r>
                </m:sub>
                <m:sup>
                  <m:r>
                    <w:rPr>
                      <w:rFonts w:ascii="Cambria Math" w:hAnsi="Cambria Math" w:cstheme="minorHAnsi"/>
                      <w:sz w:val="22"/>
                    </w:rPr>
                    <m:t>ACK</m:t>
                  </m:r>
                </m:sup>
              </m:sSubSup>
            </m:oMath>
            <w:r w:rsidRPr="004645BB">
              <w:rPr>
                <w:rFonts w:cstheme="minorHAnsi"/>
                <w:sz w:val="22"/>
              </w:rPr>
              <w:t xml:space="preserve"> = HARQ-ACK information bit for candidate PSSCH transmission with corresponding PSFCH reception </w:t>
            </w:r>
            <w:commentRangeStart w:id="66"/>
            <w:r w:rsidRPr="004645BB">
              <w:rPr>
                <w:rFonts w:cstheme="minorHAnsi"/>
                <w:sz w:val="22"/>
              </w:rPr>
              <w:t xml:space="preserve">with index </w:t>
            </w:r>
            <m:oMath>
              <m:r>
                <w:rPr>
                  <w:rFonts w:ascii="Cambria Math" w:hAnsi="Cambria Math" w:cstheme="minorHAnsi"/>
                  <w:sz w:val="22"/>
                </w:rPr>
                <m:t>j</m:t>
              </m:r>
              <w:commentRangeEnd w:id="66"/>
              <m:r>
                <m:rPr>
                  <m:sty m:val="p"/>
                </m:rPr>
                <w:rPr>
                  <w:rStyle w:val="CommentReference"/>
                  <w:rFonts w:eastAsiaTheme="minorEastAsia"/>
                  <w:lang w:val="en-US" w:eastAsia="zh-CN"/>
                </w:rPr>
                <w:commentReference w:id="66"/>
              </m:r>
            </m:oMath>
            <w:r w:rsidRPr="004645BB">
              <w:rPr>
                <w:rFonts w:cstheme="minorHAnsi"/>
                <w:sz w:val="22"/>
              </w:rPr>
              <w:t xml:space="preserve">, for  </w:t>
            </w:r>
            <m:oMath>
              <m:r>
                <m:rPr>
                  <m:sty m:val="p"/>
                </m:rPr>
                <w:rPr>
                  <w:rFonts w:ascii="Cambria Math" w:hAnsi="Cambria Math" w:cstheme="minorHAnsi"/>
                  <w:sz w:val="22"/>
                </w:rPr>
                <m:t>0 ≤</m:t>
              </m:r>
              <m:r>
                <w:rPr>
                  <w:rFonts w:ascii="Cambria Math" w:hAnsi="Cambria Math" w:cstheme="minorHAnsi"/>
                  <w:sz w:val="22"/>
                </w:rPr>
                <m:t>j&lt;M</m:t>
              </m:r>
            </m:oMath>
            <w:r w:rsidRPr="004645BB">
              <w:rPr>
                <w:rFonts w:cstheme="minorHAnsi"/>
                <w:sz w:val="22"/>
              </w:rPr>
              <w:t xml:space="preserve">, as described in Clause 16.5. If the UE does not </w:t>
            </w:r>
            <w:del w:id="67" w:author="Author">
              <w:r w:rsidRPr="004645BB">
                <w:rPr>
                  <w:rFonts w:cstheme="minorHAnsi"/>
                  <w:sz w:val="22"/>
                </w:rPr>
                <w:delText xml:space="preserve">receive </w:delText>
              </w:r>
            </w:del>
            <w:ins w:id="68" w:author="Author">
              <w:r w:rsidRPr="004645BB">
                <w:rPr>
                  <w:rFonts w:cstheme="minorHAnsi"/>
                  <w:sz w:val="22"/>
                </w:rPr>
                <w:t xml:space="preserve">transmit </w:t>
              </w:r>
            </w:ins>
            <w:r w:rsidRPr="004645BB">
              <w:rPr>
                <w:rFonts w:cstheme="minorHAnsi"/>
                <w:sz w:val="22"/>
              </w:rPr>
              <w:t xml:space="preserve">a </w:t>
            </w:r>
            <w:del w:id="69" w:author="Author">
              <w:r w:rsidRPr="004645BB">
                <w:rPr>
                  <w:rFonts w:cstheme="minorHAnsi"/>
                  <w:sz w:val="22"/>
                </w:rPr>
                <w:delText xml:space="preserve">PSFCH </w:delText>
              </w:r>
            </w:del>
            <w:ins w:id="70" w:author="Author">
              <w:r w:rsidRPr="004645BB">
                <w:rPr>
                  <w:rFonts w:cstheme="minorHAnsi"/>
                  <w:sz w:val="22"/>
                </w:rPr>
                <w:t xml:space="preserve">PSSCH </w:t>
              </w:r>
            </w:ins>
            <w:r w:rsidRPr="004645BB">
              <w:rPr>
                <w:rFonts w:cstheme="minorHAnsi"/>
                <w:sz w:val="22"/>
              </w:rPr>
              <w:t>in a</w:t>
            </w:r>
            <w:ins w:id="71" w:author="Author" w:date="2020-08-26T11:34:00Z">
              <w:r w:rsidRPr="004645BB">
                <w:rPr>
                  <w:rFonts w:cstheme="minorHAnsi"/>
                  <w:sz w:val="22"/>
                </w:rPr>
                <w:t>n</w:t>
              </w:r>
            </w:ins>
            <w:r w:rsidRPr="004645BB">
              <w:rPr>
                <w:rFonts w:cstheme="minorHAnsi"/>
                <w:sz w:val="22"/>
              </w:rPr>
              <w:t xml:space="preserve"> </w:t>
            </w:r>
            <w:ins w:id="72" w:author="Author" w:date="2020-08-26T11:30:00Z">
              <w:r w:rsidRPr="004645BB">
                <w:rPr>
                  <w:rFonts w:cstheme="minorHAnsi"/>
                  <w:sz w:val="22"/>
                </w:rPr>
                <w:t xml:space="preserve">occasion for </w:t>
              </w:r>
            </w:ins>
            <w:del w:id="73" w:author="Author">
              <w:r w:rsidRPr="004645BB">
                <w:rPr>
                  <w:rFonts w:cstheme="minorHAnsi"/>
                  <w:sz w:val="22"/>
                </w:rPr>
                <w:delText xml:space="preserve">PSFCH </w:delText>
              </w:r>
            </w:del>
            <w:r w:rsidRPr="004645BB">
              <w:rPr>
                <w:rFonts w:eastAsia="宋体" w:cstheme="minorHAnsi"/>
                <w:sz w:val="22"/>
                <w:highlight w:val="yellow"/>
                <w:lang w:val="en-GB"/>
              </w:rPr>
              <w:t>candidate</w:t>
            </w:r>
            <w:r w:rsidRPr="004645BB">
              <w:rPr>
                <w:rFonts w:cstheme="minorHAnsi"/>
                <w:sz w:val="22"/>
              </w:rPr>
              <w:t xml:space="preserve"> </w:t>
            </w:r>
            <w:ins w:id="74" w:author="Author">
              <w:r w:rsidRPr="004645BB">
                <w:rPr>
                  <w:rFonts w:cstheme="minorHAnsi"/>
                  <w:sz w:val="22"/>
                </w:rPr>
                <w:t xml:space="preserve">PSSCH </w:t>
              </w:r>
            </w:ins>
            <w:del w:id="75" w:author="Author">
              <w:r w:rsidRPr="004645BB">
                <w:rPr>
                  <w:rFonts w:cstheme="minorHAnsi"/>
                  <w:sz w:val="22"/>
                </w:rPr>
                <w:delText xml:space="preserve">reception </w:delText>
              </w:r>
            </w:del>
            <w:ins w:id="76" w:author="Author">
              <w:r w:rsidRPr="004645BB">
                <w:rPr>
                  <w:rFonts w:cstheme="minorHAnsi"/>
                  <w:sz w:val="22"/>
                </w:rPr>
                <w:t>transmission</w:t>
              </w:r>
              <w:del w:id="77" w:author="Author" w:date="2020-08-26T11:30:00Z">
                <w:r w:rsidRPr="004645BB" w:rsidDel="002578B9">
                  <w:rPr>
                    <w:rFonts w:cstheme="minorHAnsi"/>
                    <w:sz w:val="22"/>
                  </w:rPr>
                  <w:delText xml:space="preserve"> </w:delText>
                </w:r>
              </w:del>
            </w:ins>
            <w:r w:rsidRPr="004645BB">
              <w:rPr>
                <w:rFonts w:eastAsia="宋体" w:cstheme="minorHAnsi"/>
                <w:sz w:val="22"/>
                <w:highlight w:val="yellow"/>
                <w:lang w:val="en-GB"/>
              </w:rPr>
              <w:t>with corresponding PSFCH reception</w:t>
            </w:r>
            <w:r w:rsidRPr="000A1215">
              <w:rPr>
                <w:rFonts w:ascii="Calibri" w:eastAsia="宋体" w:hAnsi="Calibri" w:cs="Calibri"/>
                <w:sz w:val="22"/>
                <w:highlight w:val="yellow"/>
                <w:lang w:val="en-GB"/>
              </w:rPr>
              <w:t xml:space="preserve"> occasions</w:t>
            </w:r>
            <w:r w:rsidRPr="004645BB" w:rsidDel="002578B9">
              <w:rPr>
                <w:rFonts w:cstheme="minorHAnsi"/>
                <w:sz w:val="22"/>
              </w:rPr>
              <w:t xml:space="preserve"> </w:t>
            </w:r>
            <w:del w:id="78" w:author="Author" w:date="2020-08-26T11:30:00Z">
              <w:r w:rsidRPr="004645BB" w:rsidDel="002578B9">
                <w:rPr>
                  <w:rFonts w:cstheme="minorHAnsi"/>
                  <w:sz w:val="22"/>
                </w:rPr>
                <w:delText>occasion</w:delText>
              </w:r>
            </w:del>
            <w:r w:rsidRPr="004645BB">
              <w:rPr>
                <w:rFonts w:cstheme="minorHAnsi"/>
                <w:sz w:val="22"/>
              </w:rPr>
              <w:t xml:space="preserve">, due to the UE not detecting a corresponding DCI format 3_0, the UE generates a NACK value for the </w:t>
            </w:r>
            <w:ins w:id="79" w:author="Author" w:date="2020-08-26T11:31:00Z">
              <w:r w:rsidRPr="004645BB">
                <w:rPr>
                  <w:rFonts w:cstheme="minorHAnsi"/>
                  <w:sz w:val="22"/>
                </w:rPr>
                <w:t xml:space="preserve">occasion for </w:t>
              </w:r>
            </w:ins>
            <w:del w:id="80" w:author="Author">
              <w:r w:rsidRPr="004645BB">
                <w:rPr>
                  <w:rFonts w:cstheme="minorHAnsi"/>
                  <w:sz w:val="22"/>
                </w:rPr>
                <w:delText>PSFCH</w:delText>
              </w:r>
            </w:del>
            <w:r w:rsidRPr="004645BB">
              <w:rPr>
                <w:rFonts w:eastAsia="宋体" w:cstheme="minorHAnsi"/>
                <w:sz w:val="22"/>
                <w:highlight w:val="yellow"/>
                <w:lang w:val="en-GB"/>
              </w:rPr>
              <w:t xml:space="preserve"> candidate</w:t>
            </w:r>
            <w:del w:id="81" w:author="Author">
              <w:r w:rsidRPr="004645BB">
                <w:rPr>
                  <w:rFonts w:cstheme="minorHAnsi"/>
                  <w:sz w:val="22"/>
                </w:rPr>
                <w:delText xml:space="preserve"> </w:delText>
              </w:r>
            </w:del>
            <w:ins w:id="82" w:author="Author">
              <w:r w:rsidRPr="004645BB">
                <w:rPr>
                  <w:rFonts w:cstheme="minorHAnsi"/>
                  <w:sz w:val="22"/>
                </w:rPr>
                <w:t xml:space="preserve">PSSCH </w:t>
              </w:r>
            </w:ins>
            <w:del w:id="83" w:author="Author">
              <w:r w:rsidRPr="004645BB">
                <w:rPr>
                  <w:rFonts w:cstheme="minorHAnsi"/>
                  <w:sz w:val="22"/>
                </w:rPr>
                <w:delText xml:space="preserve">reception </w:delText>
              </w:r>
            </w:del>
            <w:ins w:id="84" w:author="Author">
              <w:r w:rsidRPr="004645BB">
                <w:rPr>
                  <w:rFonts w:cstheme="minorHAnsi"/>
                  <w:sz w:val="22"/>
                </w:rPr>
                <w:t>transmission</w:t>
              </w:r>
            </w:ins>
            <w:r w:rsidRPr="004645BB">
              <w:rPr>
                <w:rFonts w:eastAsia="宋体" w:cstheme="minorHAnsi"/>
                <w:sz w:val="22"/>
                <w:highlight w:val="yellow"/>
                <w:lang w:val="en-GB"/>
              </w:rPr>
              <w:t xml:space="preserve"> with corresponding PSFCH reception</w:t>
            </w:r>
            <w:r w:rsidRPr="000A1215">
              <w:rPr>
                <w:rFonts w:ascii="Calibri" w:eastAsia="宋体" w:hAnsi="Calibri" w:cs="Calibri"/>
                <w:sz w:val="22"/>
                <w:highlight w:val="yellow"/>
                <w:lang w:val="en-GB"/>
              </w:rPr>
              <w:t xml:space="preserve"> occasions</w:t>
            </w:r>
            <w:ins w:id="85" w:author="Author">
              <w:del w:id="86" w:author="Author" w:date="2020-08-26T11:31:00Z">
                <w:r w:rsidRPr="004645BB" w:rsidDel="002578B9">
                  <w:rPr>
                    <w:rFonts w:cstheme="minorHAnsi"/>
                    <w:sz w:val="22"/>
                  </w:rPr>
                  <w:delText xml:space="preserve"> </w:delText>
                </w:r>
              </w:del>
            </w:ins>
            <w:del w:id="87" w:author="Author" w:date="2020-08-26T11:31:00Z">
              <w:r w:rsidRPr="004645BB" w:rsidDel="002578B9">
                <w:rPr>
                  <w:rFonts w:cstheme="minorHAnsi"/>
                  <w:sz w:val="22"/>
                </w:rPr>
                <w:delText>occasion</w:delText>
              </w:r>
            </w:del>
            <w:r w:rsidRPr="004645BB">
              <w:rPr>
                <w:rFonts w:cstheme="minorHAnsi"/>
                <w:sz w:val="22"/>
              </w:rPr>
              <w:t xml:space="preserve">. </w:t>
            </w:r>
          </w:p>
          <w:p w14:paraId="7230CD1D" w14:textId="77777777" w:rsidR="00743F6E" w:rsidRDefault="00743F6E" w:rsidP="00743F6E">
            <w:pPr>
              <w:spacing w:before="240"/>
              <w:jc w:val="center"/>
              <w:rPr>
                <w:b/>
                <w:color w:val="FF0000"/>
              </w:rPr>
            </w:pPr>
            <w:r>
              <w:rPr>
                <w:b/>
                <w:color w:val="FF0000"/>
              </w:rPr>
              <w:t>&lt;Unchanged parts omitted&gt;</w:t>
            </w:r>
          </w:p>
          <w:p w14:paraId="280AC94F" w14:textId="4156400B" w:rsidR="008F0D03" w:rsidRPr="00704DE8" w:rsidRDefault="008F0D03" w:rsidP="008F0D03">
            <w:pPr>
              <w:rPr>
                <w:color w:val="00B050"/>
                <w:lang w:val="en-GB"/>
              </w:rPr>
            </w:pPr>
            <w:r>
              <w:rPr>
                <w:color w:val="00B050"/>
                <w:lang w:val="en-GB"/>
              </w:rPr>
              <w:t>[HW, HiSi_3] (08/27</w:t>
            </w:r>
            <w:r w:rsidRPr="00704DE8">
              <w:rPr>
                <w:color w:val="00B050"/>
                <w:lang w:val="en-GB"/>
              </w:rPr>
              <w:t>/2020)</w:t>
            </w:r>
          </w:p>
          <w:p w14:paraId="3A9399BD" w14:textId="561E4F22" w:rsidR="00743F6E" w:rsidRDefault="008F0D03" w:rsidP="008F0D03">
            <w:pPr>
              <w:rPr>
                <w:lang w:val="en-GB"/>
              </w:rPr>
            </w:pPr>
            <w:r w:rsidRPr="008F0D03">
              <w:rPr>
                <w:color w:val="00B050"/>
                <w:lang w:val="en-GB"/>
              </w:rPr>
              <w:t xml:space="preserve">Thanks Vivo for explainations, that is exactly what I mean. For a occasion defined in M_A, it corresponds to both PSSCH transmission </w:t>
            </w:r>
            <w:r>
              <w:rPr>
                <w:color w:val="00B050"/>
                <w:lang w:val="en-GB"/>
              </w:rPr>
              <w:t xml:space="preserve">occasion </w:t>
            </w:r>
            <w:r w:rsidRPr="008F0D03">
              <w:rPr>
                <w:color w:val="00B050"/>
                <w:lang w:val="en-GB"/>
              </w:rPr>
              <w:t xml:space="preserve">and PSFCH occasion, </w:t>
            </w:r>
            <w:r>
              <w:rPr>
                <w:color w:val="00B050"/>
                <w:lang w:val="en-GB"/>
              </w:rPr>
              <w:t>the PSSCH occasion is derived from PSFCH occasion based on the K_1 set and other parameter</w:t>
            </w:r>
            <w:r w:rsidR="00EB74C4">
              <w:rPr>
                <w:color w:val="00B050"/>
                <w:lang w:val="en-GB"/>
              </w:rPr>
              <w:t>s</w:t>
            </w:r>
            <w:r>
              <w:rPr>
                <w:color w:val="00B050"/>
                <w:lang w:val="en-GB"/>
              </w:rPr>
              <w:t>. I</w:t>
            </w:r>
            <w:r w:rsidRPr="008F0D03">
              <w:rPr>
                <w:color w:val="00B050"/>
                <w:lang w:val="en-GB"/>
              </w:rPr>
              <w:t xml:space="preserve">f this is the common understanding, we think the latest TP from vivo above is acceptable.  </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lastRenderedPageBreak/>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Heading4"/>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TableGrid"/>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Heading4"/>
              <w:outlineLvl w:val="3"/>
              <w:rPr>
                <w:sz w:val="28"/>
                <w:szCs w:val="24"/>
                <w:lang w:val="de-DE"/>
              </w:rPr>
            </w:pPr>
            <w:bookmarkStart w:id="88"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88"/>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89" w:author="Author" w:date="1901-01-01T00:00:00Z"/>
                <w:b/>
                <w:szCs w:val="20"/>
              </w:rPr>
            </w:pPr>
            <w:bookmarkStart w:id="90" w:name="_Hlk40025985"/>
            <w:ins w:id="91" w:author="Author">
              <w:r>
                <w:rPr>
                  <w:rFonts w:eastAsiaTheme="minorEastAsia"/>
                </w:rPr>
                <w:lastRenderedPageBreak/>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92"/>
              <w:r>
                <w:rPr>
                  <w:i/>
                </w:rPr>
                <w:t>sl-FeedbackToUL-ACK</w:t>
              </w:r>
            </w:ins>
            <w:commentRangeEnd w:id="92"/>
            <w:r>
              <w:rPr>
                <w:rStyle w:val="CommentReference"/>
              </w:rPr>
              <w:commentReference w:id="92"/>
            </w:r>
            <w:ins w:id="93" w:author="Author">
              <w:r>
                <w:rPr>
                  <w:i/>
                </w:rPr>
                <w:t xml:space="preserve"> </w:t>
              </w:r>
              <w:r>
                <w:t xml:space="preserve">for DCI format 3_0 </w:t>
              </w:r>
              <w:r>
                <w:rPr>
                  <w:lang w:val="en-GB"/>
                </w:rPr>
                <w:t xml:space="preserve">or by </w:t>
              </w:r>
              <w:commentRangeStart w:id="94"/>
              <w:r>
                <w:rPr>
                  <w:i/>
                  <w:iCs/>
                </w:rPr>
                <w:t>sl-ACKToUL-ACK</w:t>
              </w:r>
            </w:ins>
            <w:commentRangeEnd w:id="94"/>
            <w:r>
              <w:rPr>
                <w:rStyle w:val="CommentReference"/>
              </w:rPr>
              <w:commentReference w:id="94"/>
            </w:r>
            <w:ins w:id="95" w:author="Author">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90"/>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lastRenderedPageBreak/>
        <w:t>FL summary (25/8/2020)</w:t>
      </w:r>
    </w:p>
    <w:p w14:paraId="67B6F17A" w14:textId="77777777" w:rsidR="00AD32A7" w:rsidRDefault="00FB10F1">
      <w:pPr>
        <w:pStyle w:val="ListParagraph"/>
        <w:numPr>
          <w:ilvl w:val="0"/>
          <w:numId w:val="19"/>
        </w:numPr>
        <w:spacing w:before="240"/>
      </w:pPr>
      <w:r>
        <w:t>I will update the parameter names (as stated in the comments) when the discussion has settled down.</w:t>
      </w:r>
    </w:p>
    <w:p w14:paraId="705ABC7E" w14:textId="77777777" w:rsidR="00AD32A7" w:rsidRDefault="00FB10F1">
      <w:pPr>
        <w:pStyle w:val="ListParagraph"/>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96" w:author="Author">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97" w:author="Author">
              <w:r>
                <w:rPr>
                  <w:i/>
                </w:rPr>
                <w:t xml:space="preserve"> </w:t>
              </w:r>
              <w:r>
                <w:t xml:space="preserve">for DCI format 3_0 </w:t>
              </w:r>
              <w:r>
                <w:rPr>
                  <w:lang w:val="en-GB"/>
                </w:rPr>
                <w:t xml:space="preserve">or by </w:t>
              </w:r>
            </w:ins>
            <w:r>
              <w:rPr>
                <w:i/>
                <w:iCs/>
              </w:rPr>
              <w:t>sl-</w:t>
            </w:r>
            <w:r>
              <w:rPr>
                <w:i/>
                <w:iCs/>
                <w:color w:val="FF0000"/>
              </w:rPr>
              <w:t>PSFCH-ToPUCCH -CG-Type1</w:t>
            </w:r>
            <w:ins w:id="98" w:author="Author">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99" w:author="Author">
              <w:r>
                <w:rPr>
                  <w:rFonts w:eastAsiaTheme="minorEastAsia"/>
                </w:rPr>
                <w:t xml:space="preserve">shall be one of </w:t>
              </w:r>
            </w:ins>
            <w:r>
              <w:rPr>
                <w:rFonts w:eastAsiaTheme="minorEastAsia"/>
                <w:i/>
                <w:color w:val="FF0000"/>
              </w:rPr>
              <w:t>sl-PSFCH-ToPUCCH</w:t>
            </w:r>
            <w:ins w:id="100" w:author="Author">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BodyText"/>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lastRenderedPageBreak/>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3FC1D4DD" w:rsidR="00AD32A7" w:rsidRDefault="00EB74C4">
            <w:r>
              <w:rPr>
                <w:rFonts w:eastAsiaTheme="minorEastAsia"/>
                <w:noProof/>
                <w:sz w:val="20"/>
                <w:lang w:val="en-US" w:eastAsia="zh-CN"/>
              </w:rPr>
              <w:drawing>
                <wp:inline distT="0" distB="0" distL="0" distR="0" wp14:anchorId="5A8C0A57" wp14:editId="14E21164">
                  <wp:extent cx="4685030" cy="275526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r="-100890" b="-107162"/>
                          <a:stretch>
                            <a:fillRect/>
                          </a:stretch>
                        </pic:blipFill>
                        <pic:spPr bwMode="auto">
                          <a:xfrm>
                            <a:off x="0" y="0"/>
                            <a:ext cx="4685030" cy="2755265"/>
                          </a:xfrm>
                          <a:prstGeom prst="rect">
                            <a:avLst/>
                          </a:prstGeom>
                          <a:noFill/>
                          <a:ln>
                            <a:noFill/>
                          </a:ln>
                        </pic:spPr>
                      </pic:pic>
                    </a:graphicData>
                  </a:graphic>
                </wp:inline>
              </w:drawing>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w:t>
            </w:r>
            <w:r>
              <w:rPr>
                <w:rFonts w:eastAsia="等线"/>
                <w:color w:val="002060"/>
                <w:lang w:val="en-GB"/>
              </w:rPr>
              <w:lastRenderedPageBreak/>
              <w:t xml:space="preserve">missed DCI. With this principle, even if </w:t>
            </w:r>
            <w:r>
              <w:rPr>
                <w:rFonts w:eastAsia="等线" w:hint="eastAsia"/>
                <w:color w:val="002060"/>
                <w:lang w:val="en-GB"/>
              </w:rPr>
              <w:t>some</w:t>
            </w:r>
            <w:r>
              <w:rPr>
                <w:rFonts w:eastAsia="等线"/>
                <w:color w:val="002060"/>
                <w:lang w:val="en-GB"/>
              </w:rPr>
              <w:t xml:space="preserve"> DCI are missed, UE and gnb still share the same understanding of codebook size in most cases so the HARQ-ACK corresponding to received 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5122CB71"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p w14:paraId="3EE39AC6" w14:textId="77777777" w:rsidR="00FC4BDB" w:rsidRDefault="00FC4BDB">
            <w:pPr>
              <w:rPr>
                <w:rFonts w:eastAsia="等线"/>
                <w:color w:val="002060"/>
                <w:lang w:val="en-GB"/>
              </w:rPr>
            </w:pPr>
          </w:p>
          <w:p w14:paraId="3CB566E9" w14:textId="77777777" w:rsidR="00FC4BDB" w:rsidRPr="00704DE8" w:rsidRDefault="00FC4BDB" w:rsidP="00FC4BDB">
            <w:pPr>
              <w:rPr>
                <w:color w:val="00B050"/>
                <w:lang w:val="en-GB"/>
              </w:rPr>
            </w:pPr>
            <w:r w:rsidRPr="00704DE8">
              <w:rPr>
                <w:color w:val="00B050"/>
                <w:lang w:val="en-GB"/>
              </w:rPr>
              <w:t>[HW, HiSi_2] (08/26/2020)</w:t>
            </w:r>
          </w:p>
          <w:p w14:paraId="1639CF57" w14:textId="77777777" w:rsidR="00FC4BDB" w:rsidRPr="00DC4D64" w:rsidRDefault="00FC4BDB" w:rsidP="00FC4BDB">
            <w:pPr>
              <w:rPr>
                <w:rFonts w:eastAsia="等线"/>
                <w:color w:val="00B050"/>
                <w:lang w:val="en-GB"/>
              </w:rPr>
            </w:pPr>
            <w:r w:rsidRPr="00DC4D64">
              <w:rPr>
                <w:rFonts w:eastAsia="等线"/>
                <w:color w:val="00B050"/>
                <w:lang w:val="en-GB"/>
              </w:rPr>
              <w:t xml:space="preserve">Thanks for replies. Both from FL and Vivo explaination, we can see the difference between SL and DL HARQ codebook. We are ok with the TP in principle. </w:t>
            </w:r>
          </w:p>
          <w:p w14:paraId="7ABC6F03" w14:textId="77777777" w:rsidR="00FC4BDB" w:rsidRDefault="00FC4BDB">
            <w:pPr>
              <w:rPr>
                <w:rFonts w:eastAsia="等线"/>
                <w:color w:val="002060"/>
                <w:lang w:val="en-GB"/>
              </w:rPr>
            </w:pP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Heading4"/>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TableGrid"/>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Heading2"/>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101" w:author="Author">
              <w:r>
                <w:rPr>
                  <w:i/>
                  <w:iCs/>
                </w:rPr>
                <w:t>sl-PUCCH-Config</w:t>
              </w:r>
            </w:ins>
            <w:del w:id="102" w:author="Author">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103" w:author="Author" w:date="1901-01-01T00:00:00Z"/>
                <w:rFonts w:eastAsia="Yu Mincho"/>
                <w:sz w:val="20"/>
                <w:u w:val="single"/>
              </w:rPr>
            </w:pPr>
            <w:ins w:id="104" w:author="Author">
              <w:r>
                <w:rPr>
                  <w:rFonts w:eastAsia="Yu Mincho"/>
                  <w:sz w:val="20"/>
                  <w:u w:val="single"/>
                </w:rPr>
                <w:t xml:space="preserve">For a PUCCH transmission with HARQ-ACK information, a UE determines a PUCCH resource after determining a set of PUCCH resources for </w:t>
              </w:r>
            </w:ins>
            <w:ins w:id="105" w:author="Author">
              <w:r>
                <w:rPr>
                  <w:rFonts w:eastAsia="Yu Mincho"/>
                  <w:noProof/>
                  <w:position w:val="-10"/>
                  <w:sz w:val="20"/>
                  <w:u w:val="single"/>
                  <w:lang w:val="en-US" w:eastAsia="zh-CN"/>
                </w:rPr>
                <w:object w:dxaOrig="430" w:dyaOrig="333" w14:anchorId="14BAF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5pt;height:16.85pt;mso-width-percent:0;mso-height-percent:0;mso-width-percent:0;mso-height-percent:0" o:ole="">
                    <v:imagedata r:id="rId18" o:title=""/>
                  </v:shape>
                  <o:OLEObject Type="Embed" ProgID="Equation.3" ShapeID="_x0000_i1025" DrawAspect="Content" ObjectID="_1660029762" r:id="rId19"/>
                </w:object>
              </w:r>
            </w:ins>
            <w:ins w:id="106" w:author="Author">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lastRenderedPageBreak/>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ListParagraph"/>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ListParagraph"/>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ListParagraph"/>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TableGrid"/>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ListParagraph"/>
              <w:numPr>
                <w:ilvl w:val="0"/>
                <w:numId w:val="21"/>
              </w:numPr>
              <w:contextualSpacing/>
            </w:pPr>
            <w:r>
              <w:t xml:space="preserve">NR supports reporting of multiple SL HARQ-ACKs in a single PUCCH resource. </w:t>
            </w:r>
          </w:p>
          <w:p w14:paraId="064EBA25" w14:textId="77777777" w:rsidR="00AD32A7" w:rsidRDefault="00FB10F1">
            <w:pPr>
              <w:pStyle w:val="ListParagraph"/>
              <w:numPr>
                <w:ilvl w:val="1"/>
                <w:numId w:val="21"/>
              </w:numPr>
              <w:contextualSpacing/>
            </w:pPr>
            <w:r>
              <w:t>The Rel-15 procedures for multiplexing DL HARQ-ACKs are reutilized.</w:t>
            </w:r>
          </w:p>
          <w:p w14:paraId="1547BF76" w14:textId="77777777" w:rsidR="00AD32A7" w:rsidRDefault="00FB10F1">
            <w:pPr>
              <w:pStyle w:val="ListParagraph"/>
              <w:numPr>
                <w:ilvl w:val="1"/>
                <w:numId w:val="21"/>
              </w:numPr>
              <w:contextualSpacing/>
            </w:pPr>
            <w:r>
              <w:t xml:space="preserve">Reports carry SL HARQ-ACKs for dynamic grants and/or configured grants. </w:t>
            </w:r>
          </w:p>
          <w:p w14:paraId="7C88D72C" w14:textId="77777777" w:rsidR="00AD32A7" w:rsidRDefault="00FB10F1">
            <w:pPr>
              <w:pStyle w:val="ListParagraph"/>
              <w:numPr>
                <w:ilvl w:val="2"/>
                <w:numId w:val="21"/>
              </w:numPr>
              <w:contextualSpacing/>
            </w:pPr>
            <w:r>
              <w:rPr>
                <w:highlight w:val="yellow"/>
              </w:rPr>
              <w:lastRenderedPageBreak/>
              <w:t>A UE does not expected to be indicated to transmit SL HARQ-ACK information for more than one SL configured grant in a same PUCCH.</w:t>
            </w:r>
          </w:p>
          <w:p w14:paraId="28B3B3DD"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ListParagraph"/>
              <w:contextualSpacing/>
              <w:jc w:val="center"/>
            </w:pPr>
            <w:r>
              <w:t>[...]</w:t>
            </w:r>
          </w:p>
        </w:tc>
      </w:tr>
    </w:tbl>
    <w:p w14:paraId="13EC0D5E" w14:textId="77777777" w:rsidR="00AD32A7" w:rsidRDefault="00FB10F1">
      <w:pPr>
        <w:pStyle w:val="ListParagraph"/>
        <w:numPr>
          <w:ilvl w:val="0"/>
          <w:numId w:val="15"/>
        </w:numPr>
        <w:spacing w:before="240"/>
        <w:rPr>
          <w:lang w:val="en-GB"/>
        </w:rPr>
      </w:pPr>
      <w:r>
        <w:rPr>
          <w:lang w:val="en-GB"/>
        </w:rPr>
        <w:lastRenderedPageBreak/>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Heading2"/>
      </w:pPr>
      <w:r>
        <w:t>1.4</w:t>
      </w:r>
      <w:r>
        <w:tab/>
        <w:t>Processing times</w:t>
      </w:r>
    </w:p>
    <w:p w14:paraId="098B5279" w14:textId="77777777" w:rsidR="00AD32A7" w:rsidRDefault="00FB10F1">
      <w:pPr>
        <w:pStyle w:val="Heading3"/>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107" w:name="_Hlk42029781"/>
            <w:r>
              <w:rPr>
                <w:highlight w:val="green"/>
              </w:rPr>
              <w:t>Agreements</w:t>
            </w:r>
            <w:r>
              <w:t>:</w:t>
            </w:r>
          </w:p>
          <w:p w14:paraId="23D3E12A"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EE441A">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EE441A">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EE441A">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107"/>
          </w:p>
        </w:tc>
      </w:tr>
    </w:tbl>
    <w:p w14:paraId="57C7C007" w14:textId="77777777" w:rsidR="00AD32A7" w:rsidRDefault="00FB10F1">
      <w:pPr>
        <w:pStyle w:val="ListParagraph"/>
        <w:ind w:left="0"/>
        <w:rPr>
          <w:b/>
          <w:bCs/>
        </w:rPr>
      </w:pPr>
      <w:r>
        <w:rPr>
          <w:b/>
          <w:bCs/>
        </w:rPr>
        <w:t>The following agreement was declared on 21/8/2020</w:t>
      </w:r>
    </w:p>
    <w:p w14:paraId="251EB585" w14:textId="77777777" w:rsidR="00AD32A7" w:rsidRDefault="00FB10F1">
      <w:pPr>
        <w:pStyle w:val="ListParagraph"/>
        <w:ind w:left="0"/>
        <w:rPr>
          <w:rFonts w:eastAsia="Gulim" w:cs="Calibri"/>
        </w:rPr>
      </w:pPr>
      <w:r>
        <w:rPr>
          <w:b/>
          <w:bCs/>
          <w:highlight w:val="green"/>
        </w:rPr>
        <w:t>Agreements</w:t>
      </w:r>
      <w:r>
        <w:rPr>
          <w:b/>
          <w:bCs/>
        </w:rPr>
        <w:t>:</w:t>
      </w:r>
    </w:p>
    <w:p w14:paraId="26267527" w14:textId="77777777" w:rsidR="00AD32A7" w:rsidRDefault="00FB10F1">
      <w:pPr>
        <w:pStyle w:val="ListParagraph"/>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Heading4"/>
      </w:pPr>
      <w:r>
        <w:t>TP 1.4.1-1</w:t>
      </w:r>
    </w:p>
    <w:p w14:paraId="56C05479" w14:textId="77777777" w:rsidR="00AD32A7" w:rsidRDefault="00FB10F1">
      <w:pPr>
        <w:spacing w:before="240"/>
        <w:rPr>
          <w:b/>
          <w:bCs/>
        </w:rPr>
      </w:pPr>
      <w:r>
        <w:rPr>
          <w:b/>
          <w:bCs/>
        </w:rPr>
        <w:t>The preceding agreement is captured in the following TP for TS 38.214</w:t>
      </w:r>
    </w:p>
    <w:tbl>
      <w:tblPr>
        <w:tblStyle w:val="TableGrid"/>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108"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Heading2"/>
              <w:outlineLvl w:val="1"/>
              <w:rPr>
                <w:lang w:val="de-DE"/>
              </w:rPr>
            </w:pPr>
            <w:r>
              <w:rPr>
                <w:lang w:val="de-DE"/>
              </w:rPr>
              <w:t>8.6</w:t>
            </w:r>
            <w:r>
              <w:rPr>
                <w:lang w:val="de-DE"/>
              </w:rPr>
              <w:tab/>
              <w:t>UE PSSCH preparation procedure time</w:t>
            </w:r>
            <w:bookmarkEnd w:id="108"/>
          </w:p>
          <w:p w14:paraId="782A83E9" w14:textId="77777777" w:rsidR="00AD32A7" w:rsidRDefault="00FB10F1">
            <w:r>
              <w:t>For sidelink dynamic grant</w:t>
            </w:r>
            <w:ins w:id="109" w:author="Author">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110" w:author="Author">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111" w:author="Author">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112" w:author="Author">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lastRenderedPageBreak/>
              <w:t>Otherwise the UE may ignore the scheduling DCI</w:t>
            </w:r>
            <w:ins w:id="113" w:author="Author">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lastRenderedPageBreak/>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Heading3"/>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ListParagraph"/>
        <w:numPr>
          <w:ilvl w:val="0"/>
          <w:numId w:val="24"/>
        </w:numPr>
        <w:rPr>
          <w:b/>
          <w:bCs/>
        </w:rPr>
      </w:pPr>
      <w:r>
        <w:rPr>
          <w:b/>
          <w:bCs/>
        </w:rPr>
        <w:t xml:space="preserve">It is necessary to agree on an assumption on the HARQ RTT. </w:t>
      </w:r>
    </w:p>
    <w:p w14:paraId="5031F456" w14:textId="77777777" w:rsidR="00AD32A7" w:rsidRDefault="00FB10F1">
      <w:pPr>
        <w:pStyle w:val="ListParagraph"/>
        <w:numPr>
          <w:ilvl w:val="0"/>
          <w:numId w:val="24"/>
        </w:numPr>
        <w:rPr>
          <w:b/>
          <w:bCs/>
        </w:rPr>
      </w:pPr>
      <w:r>
        <w:rPr>
          <w:b/>
          <w:bCs/>
        </w:rPr>
        <w:t>It is not necessary to agree on an assumption on the HARQ RTT. In that case,</w:t>
      </w:r>
    </w:p>
    <w:p w14:paraId="27776594" w14:textId="77777777" w:rsidR="00AD32A7" w:rsidRDefault="00FB10F1">
      <w:pPr>
        <w:pStyle w:val="ListParagraph"/>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ListParagraph"/>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ListParagraph"/>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ListParagraph"/>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ListParagraph"/>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ListParagraph"/>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ListParagraph"/>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ListParagraph"/>
        <w:numPr>
          <w:ilvl w:val="0"/>
          <w:numId w:val="27"/>
        </w:numPr>
      </w:pPr>
      <w:r>
        <w:t xml:space="preserve">The time between PSFCH reception and next PSCCH/PSSCH retransmission (i.e., ’b’) does not exceed </w:t>
      </w:r>
      <w:ins w:id="114" w:author="Author">
        <w:r>
          <w:t>T</w:t>
        </w:r>
        <w:r>
          <w:rPr>
            <w:vertAlign w:val="subscript"/>
          </w:rPr>
          <w:t>prep</w:t>
        </w:r>
      </w:ins>
      <w:del w:id="115" w:author="Author">
        <w:r>
          <w:delText>T</w:delText>
        </w:r>
        <w:r>
          <w:rPr>
            <w:vertAlign w:val="subscript"/>
          </w:rPr>
          <w:delText>proc</w:delText>
        </w:r>
      </w:del>
      <w:r>
        <w:t>.</w:t>
      </w:r>
    </w:p>
    <w:p w14:paraId="7B3A471C" w14:textId="77777777" w:rsidR="00AD32A7" w:rsidRDefault="00FB10F1">
      <w:pPr>
        <w:pStyle w:val="ListParagraph"/>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lastRenderedPageBreak/>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ListParagraph"/>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ListParagraph"/>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ListParagraph"/>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14:paraId="2EEC4BE1" w14:textId="77777777" w:rsidR="00AD32A7" w:rsidRDefault="00FB10F1">
      <w:pPr>
        <w:pStyle w:val="ListParagraph"/>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ListParagraph"/>
        <w:numPr>
          <w:ilvl w:val="0"/>
          <w:numId w:val="28"/>
        </w:numPr>
        <w:spacing w:before="240"/>
      </w:pPr>
      <w:r>
        <w:t>Option A. The gNB provides a grant for transmission in a pool with PSFCH resources.</w:t>
      </w:r>
    </w:p>
    <w:p w14:paraId="1A5AE246" w14:textId="77777777" w:rsidR="00AD32A7" w:rsidRDefault="00FB10F1">
      <w:pPr>
        <w:pStyle w:val="ListParagraph"/>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ListParagraph"/>
        <w:numPr>
          <w:ilvl w:val="0"/>
          <w:numId w:val="29"/>
        </w:numPr>
        <w:spacing w:before="240"/>
      </w:pPr>
      <w:r>
        <w:t>The UE sends a BSR which indicates that it has data belonging to LCH for which SL HARQ FB is not enabled.</w:t>
      </w:r>
    </w:p>
    <w:p w14:paraId="234622B8" w14:textId="77777777" w:rsidR="00AD32A7" w:rsidRDefault="00FB10F1">
      <w:pPr>
        <w:pStyle w:val="ListParagraph"/>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ListParagraph"/>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ListParagraph"/>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ListParagraph"/>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ListParagraph"/>
        <w:numPr>
          <w:ilvl w:val="0"/>
          <w:numId w:val="30"/>
        </w:numPr>
        <w:spacing w:before="240"/>
      </w:pPr>
      <w:ins w:id="116" w:author="Author">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TableGrid"/>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xml:space="preserve">”. To our understanding on the original intention of this </w:t>
            </w:r>
            <w:r>
              <w:rPr>
                <w:lang w:val="en-GB"/>
              </w:rPr>
              <w:lastRenderedPageBreak/>
              <w:t>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ListParagraph"/>
              <w:numPr>
                <w:ilvl w:val="0"/>
                <w:numId w:val="31"/>
              </w:numPr>
              <w:rPr>
                <w:lang w:val="en-GB"/>
              </w:rPr>
            </w:pPr>
            <w:r>
              <w:rPr>
                <w:lang w:val="en-GB"/>
              </w:rPr>
              <w:t xml:space="preserve">If the main bullet in agreement is a restriction to gNB behaviour, delta should be a value knowable to gNB. </w:t>
            </w:r>
          </w:p>
          <w:p w14:paraId="6221CA63" w14:textId="77777777" w:rsidR="00AD32A7" w:rsidRDefault="00FB10F1">
            <w:pPr>
              <w:pStyle w:val="ListParagraph"/>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ListParagraph"/>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ListParagraph"/>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ListParagraph"/>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lastRenderedPageBreak/>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lastRenderedPageBreak/>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ListParagraph"/>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ListParagraph"/>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w:t>
            </w:r>
            <w:r>
              <w:rPr>
                <w:lang w:val="en-GB"/>
              </w:rPr>
              <w:lastRenderedPageBreak/>
              <w:t>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ListParagraph"/>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seems fine 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ListParagraph"/>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ListParagraph"/>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5BF8C1B9" w14:textId="77777777" w:rsidR="00AD32A7" w:rsidRDefault="00FB10F1">
            <w:pPr>
              <w:rPr>
                <w:color w:val="00B050"/>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bookmarkStart w:id="117" w:name="_GoBack"/>
            <w:bookmarkEnd w:id="117"/>
          </w:p>
          <w:p w14:paraId="4BACE996" w14:textId="77777777" w:rsidR="00AF2207" w:rsidRDefault="00AF2207">
            <w:pPr>
              <w:rPr>
                <w:color w:val="FF0000"/>
                <w:lang w:val="en-GB"/>
              </w:rPr>
            </w:pPr>
            <w:r w:rsidRPr="00AF2207">
              <w:rPr>
                <w:color w:val="FF0000"/>
                <w:lang w:val="en-GB"/>
              </w:rPr>
              <w:t>FL reply (26/8/2020):</w:t>
            </w:r>
          </w:p>
          <w:p w14:paraId="48D19EB4" w14:textId="77777777" w:rsidR="00AF2207" w:rsidRDefault="00AF2207">
            <w:pPr>
              <w:rPr>
                <w:color w:val="FF0000"/>
                <w:lang w:val="en-GB"/>
              </w:rPr>
            </w:pPr>
            <w:r w:rsidRPr="00AF2207">
              <w:rPr>
                <w:color w:val="FF0000"/>
                <w:lang w:val="en-GB"/>
              </w:rPr>
              <w:t>I disagree with the following statement you made: “</w:t>
            </w:r>
            <w:r w:rsidRPr="00EB74C4">
              <w:rPr>
                <w:color w:val="FF0000"/>
                <w:lang w:val="en-GB"/>
              </w:rPr>
              <w:t>For the case the PUCCH resource is not configured, PSFCH resources are configured and the SL HARQ is enabled but the time requirement is not met, UE can handle it by implementation</w:t>
            </w:r>
            <w:r w:rsidRPr="00AF2207">
              <w:rPr>
                <w:color w:val="FF0000"/>
                <w:lang w:val="en-GB"/>
              </w:rPr>
              <w:t>”</w:t>
            </w:r>
            <w:r>
              <w:rPr>
                <w:color w:val="FF0000"/>
                <w:lang w:val="en-GB"/>
              </w:rPr>
              <w:t>. My understanding is that this has to be addressed by RAN2 in LCP.</w:t>
            </w:r>
          </w:p>
          <w:p w14:paraId="2D90D873" w14:textId="77777777" w:rsidR="00D936A2" w:rsidRDefault="00D936A2">
            <w:pPr>
              <w:rPr>
                <w:color w:val="FF0000"/>
                <w:lang w:val="en-GB"/>
              </w:rPr>
            </w:pPr>
          </w:p>
          <w:p w14:paraId="2CC23962" w14:textId="0F1B0F52" w:rsidR="00D936A2" w:rsidRPr="00D936A2" w:rsidRDefault="00D936A2" w:rsidP="00D936A2">
            <w:pPr>
              <w:rPr>
                <w:color w:val="00B050"/>
                <w:lang w:val="en-GB"/>
              </w:rPr>
            </w:pPr>
            <w:r w:rsidRPr="00D936A2">
              <w:rPr>
                <w:color w:val="00B050"/>
                <w:lang w:val="en-GB"/>
              </w:rPr>
              <w:t>[HWHiSi_3] (27</w:t>
            </w:r>
            <w:r w:rsidRPr="00D936A2">
              <w:rPr>
                <w:color w:val="00B050"/>
                <w:lang w:val="en-GB"/>
              </w:rPr>
              <w:t>/08/2020)</w:t>
            </w:r>
          </w:p>
          <w:p w14:paraId="056E6317" w14:textId="10F4278D" w:rsidR="00D936A2" w:rsidRDefault="00D936A2" w:rsidP="00D936A2">
            <w:pPr>
              <w:rPr>
                <w:lang w:val="en-GB"/>
              </w:rPr>
            </w:pPr>
            <w:r w:rsidRPr="00D936A2">
              <w:rPr>
                <w:color w:val="00B050"/>
                <w:lang w:val="en-GB"/>
              </w:rPr>
              <w:t>I am not sure what is exact issue you pointed</w:t>
            </w:r>
            <w:r>
              <w:rPr>
                <w:color w:val="00B050"/>
                <w:lang w:val="en-GB"/>
              </w:rPr>
              <w:t xml:space="preserve"> to</w:t>
            </w:r>
            <w:r w:rsidRPr="00D936A2">
              <w:rPr>
                <w:color w:val="00B050"/>
                <w:lang w:val="en-GB"/>
              </w:rPr>
              <w:t xml:space="preserve"> has to be handled in LCP. RAN2 does not specify a time restriction to format a MAC PDU and </w:t>
            </w:r>
            <w:r>
              <w:rPr>
                <w:color w:val="00B050"/>
                <w:lang w:val="en-GB"/>
              </w:rPr>
              <w:t xml:space="preserve">also </w:t>
            </w:r>
            <w:r w:rsidRPr="00D936A2">
              <w:rPr>
                <w:color w:val="00B050"/>
                <w:lang w:val="en-GB"/>
              </w:rPr>
              <w:t>the time for different U</w:t>
            </w:r>
            <w:r>
              <w:rPr>
                <w:color w:val="00B050"/>
                <w:lang w:val="en-GB"/>
              </w:rPr>
              <w:t>Es is</w:t>
            </w:r>
            <w:r w:rsidRPr="00D936A2">
              <w:rPr>
                <w:color w:val="00B050"/>
                <w:lang w:val="en-GB"/>
              </w:rPr>
              <w:t xml:space="preserve"> various. So we do not need to define the UE behaviour in RAN1 or RAN2 when the timeline is not satisfied, if the UE can still transmit a pac</w:t>
            </w:r>
            <w:r w:rsidR="008F0D03">
              <w:rPr>
                <w:color w:val="00B050"/>
                <w:lang w:val="en-GB"/>
              </w:rPr>
              <w:t>ket,</w:t>
            </w:r>
            <w:r w:rsidRPr="00D936A2">
              <w:rPr>
                <w:color w:val="00B050"/>
                <w:lang w:val="en-GB"/>
              </w:rPr>
              <w:t xml:space="preserve"> just transmit it, if it cannot, the grant can be ignored naturally.</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 xml:space="preserve">mit a PDU which does not require HARQ feedback on the granted resources. But since it is the gnb who wants to get some SL information, it is natural for gnb to ensure the minimum gap if it provides PUCCH. </w:t>
            </w:r>
            <w:r>
              <w:rPr>
                <w:rFonts w:eastAsia="等线"/>
                <w:lang w:val="en-GB"/>
              </w:rPr>
              <w:lastRenderedPageBreak/>
              <w:t>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2B940203" w14:textId="77777777" w:rsidR="00AD32A7" w:rsidRDefault="00FB10F1">
            <w:pPr>
              <w:pStyle w:val="ListParagraph"/>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ListParagraph"/>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ListParagraph"/>
              <w:numPr>
                <w:ilvl w:val="0"/>
                <w:numId w:val="35"/>
              </w:numPr>
              <w:rPr>
                <w:lang w:val="en-GB"/>
              </w:rPr>
            </w:pPr>
            <w:r>
              <w:rPr>
                <w:lang w:val="en-GB"/>
              </w:rPr>
              <w:t>0 ms</w:t>
            </w:r>
          </w:p>
          <w:p w14:paraId="606410FE" w14:textId="77777777" w:rsidR="00AD32A7" w:rsidRDefault="00FB10F1">
            <w:pPr>
              <w:pStyle w:val="ListParagraph"/>
              <w:numPr>
                <w:ilvl w:val="0"/>
                <w:numId w:val="35"/>
              </w:numPr>
              <w:rPr>
                <w:lang w:val="en-GB"/>
              </w:rPr>
            </w:pPr>
            <w:r>
              <w:rPr>
                <w:lang w:val="en-GB"/>
              </w:rPr>
              <w:t>0.5 ms</w:t>
            </w:r>
          </w:p>
          <w:p w14:paraId="79ECCDAA" w14:textId="77777777" w:rsidR="00AD32A7" w:rsidRDefault="00FB10F1">
            <w:pPr>
              <w:pStyle w:val="ListParagraph"/>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w:t>
            </w:r>
            <w:r>
              <w:rPr>
                <w:rFonts w:eastAsiaTheme="minorEastAsia"/>
                <w:lang w:val="en-GB"/>
              </w:rPr>
              <w:lastRenderedPageBreak/>
              <w:t xml:space="preserve">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4A220927" w14:textId="77777777" w:rsidR="00633B96" w:rsidRDefault="00633B96" w:rsidP="00C9178B">
            <w:pPr>
              <w:rPr>
                <w:rFonts w:eastAsiaTheme="minorEastAsia"/>
                <w:color w:val="7030A0"/>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p w14:paraId="69443CE1" w14:textId="77777777" w:rsidR="005D791A" w:rsidRDefault="005D791A" w:rsidP="00C9178B">
            <w:pPr>
              <w:rPr>
                <w:rFonts w:eastAsiaTheme="minorEastAsia"/>
                <w:color w:val="FF0000"/>
                <w:lang w:val="en-GB"/>
              </w:rPr>
            </w:pPr>
            <w:r w:rsidRPr="005D791A">
              <w:rPr>
                <w:rFonts w:eastAsiaTheme="minorEastAsia"/>
                <w:color w:val="FF0000"/>
                <w:lang w:val="en-GB"/>
              </w:rPr>
              <w:t>FL reply 26/8/2020:</w:t>
            </w:r>
          </w:p>
          <w:p w14:paraId="194605EB" w14:textId="77777777" w:rsidR="005D791A" w:rsidRDefault="005D791A" w:rsidP="005D791A">
            <w:pPr>
              <w:rPr>
                <w:rFonts w:eastAsiaTheme="minorEastAsia"/>
                <w:color w:val="FF0000"/>
                <w:lang w:val="en-GB"/>
              </w:rPr>
            </w:pPr>
            <w:r>
              <w:rPr>
                <w:rFonts w:eastAsiaTheme="minorEastAsia"/>
                <w:color w:val="FF0000"/>
                <w:lang w:val="en-GB"/>
              </w:rPr>
              <w:t>Once again, the solution you are proposing, requires changes to LCP.</w:t>
            </w:r>
            <w:r w:rsidR="00AF2207">
              <w:rPr>
                <w:rFonts w:eastAsiaTheme="minorEastAsia"/>
                <w:color w:val="FF0000"/>
                <w:lang w:val="en-GB"/>
              </w:rPr>
              <w:t xml:space="preserve"> </w:t>
            </w:r>
          </w:p>
          <w:p w14:paraId="2A459EC1" w14:textId="649C1391" w:rsidR="0060669C" w:rsidRDefault="0060669C" w:rsidP="0060669C">
            <w:pPr>
              <w:rPr>
                <w:rFonts w:eastAsiaTheme="minorEastAsia"/>
                <w:color w:val="7030A0"/>
                <w:lang w:val="en-GB"/>
              </w:rPr>
            </w:pPr>
            <w:r w:rsidRPr="0060669C">
              <w:rPr>
                <w:rFonts w:eastAsiaTheme="minorEastAsia"/>
                <w:color w:val="7030A0"/>
                <w:lang w:val="en-GB"/>
              </w:rPr>
              <w:t>[</w:t>
            </w:r>
            <w:r w:rsidRPr="0060669C">
              <w:rPr>
                <w:rFonts w:eastAsiaTheme="minorEastAsia" w:hint="eastAsia"/>
                <w:color w:val="7030A0"/>
                <w:lang w:val="en-GB"/>
              </w:rPr>
              <w:t>LGE3]</w:t>
            </w:r>
            <w:r>
              <w:rPr>
                <w:rFonts w:eastAsiaTheme="minorEastAsia"/>
                <w:color w:val="7030A0"/>
                <w:lang w:val="en-GB"/>
              </w:rPr>
              <w:t xml:space="preserve"> We’re not proposing to change LCP. Without LCP change, gNB </w:t>
            </w:r>
            <w:r w:rsidR="00BA7098">
              <w:rPr>
                <w:rFonts w:eastAsiaTheme="minorEastAsia"/>
                <w:color w:val="7030A0"/>
                <w:lang w:val="en-GB"/>
              </w:rPr>
              <w:t>can decide</w:t>
            </w:r>
            <w:r>
              <w:rPr>
                <w:rFonts w:eastAsiaTheme="minorEastAsia"/>
                <w:color w:val="7030A0"/>
                <w:lang w:val="en-GB"/>
              </w:rPr>
              <w:t xml:space="preserve"> whether to configure DG</w:t>
            </w:r>
            <w:r w:rsidR="00BA7098">
              <w:rPr>
                <w:rFonts w:eastAsiaTheme="minorEastAsia"/>
                <w:color w:val="7030A0"/>
                <w:lang w:val="en-GB"/>
              </w:rPr>
              <w:t>/</w:t>
            </w:r>
            <w:r>
              <w:rPr>
                <w:rFonts w:eastAsiaTheme="minorEastAsia"/>
                <w:color w:val="7030A0"/>
                <w:lang w:val="en-GB"/>
              </w:rPr>
              <w:t xml:space="preserve">CG </w:t>
            </w:r>
            <w:r w:rsidR="00BA7098">
              <w:rPr>
                <w:rFonts w:eastAsiaTheme="minorEastAsia"/>
                <w:color w:val="7030A0"/>
                <w:lang w:val="en-GB"/>
              </w:rPr>
              <w:t>that satisfies the condition FL proposed</w:t>
            </w:r>
            <w:r>
              <w:rPr>
                <w:rFonts w:eastAsiaTheme="minorEastAsia"/>
                <w:color w:val="7030A0"/>
                <w:lang w:val="en-GB"/>
              </w:rPr>
              <w:t>.</w:t>
            </w:r>
          </w:p>
          <w:p w14:paraId="0FD00ED0" w14:textId="2E8EAC80" w:rsidR="0060669C" w:rsidRDefault="0060669C" w:rsidP="0060669C">
            <w:pPr>
              <w:rPr>
                <w:rFonts w:eastAsiaTheme="minorEastAsia"/>
                <w:color w:val="7030A0"/>
                <w:lang w:val="en-GB"/>
              </w:rPr>
            </w:pPr>
            <w:r>
              <w:rPr>
                <w:rFonts w:eastAsiaTheme="minorEastAsia"/>
                <w:color w:val="7030A0"/>
                <w:lang w:val="en-GB"/>
              </w:rPr>
              <w:t xml:space="preserve">For example, if BSR contains the </w:t>
            </w:r>
            <w:r w:rsidR="00BA7098">
              <w:rPr>
                <w:rFonts w:eastAsiaTheme="minorEastAsia"/>
                <w:color w:val="7030A0"/>
                <w:lang w:val="en-GB"/>
              </w:rPr>
              <w:t>data size of LCHs</w:t>
            </w:r>
            <w:r>
              <w:rPr>
                <w:rFonts w:eastAsiaTheme="minorEastAsia"/>
                <w:color w:val="7030A0"/>
                <w:lang w:val="en-GB"/>
              </w:rPr>
              <w:t xml:space="preserve"> </w:t>
            </w:r>
            <w:r w:rsidR="00BE5DBD">
              <w:rPr>
                <w:rFonts w:eastAsiaTheme="minorEastAsia"/>
                <w:color w:val="7030A0"/>
                <w:lang w:val="en-GB"/>
              </w:rPr>
              <w:t xml:space="preserve">that </w:t>
            </w:r>
            <w:r>
              <w:rPr>
                <w:rFonts w:eastAsiaTheme="minorEastAsia"/>
                <w:color w:val="7030A0"/>
                <w:lang w:val="en-GB"/>
              </w:rPr>
              <w:t>requir</w:t>
            </w:r>
            <w:r w:rsidR="00BE5DBD">
              <w:rPr>
                <w:rFonts w:eastAsiaTheme="minorEastAsia"/>
                <w:color w:val="7030A0"/>
                <w:lang w:val="en-GB"/>
              </w:rPr>
              <w:t>e both</w:t>
            </w:r>
            <w:r>
              <w:rPr>
                <w:rFonts w:eastAsiaTheme="minorEastAsia"/>
                <w:color w:val="7030A0"/>
                <w:lang w:val="en-GB"/>
              </w:rPr>
              <w:t xml:space="preserve"> HARQ FB enabled and HARQ FB disabled</w:t>
            </w:r>
            <w:r w:rsidR="00BE5DBD">
              <w:rPr>
                <w:rFonts w:eastAsiaTheme="minorEastAsia"/>
                <w:color w:val="7030A0"/>
                <w:lang w:val="en-GB"/>
              </w:rPr>
              <w:t xml:space="preserve"> transmissions</w:t>
            </w:r>
            <w:r>
              <w:rPr>
                <w:rFonts w:eastAsiaTheme="minorEastAsia"/>
                <w:color w:val="7030A0"/>
                <w:lang w:val="en-GB"/>
              </w:rPr>
              <w:t xml:space="preserve">, gNB can just configure DG </w:t>
            </w:r>
            <w:r w:rsidR="00BA7098">
              <w:rPr>
                <w:rFonts w:eastAsiaTheme="minorEastAsia"/>
                <w:color w:val="7030A0"/>
                <w:lang w:val="en-GB"/>
              </w:rPr>
              <w:t>that satisfies the condition FL proposed</w:t>
            </w:r>
            <w:r>
              <w:rPr>
                <w:rFonts w:eastAsiaTheme="minorEastAsia"/>
                <w:color w:val="7030A0"/>
                <w:lang w:val="en-GB"/>
              </w:rPr>
              <w:t>.</w:t>
            </w:r>
            <w:r w:rsidR="00BA7098">
              <w:rPr>
                <w:rFonts w:eastAsiaTheme="minorEastAsia"/>
                <w:color w:val="7030A0"/>
                <w:lang w:val="en-GB"/>
              </w:rPr>
              <w:t xml:space="preserve"> </w:t>
            </w:r>
            <w:r w:rsidR="00BE5DBD">
              <w:rPr>
                <w:rFonts w:eastAsiaTheme="minorEastAsia"/>
                <w:color w:val="7030A0"/>
                <w:lang w:val="en-GB"/>
              </w:rPr>
              <w:t>For</w:t>
            </w:r>
            <w:r w:rsidR="00BA7098">
              <w:rPr>
                <w:rFonts w:eastAsiaTheme="minorEastAsia"/>
                <w:color w:val="7030A0"/>
                <w:lang w:val="en-GB"/>
              </w:rPr>
              <w:t xml:space="preserve"> a CG mapped with LCHs of same condition above, gNB can configure CG that satisfies the condition FL proposed.</w:t>
            </w:r>
            <w:r w:rsidR="00BE5DBD">
              <w:rPr>
                <w:rFonts w:eastAsiaTheme="minorEastAsia"/>
                <w:color w:val="7030A0"/>
                <w:lang w:val="en-GB"/>
              </w:rPr>
              <w:t xml:space="preserve"> Therefore, there is no LCP change required.</w:t>
            </w:r>
          </w:p>
          <w:p w14:paraId="327C84F1" w14:textId="5C174AFF" w:rsidR="00BE5DBD" w:rsidRDefault="0060669C" w:rsidP="00BE5DBD">
            <w:pPr>
              <w:rPr>
                <w:rFonts w:eastAsiaTheme="minorEastAsia"/>
                <w:color w:val="7030A0"/>
                <w:lang w:val="en-GB"/>
              </w:rPr>
            </w:pPr>
            <w:r>
              <w:rPr>
                <w:rFonts w:eastAsiaTheme="minorEastAsia"/>
                <w:color w:val="7030A0"/>
                <w:lang w:val="en-GB"/>
              </w:rPr>
              <w:t xml:space="preserve">But if there are only </w:t>
            </w:r>
            <w:r w:rsidR="00BE5DBD">
              <w:rPr>
                <w:rFonts w:eastAsiaTheme="minorEastAsia"/>
                <w:color w:val="7030A0"/>
                <w:lang w:val="en-GB"/>
              </w:rPr>
              <w:t>LCH</w:t>
            </w:r>
            <w:r>
              <w:rPr>
                <w:rFonts w:eastAsiaTheme="minorEastAsia"/>
                <w:color w:val="7030A0"/>
                <w:lang w:val="en-GB"/>
              </w:rPr>
              <w:t xml:space="preserve">s that do not require HARQ FB </w:t>
            </w:r>
            <w:r w:rsidR="00BE5DBD">
              <w:rPr>
                <w:rFonts w:eastAsiaTheme="minorEastAsia"/>
                <w:color w:val="7030A0"/>
                <w:lang w:val="en-GB"/>
              </w:rPr>
              <w:t>e</w:t>
            </w:r>
            <w:r>
              <w:rPr>
                <w:rFonts w:eastAsiaTheme="minorEastAsia"/>
                <w:color w:val="7030A0"/>
                <w:lang w:val="en-GB"/>
              </w:rPr>
              <w:t>abled</w:t>
            </w:r>
            <w:r w:rsidR="00BE5DBD">
              <w:rPr>
                <w:rFonts w:eastAsiaTheme="minorEastAsia"/>
                <w:color w:val="7030A0"/>
                <w:lang w:val="en-GB"/>
              </w:rPr>
              <w:t xml:space="preserve"> transmission</w:t>
            </w:r>
            <w:r>
              <w:rPr>
                <w:rFonts w:eastAsiaTheme="minorEastAsia"/>
                <w:color w:val="7030A0"/>
                <w:lang w:val="en-GB"/>
              </w:rPr>
              <w:t xml:space="preserve">, FL proposal just makes latency longer, or even prevent time-sensitive data from being transmitted. This is not acceptable from our </w:t>
            </w:r>
            <w:r w:rsidR="00BE5DBD">
              <w:rPr>
                <w:rFonts w:eastAsiaTheme="minorEastAsia"/>
                <w:color w:val="7030A0"/>
                <w:lang w:val="en-GB"/>
              </w:rPr>
              <w:t>side.</w:t>
            </w:r>
          </w:p>
          <w:p w14:paraId="0384EFA4" w14:textId="0A1955CF" w:rsidR="0060669C" w:rsidRPr="00633B96" w:rsidRDefault="0060669C" w:rsidP="00BE5DBD">
            <w:pPr>
              <w:rPr>
                <w:rFonts w:eastAsiaTheme="minorEastAsia"/>
                <w:lang w:val="en-GB"/>
              </w:rPr>
            </w:pPr>
            <w:r>
              <w:rPr>
                <w:rFonts w:eastAsiaTheme="minorEastAsia"/>
                <w:color w:val="7030A0"/>
                <w:lang w:val="en-GB"/>
              </w:rPr>
              <w:t xml:space="preserve">As we said in the </w:t>
            </w:r>
            <w:r w:rsidR="00BE5DBD">
              <w:rPr>
                <w:rFonts w:eastAsiaTheme="minorEastAsia"/>
                <w:color w:val="7030A0"/>
                <w:lang w:val="en-GB"/>
              </w:rPr>
              <w:t>[</w:t>
            </w:r>
            <w:r>
              <w:rPr>
                <w:rFonts w:eastAsiaTheme="minorEastAsia"/>
                <w:color w:val="7030A0"/>
                <w:lang w:val="en-GB"/>
              </w:rPr>
              <w:t>LGE2</w:t>
            </w:r>
            <w:r w:rsidR="00BE5DBD">
              <w:rPr>
                <w:rFonts w:eastAsiaTheme="minorEastAsia"/>
                <w:color w:val="7030A0"/>
                <w:lang w:val="en-GB"/>
              </w:rPr>
              <w:t>]</w:t>
            </w:r>
            <w:r>
              <w:rPr>
                <w:rFonts w:eastAsiaTheme="minorEastAsia"/>
                <w:color w:val="7030A0"/>
                <w:lang w:val="en-GB"/>
              </w:rPr>
              <w:t xml:space="preserve"> comment, our proposal is kind of ‘superset’ that includes the FL proposal</w:t>
            </w:r>
            <w:r w:rsidR="00BA7098">
              <w:rPr>
                <w:rFonts w:eastAsiaTheme="minorEastAsia"/>
                <w:color w:val="7030A0"/>
                <w:lang w:val="en-GB"/>
              </w:rPr>
              <w:t xml:space="preserve">. </w:t>
            </w:r>
            <w:r w:rsidR="00BE5DBD">
              <w:rPr>
                <w:rFonts w:eastAsiaTheme="minorEastAsia"/>
                <w:color w:val="7030A0"/>
                <w:lang w:val="en-GB"/>
              </w:rPr>
              <w:t>With our proposal, for the ‘mixed’ LCHs case in terms of HARQ FB, gNB can configure DG/CG that satisfies FL proposal</w:t>
            </w:r>
            <w:r w:rsidR="00BA7098">
              <w:rPr>
                <w:rFonts w:eastAsiaTheme="minorEastAsia"/>
                <w:color w:val="7030A0"/>
                <w:lang w:val="en-GB"/>
              </w:rPr>
              <w:t>.</w:t>
            </w:r>
            <w:r w:rsidR="00BE5DBD">
              <w:rPr>
                <w:rFonts w:eastAsiaTheme="minorEastAsia"/>
                <w:color w:val="7030A0"/>
                <w:lang w:val="en-GB"/>
              </w:rPr>
              <w:t xml:space="preserve"> For the other case where only LCHs with HARQ FB disabled exist, gNB can configure CG/DG that does not require such restriction by the FL proposal.</w:t>
            </w:r>
          </w:p>
        </w:tc>
      </w:tr>
      <w:tr w:rsidR="00AD32A7" w14:paraId="30236910" w14:textId="77777777">
        <w:tc>
          <w:tcPr>
            <w:tcW w:w="1696" w:type="dxa"/>
          </w:tcPr>
          <w:p w14:paraId="3B5AA136" w14:textId="3BD4F32A"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Heading2"/>
      </w:pPr>
      <w:r>
        <w:t>Other comments</w:t>
      </w:r>
    </w:p>
    <w:tbl>
      <w:tblPr>
        <w:tblStyle w:val="TableGrid"/>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 xml:space="preserve">I also noticed that there is a note mentioned that the restriction can be achieved by assigning different PUCCH slots for different SL CG. However, it may be difficult for gnb to </w:t>
            </w:r>
            <w:r>
              <w:rPr>
                <w:lang w:val="en-GB"/>
              </w:rPr>
              <w:lastRenderedPageBreak/>
              <w:t>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ListParagraph"/>
              <w:numPr>
                <w:ilvl w:val="0"/>
                <w:numId w:val="21"/>
              </w:numPr>
              <w:contextualSpacing/>
            </w:pPr>
            <w:r>
              <w:t xml:space="preserve">NR supports reporting of multiple SL HARQ-ACKs in a single PUCCH resource. </w:t>
            </w:r>
          </w:p>
          <w:p w14:paraId="03191E41" w14:textId="77777777" w:rsidR="00AD32A7" w:rsidRDefault="00FB10F1">
            <w:pPr>
              <w:pStyle w:val="ListParagraph"/>
              <w:numPr>
                <w:ilvl w:val="1"/>
                <w:numId w:val="21"/>
              </w:numPr>
              <w:contextualSpacing/>
            </w:pPr>
            <w:r>
              <w:t>The Rel-15 procedures for multiplexing DL HARQ-ACKs are reutilized.</w:t>
            </w:r>
          </w:p>
          <w:p w14:paraId="75AA5237" w14:textId="77777777" w:rsidR="00AD32A7" w:rsidRDefault="00FB10F1">
            <w:pPr>
              <w:pStyle w:val="ListParagraph"/>
              <w:numPr>
                <w:ilvl w:val="1"/>
                <w:numId w:val="21"/>
              </w:numPr>
              <w:contextualSpacing/>
            </w:pPr>
            <w:r>
              <w:t xml:space="preserve">Reports carry SL HARQ-ACKs for dynamic grants and/or configured grants. </w:t>
            </w:r>
          </w:p>
          <w:p w14:paraId="22210770" w14:textId="77777777" w:rsidR="00AD32A7" w:rsidRDefault="00FB10F1">
            <w:pPr>
              <w:pStyle w:val="ListParagraph"/>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Heading1"/>
        <w:jc w:val="both"/>
      </w:pPr>
      <w:r>
        <w:t>Appendix: Previous dicussions</w:t>
      </w:r>
    </w:p>
    <w:p w14:paraId="25307268" w14:textId="77777777" w:rsidR="00AD32A7" w:rsidRDefault="00FB10F1">
      <w:pPr>
        <w:pStyle w:val="Heading2"/>
      </w:pPr>
      <w:r>
        <w:t>1.3</w:t>
      </w:r>
      <w:r>
        <w:tab/>
        <w:t>HARQ reporting to gNB</w:t>
      </w:r>
    </w:p>
    <w:p w14:paraId="4EA1D460" w14:textId="77777777" w:rsidR="00AD32A7" w:rsidRDefault="00FB10F1">
      <w:pPr>
        <w:pStyle w:val="Heading3"/>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ListParagraph"/>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ListParagraph"/>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lastRenderedPageBreak/>
        <w:t>FL summary (19/8/2020):</w:t>
      </w:r>
    </w:p>
    <w:p w14:paraId="7660EDF5" w14:textId="77777777" w:rsidR="00AD32A7" w:rsidRDefault="00FB10F1">
      <w:pPr>
        <w:pStyle w:val="ListParagraph"/>
        <w:numPr>
          <w:ilvl w:val="0"/>
          <w:numId w:val="15"/>
        </w:numPr>
        <w:spacing w:before="240"/>
      </w:pPr>
      <w:r>
        <w:t>There is a majority of companies supporting option A.</w:t>
      </w:r>
    </w:p>
    <w:p w14:paraId="7F95CFD5" w14:textId="77777777" w:rsidR="00AD32A7" w:rsidRDefault="00FB10F1">
      <w:pPr>
        <w:pStyle w:val="ListParagraph"/>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ListParagraph"/>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ListParagraph"/>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ListParagraph"/>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B1D82CC"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462F9F48" w14:textId="77777777" w:rsidR="00AD32A7" w:rsidRDefault="00FB10F1">
            <w:pPr>
              <w:rPr>
                <w:rFonts w:eastAsia="等线"/>
                <w:lang w:val="en-GB"/>
              </w:rPr>
            </w:pPr>
            <w:r>
              <w:rPr>
                <w:rFonts w:eastAsia="等线"/>
                <w:color w:val="808080" w:themeColor="background1" w:themeShade="80"/>
                <w:lang w:val="en-GB"/>
              </w:rPr>
              <w:t xml:space="preserve">Understand. I </w:t>
            </w:r>
            <w:r>
              <w:rPr>
                <w:rFonts w:eastAsia="等线" w:hint="eastAsia"/>
                <w:color w:val="808080" w:themeColor="background1" w:themeShade="80"/>
                <w:lang w:val="en-GB"/>
              </w:rPr>
              <w:t>was</w:t>
            </w:r>
            <w:r>
              <w:rPr>
                <w:rFonts w:eastAsia="等线"/>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lastRenderedPageBreak/>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w:t>
            </w:r>
            <w:r>
              <w:rPr>
                <w:rFonts w:eastAsiaTheme="minorEastAsia"/>
                <w:lang w:val="en-GB"/>
              </w:rPr>
              <w:lastRenderedPageBreak/>
              <w:t xml:space="preserve">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lastRenderedPageBreak/>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ListParagraph"/>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ListParagraph"/>
              <w:numPr>
                <w:ilvl w:val="1"/>
                <w:numId w:val="41"/>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ListParagraph"/>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ListParagraph"/>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ListParagraph"/>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ListParagraph"/>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w:t>
            </w:r>
            <w:r>
              <w:rPr>
                <w:rFonts w:eastAsia="等线" w:hint="eastAsia"/>
                <w:lang w:val="en-GB"/>
              </w:rPr>
              <w:lastRenderedPageBreak/>
              <w:t xml:space="preserve">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ListParagraph"/>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ListParagraph"/>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ListParagraph"/>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ListParagraph"/>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ListParagraph"/>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ListParagraph"/>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ListParagraph"/>
              <w:numPr>
                <w:ilvl w:val="0"/>
                <w:numId w:val="43"/>
              </w:numPr>
              <w:spacing w:after="120"/>
              <w:ind w:left="371"/>
              <w:rPr>
                <w:lang w:val="en-GB"/>
              </w:rPr>
            </w:pPr>
            <w:r>
              <w:rPr>
                <w:lang w:val="en-GB"/>
              </w:rPr>
              <w:lastRenderedPageBreak/>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ListParagraph"/>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ListParagraph"/>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ListParagraph"/>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ListParagraph"/>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ListParagraph"/>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ListParagraph"/>
              <w:numPr>
                <w:ilvl w:val="1"/>
                <w:numId w:val="44"/>
              </w:numPr>
              <w:ind w:left="712"/>
              <w:rPr>
                <w:rFonts w:eastAsia="等线"/>
                <w:lang w:val="en-GB"/>
              </w:rPr>
            </w:pPr>
            <w:r>
              <w:rPr>
                <w:rFonts w:eastAsia="等线"/>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lastRenderedPageBreak/>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lastRenderedPageBreak/>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ListParagraph"/>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ListParagraph"/>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Heading3"/>
        <w:ind w:left="0" w:firstLine="0"/>
      </w:pPr>
      <w:r>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w:t>
            </w:r>
            <w:r>
              <w:rPr>
                <w:lang w:val="en-GB"/>
              </w:rPr>
              <w:lastRenderedPageBreak/>
              <w:t xml:space="preserve">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EE441A">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EE441A">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EE441A">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lastRenderedPageBreak/>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ListParagraph"/>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ListParagraph"/>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ListParagraph"/>
        <w:numPr>
          <w:ilvl w:val="0"/>
          <w:numId w:val="25"/>
        </w:numPr>
        <w:spacing w:before="240"/>
      </w:pPr>
      <w:r>
        <w:t>No update</w:t>
      </w:r>
    </w:p>
    <w:tbl>
      <w:tblPr>
        <w:tblStyle w:val="TableGrid"/>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Heading3"/>
        <w:ind w:left="0" w:firstLine="0"/>
      </w:pPr>
    </w:p>
    <w:p w14:paraId="2DA68D2B" w14:textId="77777777" w:rsidR="00AD32A7" w:rsidRDefault="00AD32A7">
      <w:pPr>
        <w:pStyle w:val="Heading3"/>
        <w:ind w:left="0" w:firstLine="0"/>
      </w:pPr>
    </w:p>
    <w:p w14:paraId="698276AC" w14:textId="77777777" w:rsidR="00AD32A7" w:rsidRDefault="00FB10F1">
      <w:pPr>
        <w:pStyle w:val="Heading3"/>
        <w:ind w:left="0" w:firstLine="0"/>
      </w:pPr>
      <w:r>
        <w:t>Issue 1.4-2</w:t>
      </w:r>
    </w:p>
    <w:tbl>
      <w:tblPr>
        <w:tblStyle w:val="TableGrid"/>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 xml:space="preserve">To us it seems easier to define sidelink HARQ RTT at gNB. In this case it should be the same as in Mode-2 with the only update that ‘b’ component needs to be bounded by </w:t>
            </w:r>
            <w:r>
              <w:rPr>
                <w:lang w:val="en-GB"/>
              </w:rPr>
              <w:lastRenderedPageBreak/>
              <w:t>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2FAA6B8F" w14:textId="77777777" w:rsidR="00AD32A7" w:rsidRDefault="00FB10F1">
            <w:pPr>
              <w:rPr>
                <w:lang w:val="en-GB"/>
              </w:rPr>
            </w:pPr>
            <w:r>
              <w:rPr>
                <w:rFonts w:eastAsia="等线"/>
                <w:color w:val="808080" w:themeColor="background1" w:themeShade="80"/>
                <w:lang w:val="en-GB"/>
              </w:rPr>
              <w:t>Same view as intel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w:t>
            </w:r>
            <w:r>
              <w:rPr>
                <w:rFonts w:hint="eastAsia"/>
                <w:szCs w:val="20"/>
                <w:lang w:val="en-GB"/>
              </w:rPr>
              <w:lastRenderedPageBreak/>
              <w:t xml:space="preserve">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ListParagraph"/>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ListParagraph"/>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ListParagraph"/>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 xml:space="preserve">We are supportive of defining an upper bound on ‘b’, but this was discussed in Mode 2 preparation phase for this meeting, but was not prioritized. Our view is that an upper bound on ‘b’ is useful even in Mode 2 and such an upper bound should be applicable </w:t>
            </w:r>
            <w:r>
              <w:rPr>
                <w:lang w:val="en-GB"/>
              </w:rPr>
              <w:lastRenderedPageBreak/>
              <w:t>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lastRenderedPageBreak/>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 xml:space="preserve">The gNB needs to be aware of the processing timeline of the UE, in order to schedule the </w:t>
            </w:r>
            <w:r>
              <w:rPr>
                <w:lang w:val="en-GB"/>
              </w:rPr>
              <w:lastRenderedPageBreak/>
              <w:t>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lastRenderedPageBreak/>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Author" w:date="2020-08-26T20:06:00Z" w:initials="A">
    <w:p w14:paraId="5539B32A" w14:textId="09AB44F2" w:rsidR="00EE441A" w:rsidRPr="00D94492" w:rsidRDefault="00EE441A" w:rsidP="00743F6E">
      <w:pPr>
        <w:rPr>
          <w:rFonts w:eastAsia="宋体" w:cstheme="minorHAnsi"/>
          <w:color w:val="7030A0"/>
          <w:sz w:val="22"/>
          <w:lang w:val="en-GB"/>
        </w:rPr>
      </w:pPr>
      <w:r>
        <w:rPr>
          <w:rStyle w:val="CommentReference"/>
        </w:rPr>
        <w:annotationRef/>
      </w:r>
      <w:r>
        <w:rPr>
          <w:rFonts w:eastAsia="宋体" w:cstheme="minorHAnsi"/>
          <w:color w:val="7030A0"/>
          <w:sz w:val="22"/>
          <w:lang w:val="en-GB"/>
        </w:rPr>
        <w:t>V</w:t>
      </w:r>
      <w:r>
        <w:rPr>
          <w:rFonts w:eastAsia="宋体" w:cstheme="minorHAnsi" w:hint="eastAsia"/>
          <w:color w:val="7030A0"/>
          <w:sz w:val="22"/>
          <w:lang w:val="en-GB"/>
        </w:rPr>
        <w:t>ivo</w:t>
      </w:r>
      <w:r>
        <w:rPr>
          <w:rFonts w:eastAsia="宋体" w:cstheme="minorHAnsi"/>
          <w:color w:val="7030A0"/>
          <w:sz w:val="22"/>
          <w:lang w:val="en-GB"/>
        </w:rPr>
        <w:t>: I also moved ‘with index j’ back behind ‘</w:t>
      </w:r>
      <w:r w:rsidRPr="008F4CE3">
        <w:rPr>
          <w:rFonts w:eastAsia="宋体" w:cstheme="minorHAnsi"/>
          <w:color w:val="7030A0"/>
          <w:sz w:val="22"/>
          <w:lang w:val="en-GB"/>
        </w:rPr>
        <w:t>PSFCH reception</w:t>
      </w:r>
      <w:r>
        <w:rPr>
          <w:rFonts w:eastAsia="宋体" w:cstheme="minorHAnsi"/>
          <w:color w:val="7030A0"/>
          <w:sz w:val="22"/>
          <w:lang w:val="en-GB"/>
        </w:rPr>
        <w:t>’</w:t>
      </w:r>
      <w:r>
        <w:rPr>
          <w:rFonts w:eastAsia="宋体" w:cstheme="minorHAnsi" w:hint="eastAsia"/>
          <w:color w:val="7030A0"/>
          <w:sz w:val="22"/>
          <w:lang w:val="en-GB"/>
        </w:rPr>
        <w:t>.</w:t>
      </w:r>
      <w:r>
        <w:rPr>
          <w:rFonts w:eastAsia="宋体" w:cstheme="minorHAnsi"/>
          <w:color w:val="7030A0"/>
          <w:sz w:val="22"/>
          <w:lang w:val="en-GB"/>
        </w:rPr>
        <w:t xml:space="preserve"> If it is the common understanding that j is the index of a candidate PSSCH occasion with PSFCH, I think changing the location of ‘with index j’ may not be needed</w:t>
      </w:r>
    </w:p>
  </w:comment>
  <w:comment w:id="92" w:author="Author" w:date="1901-01-01T00:00:00Z" w:initials="A">
    <w:p w14:paraId="655E200D" w14:textId="77777777" w:rsidR="00EE441A" w:rsidRDefault="00EE441A">
      <w:pPr>
        <w:pStyle w:val="CommentText"/>
      </w:pPr>
      <w:r>
        <w:t>To be replaced by sl-PSFCH-ToPUCCH Type1 (here and in subsequent places)</w:t>
      </w:r>
    </w:p>
  </w:comment>
  <w:comment w:id="94" w:author="Author" w:date="1901-01-01T00:00:00Z" w:initials="A">
    <w:p w14:paraId="25965A7E" w14:textId="77777777" w:rsidR="00EE441A" w:rsidRDefault="00EE441A">
      <w:pPr>
        <w:pStyle w:val="CommentText"/>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9B32A" w15:done="0"/>
  <w15:commentEx w15:paraId="655E200D" w15:done="0"/>
  <w15:commentEx w15:paraId="25965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3F28" w16cex:dateUtc="2020-08-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9B32A" w16cid:durableId="22F13F28"/>
  <w16cid:commentId w16cid:paraId="655E200D" w16cid:durableId="22EF7DB6"/>
  <w16cid:commentId w16cid:paraId="25965A7E" w16cid:durableId="22EF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3F925" w14:textId="77777777" w:rsidR="0096387C" w:rsidRDefault="0096387C" w:rsidP="00FC4BDB">
      <w:r>
        <w:separator/>
      </w:r>
    </w:p>
  </w:endnote>
  <w:endnote w:type="continuationSeparator" w:id="0">
    <w:p w14:paraId="5ABCE9EE" w14:textId="77777777" w:rsidR="0096387C" w:rsidRDefault="0096387C" w:rsidP="00FC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4B69" w14:textId="77777777" w:rsidR="0096387C" w:rsidRDefault="0096387C" w:rsidP="00FC4BDB">
      <w:r>
        <w:separator/>
      </w:r>
    </w:p>
  </w:footnote>
  <w:footnote w:type="continuationSeparator" w:id="0">
    <w:p w14:paraId="28CB8AAE" w14:textId="77777777" w:rsidR="0096387C" w:rsidRDefault="0096387C" w:rsidP="00FC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E8E"/>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528"/>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8B9"/>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191"/>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D6"/>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1E2D"/>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D791A"/>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69C"/>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51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3F6E"/>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5B4"/>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03"/>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87C"/>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207"/>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098"/>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5DBD"/>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6A2"/>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6B8"/>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4C4"/>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C7B61"/>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41A"/>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81"/>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4BDB"/>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1A"/>
    <w:pPr>
      <w:widowControl w:val="0"/>
      <w:jc w:val="both"/>
    </w:pPr>
    <w:rPr>
      <w:rFonts w:asciiTheme="minorHAnsi" w:hAnsiTheme="minorHAnsi" w:cstheme="minorBidi"/>
      <w:kern w:val="2"/>
      <w:sz w:val="21"/>
      <w:szCs w:val="22"/>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E44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41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
    <w:name w:val="交底书"/>
    <w:basedOn w:val="Normal"/>
    <w:link w:val="Char"/>
    <w:qFormat/>
    <w:rsid w:val="00EE441A"/>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EE441A"/>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5.xml><?xml version="1.0" encoding="utf-8"?>
<ds:datastoreItem xmlns:ds="http://schemas.openxmlformats.org/officeDocument/2006/customXml" ds:itemID="{4EB2B3B5-76D7-477D-A5A3-9D1EABEB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14534</Words>
  <Characters>82847</Characters>
  <Application>Microsoft Office Word</Application>
  <DocSecurity>0</DocSecurity>
  <Lines>690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2020-08-27T02:36:00Z</dcterms:created>
  <dcterms:modified xsi:type="dcterms:W3CDTF">2020-08-27T02:36:00Z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