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0"/>
        <w:rPr>
          <w:rFonts w:ascii="Arial" w:hAnsi="Arial" w:cs="Arial"/>
          <w:highlight w:val="yellow"/>
        </w:rPr>
      </w:pPr>
      <w:r>
        <w:rPr>
          <w:rFonts w:ascii="Arial" w:hAnsi="Arial" w:cs="Arial"/>
        </w:rPr>
        <w:t>3GPP TSG RAN WG1 Meeting #102-e</w:t>
      </w:r>
      <w:r>
        <w:rPr>
          <w:rFonts w:ascii="Arial" w:hAnsi="Arial" w:cs="Arial"/>
        </w:rPr>
        <w:tab/>
      </w:r>
      <w:r>
        <w:rPr>
          <w:rFonts w:ascii="Arial" w:hAnsi="Arial" w:cs="Arial"/>
          <w:highlight w:val="yellow"/>
        </w:rPr>
        <w:t>R1-200xxxx</w:t>
      </w:r>
    </w:p>
    <w:p>
      <w:pPr>
        <w:pStyle w:val="63"/>
        <w:rPr>
          <w:rFonts w:ascii="Arial" w:hAnsi="Arial" w:cs="Arial"/>
        </w:rPr>
      </w:pPr>
      <w:r>
        <w:rPr>
          <w:rFonts w:ascii="Arial" w:hAnsi="Arial" w:cs="Arial"/>
        </w:rPr>
        <w:t>eMeeting, August 17 – 28, 2020</w:t>
      </w:r>
    </w:p>
    <w:p>
      <w:pPr>
        <w:pStyle w:val="63"/>
        <w:rPr>
          <w:rFonts w:ascii="Arial" w:hAnsi="Arial" w:cs="Arial"/>
          <w:lang w:val="sv-FI"/>
        </w:rPr>
      </w:pPr>
      <w:r>
        <w:rPr>
          <w:rFonts w:ascii="Arial" w:hAnsi="Arial" w:cs="Arial"/>
          <w:lang w:val="sv-FI"/>
        </w:rPr>
        <w:t>Agenda Item:</w:t>
      </w:r>
      <w:r>
        <w:rPr>
          <w:rFonts w:ascii="Arial" w:hAnsi="Arial" w:cs="Arial"/>
          <w:lang w:val="sv-FI"/>
        </w:rPr>
        <w:tab/>
      </w:r>
      <w:r>
        <w:rPr>
          <w:rFonts w:ascii="Arial" w:hAnsi="Arial" w:cs="Arial"/>
          <w:lang w:val="sv-FI"/>
        </w:rPr>
        <w:t>7.2.4.2.1</w:t>
      </w:r>
    </w:p>
    <w:p>
      <w:pPr>
        <w:pStyle w:val="63"/>
        <w:rPr>
          <w:rFonts w:ascii="Arial" w:hAnsi="Arial" w:cs="Arial"/>
        </w:rPr>
      </w:pPr>
      <w:r>
        <w:rPr>
          <w:rFonts w:ascii="Arial" w:hAnsi="Arial" w:cs="Arial"/>
        </w:rPr>
        <w:t>Source:</w:t>
      </w:r>
      <w:r>
        <w:rPr>
          <w:rFonts w:ascii="Arial" w:hAnsi="Arial" w:cs="Arial"/>
        </w:rPr>
        <w:tab/>
      </w:r>
      <w:r>
        <w:rPr>
          <w:rFonts w:ascii="Arial" w:hAnsi="Arial" w:cs="Arial"/>
        </w:rPr>
        <w:t>Moderator (Ericsson)</w:t>
      </w:r>
    </w:p>
    <w:p>
      <w:pPr>
        <w:pStyle w:val="63"/>
        <w:rPr>
          <w:rFonts w:ascii="Arial" w:hAnsi="Arial" w:cs="Arial"/>
        </w:rPr>
      </w:pPr>
      <w:r>
        <w:rPr>
          <w:rFonts w:ascii="Arial" w:hAnsi="Arial" w:cs="Arial"/>
        </w:rPr>
        <w:t>Title:</w:t>
      </w:r>
      <w:r>
        <w:rPr>
          <w:rFonts w:ascii="Arial" w:hAnsi="Arial" w:cs="Arial"/>
        </w:rPr>
        <w:tab/>
      </w:r>
      <w:r>
        <w:rPr>
          <w:rFonts w:ascii="Arial" w:hAnsi="Arial" w:cs="Arial"/>
        </w:rPr>
        <w:t>Resource allocation for NR sidelink Mode 1 – Thread 2</w:t>
      </w:r>
    </w:p>
    <w:p>
      <w:pPr>
        <w:pStyle w:val="63"/>
        <w:rPr>
          <w:rFonts w:ascii="Arial" w:hAnsi="Arial" w:cs="Arial"/>
        </w:rPr>
      </w:pPr>
      <w:r>
        <w:rPr>
          <w:rFonts w:ascii="Arial" w:hAnsi="Arial" w:cs="Arial"/>
        </w:rPr>
        <w:t>Document for:</w:t>
      </w:r>
      <w:r>
        <w:rPr>
          <w:rFonts w:ascii="Arial" w:hAnsi="Arial" w:cs="Arial"/>
        </w:rPr>
        <w:tab/>
      </w:r>
      <w:r>
        <w:rPr>
          <w:rFonts w:ascii="Arial" w:hAnsi="Arial" w:cs="Arial"/>
        </w:rPr>
        <w:t>Discussion, Decision</w:t>
      </w:r>
    </w:p>
    <w:p/>
    <w:p>
      <w:pPr>
        <w:pStyle w:val="2"/>
        <w:jc w:val="both"/>
      </w:pPr>
      <w:bookmarkStart w:id="0" w:name="_Ref178064866"/>
      <w:r>
        <w:t>1</w:t>
      </w:r>
      <w:r>
        <w:tab/>
      </w:r>
      <w:r>
        <w:t>List of issues for discussion</w:t>
      </w:r>
    </w:p>
    <w:p>
      <w:pPr>
        <w:rPr>
          <w:rFonts w:ascii="宋体" w:hAnsi="宋体" w:eastAsia="宋体" w:cs="Calibri"/>
          <w:highlight w:val="cyan"/>
          <w:lang w:eastAsia="zh-CN"/>
        </w:rPr>
      </w:pPr>
      <w:bookmarkStart w:id="1" w:name="_Hlk48155408"/>
      <w:r>
        <w:rPr>
          <w:rFonts w:hint="eastAsia"/>
          <w:highlight w:val="cyan"/>
          <w:lang w:eastAsia="zh-CN"/>
        </w:rPr>
        <w:t>[102-e-NR-5G_V2X_NRSL-Mode-1-02] Email discussion/approval covering:</w:t>
      </w:r>
    </w:p>
    <w:p>
      <w:pPr>
        <w:numPr>
          <w:ilvl w:val="0"/>
          <w:numId w:val="14"/>
        </w:numPr>
        <w:rPr>
          <w:highlight w:val="cyan"/>
        </w:rPr>
      </w:pPr>
      <w:r>
        <w:rPr>
          <w:rFonts w:hint="eastAsia"/>
          <w:highlight w:val="cyan"/>
        </w:rPr>
        <w:t>HARQ reporting to gNB</w:t>
      </w:r>
      <w:r>
        <w:rPr>
          <w:rFonts w:hint="eastAsia"/>
        </w:rPr>
        <w:t xml:space="preserve"> </w:t>
      </w:r>
    </w:p>
    <w:p>
      <w:pPr>
        <w:numPr>
          <w:ilvl w:val="1"/>
          <w:numId w:val="14"/>
        </w:numPr>
        <w:rPr>
          <w:highlight w:val="cyan"/>
          <w:lang w:eastAsia="fi-FI"/>
        </w:rPr>
      </w:pPr>
      <w:r>
        <w:rPr>
          <w:rFonts w:hint="eastAsia"/>
          <w:highlight w:val="cyan"/>
        </w:rPr>
        <w:t>Details in the WA from RAN#100-e for the case of reaching the maximum number of HARQ re-transmissions for a TB.</w:t>
      </w:r>
    </w:p>
    <w:p>
      <w:pPr>
        <w:numPr>
          <w:ilvl w:val="1"/>
          <w:numId w:val="14"/>
        </w:numPr>
        <w:rPr>
          <w:highlight w:val="cyan"/>
        </w:rPr>
      </w:pPr>
      <w:r>
        <w:rPr>
          <w:rFonts w:hint="eastAsia"/>
          <w:highlight w:val="cyan"/>
        </w:rPr>
        <w:t>Whether there are other exceptional reports to the gNB (e.g., nothing to transmit for DG, etc.) and, if so, how to address them.</w:t>
      </w:r>
    </w:p>
    <w:p>
      <w:pPr>
        <w:numPr>
          <w:ilvl w:val="1"/>
          <w:numId w:val="14"/>
        </w:numPr>
        <w:rPr>
          <w:highlight w:val="cyan"/>
        </w:rPr>
      </w:pPr>
      <w:r>
        <w:rPr>
          <w:rFonts w:hint="eastAsia"/>
          <w:highlight w:val="cyan"/>
        </w:rPr>
        <w:t>Editorial corrections and clarifications for HARQ reporting to gNB (if any).</w:t>
      </w:r>
    </w:p>
    <w:p>
      <w:pPr>
        <w:numPr>
          <w:ilvl w:val="0"/>
          <w:numId w:val="14"/>
        </w:numPr>
        <w:rPr>
          <w:highlight w:val="cyan"/>
        </w:rPr>
      </w:pPr>
      <w:r>
        <w:rPr>
          <w:rFonts w:hint="eastAsia"/>
          <w:highlight w:val="cyan"/>
        </w:rPr>
        <w:t>Processing times</w:t>
      </w:r>
      <w:r>
        <w:rPr>
          <w:rFonts w:hint="eastAsia"/>
        </w:rPr>
        <w:t xml:space="preserve"> </w:t>
      </w:r>
    </w:p>
    <w:p>
      <w:pPr>
        <w:numPr>
          <w:ilvl w:val="1"/>
          <w:numId w:val="14"/>
        </w:numPr>
        <w:rPr>
          <w:highlight w:val="cyan"/>
        </w:rPr>
      </w:pPr>
      <w:r>
        <w:rPr>
          <w:rFonts w:hint="eastAsia"/>
          <w:highlight w:val="cyan"/>
        </w:rPr>
        <w:t>Processing time for SL CG type-2.</w:t>
      </w:r>
    </w:p>
    <w:p>
      <w:pPr>
        <w:numPr>
          <w:ilvl w:val="1"/>
          <w:numId w:val="14"/>
        </w:numPr>
        <w:rPr>
          <w:highlight w:val="cyan"/>
        </w:rPr>
      </w:pPr>
      <w:r>
        <w:rPr>
          <w:rFonts w:hint="eastAsia"/>
          <w:highlight w:val="cyan"/>
        </w:rPr>
        <w:t>Whether the gNB needs to be aware of SL HARQ RTT (Z = a + b) or alternative assumptions or behaviour, if necessary.</w:t>
      </w:r>
    </w:p>
    <w:p>
      <w:pPr>
        <w:numPr>
          <w:ilvl w:val="1"/>
          <w:numId w:val="14"/>
        </w:numPr>
        <w:rPr>
          <w:highlight w:val="cyan"/>
        </w:rPr>
      </w:pPr>
      <w:r>
        <w:rPr>
          <w:rFonts w:hint="eastAsia"/>
          <w:highlight w:val="cyan"/>
        </w:rPr>
        <w:t>Editorial corrections and clarifications for processing times (if any).</w:t>
      </w:r>
    </w:p>
    <w:p>
      <w:r>
        <w:rPr>
          <w:rFonts w:hint="eastAsia"/>
          <w:highlight w:val="cyan"/>
        </w:rPr>
        <w:t>By 8/20, followed by potential TPs by 8/25 – Ricardo (Ericsson)</w:t>
      </w:r>
    </w:p>
    <w:bookmarkEnd w:id="0"/>
    <w:bookmarkEnd w:id="1"/>
    <w:p>
      <w:pPr>
        <w:pStyle w:val="2"/>
        <w:jc w:val="both"/>
      </w:pPr>
      <w:r>
        <w:t>Discussion</w:t>
      </w:r>
    </w:p>
    <w:p>
      <w:pPr>
        <w:pStyle w:val="3"/>
      </w:pPr>
      <w:r>
        <w:t>1.3</w:t>
      </w:r>
      <w:r>
        <w:tab/>
      </w:r>
      <w:r>
        <w:t>HARQ reporting to gNB</w:t>
      </w:r>
    </w:p>
    <w:p>
      <w:pPr>
        <w:pStyle w:val="4"/>
        <w:ind w:left="0" w:firstLine="0"/>
      </w:pPr>
      <w:r>
        <w:t>Issue 1.3-1</w:t>
      </w:r>
      <w:r>
        <w:tab/>
      </w:r>
      <w:r>
        <w:t>Details in the WA from RAN#100-e for the case of reaching the maximum number of HARQ re-transmissions for a TB.</w:t>
      </w:r>
    </w:p>
    <w:p>
      <w:pPr>
        <w:rPr>
          <w:b/>
          <w:bCs/>
        </w:rPr>
      </w:pPr>
      <w:r>
        <w:rPr>
          <w:b/>
          <w:bCs/>
        </w:rPr>
        <w:t>During the GTW session on 20/8/20, the following was agreed:</w:t>
      </w:r>
    </w:p>
    <w:p>
      <w:pPr>
        <w:rPr>
          <w:szCs w:val="20"/>
        </w:rPr>
      </w:pPr>
      <w:r>
        <w:rPr>
          <w:szCs w:val="20"/>
          <w:highlight w:val="green"/>
        </w:rPr>
        <w:t>Agreements</w:t>
      </w:r>
      <w:r>
        <w:rPr>
          <w:szCs w:val="20"/>
        </w:rPr>
        <w:t>:</w:t>
      </w:r>
    </w:p>
    <w:p>
      <w:pPr>
        <w:pStyle w:val="133"/>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p>
      <w:r>
        <w:t>The understanding of the FL is that no TP is necessary in this case; the current specification already describes the appropriate behavior.</w:t>
      </w:r>
    </w:p>
    <w:p>
      <w:pPr>
        <w:spacing w:before="240"/>
      </w:pPr>
      <w:r>
        <w:t>Please provide your views on the the need for a TP using the table.</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7E6E6" w:themeFill="background2"/>
          </w:tcPr>
          <w:p>
            <w:pPr>
              <w:jc w:val="center"/>
              <w:rPr>
                <w:rFonts w:eastAsia="Calibri"/>
                <w:b/>
                <w:bCs/>
                <w:lang w:val="en-GB"/>
              </w:rPr>
            </w:pPr>
            <w:r>
              <w:rPr>
                <w:rFonts w:eastAsia="Calibri"/>
                <w:b/>
                <w:bCs/>
                <w:lang w:val="en-GB"/>
              </w:rPr>
              <w:t>Company</w:t>
            </w:r>
          </w:p>
        </w:tc>
        <w:tc>
          <w:tcPr>
            <w:tcW w:w="7933" w:type="dxa"/>
            <w:shd w:val="clear" w:color="auto" w:fill="E7E6E6" w:themeFill="background2"/>
          </w:tcPr>
          <w:p>
            <w:pPr>
              <w:jc w:val="center"/>
              <w:rPr>
                <w:rFonts w:eastAsia="Calibri"/>
                <w:b/>
                <w:bCs/>
                <w:lang w:val="en-GB"/>
              </w:rPr>
            </w:pPr>
            <w:r>
              <w:rPr>
                <w:rFonts w:eastAsia="Calibri"/>
                <w:b/>
                <w:bCs/>
                <w:lang w:val="en-GB"/>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NTT DOCOMO</w:t>
            </w:r>
          </w:p>
        </w:tc>
        <w:tc>
          <w:tcPr>
            <w:tcW w:w="7933" w:type="dxa"/>
          </w:tcPr>
          <w:p>
            <w:pPr>
              <w:rPr>
                <w:rFonts w:eastAsia="Yu Mincho"/>
                <w:lang w:val="en-GB"/>
              </w:rPr>
            </w:pPr>
            <w:r>
              <w:rPr>
                <w:rFonts w:hint="eastAsia" w:eastAsia="Yu Mincho"/>
                <w:lang w:val="en-GB"/>
              </w:rPr>
              <w:t>Agree with FL. TP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Qualcomm</w:t>
            </w:r>
          </w:p>
        </w:tc>
        <w:tc>
          <w:tcPr>
            <w:tcW w:w="7933" w:type="dxa"/>
          </w:tcPr>
          <w:p>
            <w:pPr>
              <w:rPr>
                <w:rFonts w:eastAsia="Calibri"/>
                <w:lang w:val="en-GB"/>
              </w:rPr>
            </w:pPr>
            <w:r>
              <w:rPr>
                <w:rFonts w:eastAsia="Calibri"/>
                <w:lang w:val="en-GB"/>
              </w:rPr>
              <w:t>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hint="eastAsia" w:eastAsia="等线"/>
                <w:lang w:val="en-GB"/>
              </w:rPr>
              <w:t>S</w:t>
            </w:r>
            <w:r>
              <w:rPr>
                <w:rFonts w:eastAsia="等线"/>
                <w:lang w:val="en-GB"/>
              </w:rPr>
              <w:t>harp</w:t>
            </w:r>
          </w:p>
        </w:tc>
        <w:tc>
          <w:tcPr>
            <w:tcW w:w="7933" w:type="dxa"/>
          </w:tcPr>
          <w:p>
            <w:pPr>
              <w:rPr>
                <w:rFonts w:eastAsia="等线"/>
                <w:lang w:val="en-GB"/>
              </w:rPr>
            </w:pPr>
            <w:r>
              <w:rPr>
                <w:rFonts w:hint="eastAsia" w:eastAsia="等线"/>
                <w:lang w:val="en-GB"/>
              </w:rPr>
              <w:t>A</w:t>
            </w:r>
            <w:r>
              <w:rPr>
                <w:rFonts w:eastAsia="等线"/>
                <w:lang w:val="en-GB"/>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Huawei, HiSilicon</w:t>
            </w:r>
          </w:p>
        </w:tc>
        <w:tc>
          <w:tcPr>
            <w:tcW w:w="7933" w:type="dxa"/>
          </w:tcPr>
          <w:p>
            <w:pPr>
              <w:rPr>
                <w:rFonts w:eastAsia="Calibri"/>
                <w:lang w:val="en-GB"/>
              </w:rPr>
            </w:pPr>
            <w:r>
              <w:rPr>
                <w:rFonts w:eastAsia="Calibri"/>
                <w:lang w:val="en-GB"/>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Theme="minorEastAsia"/>
                <w:lang w:val="en-GB"/>
              </w:rPr>
            </w:pPr>
            <w:r>
              <w:rPr>
                <w:rFonts w:hint="eastAsia" w:eastAsiaTheme="minorEastAsia"/>
                <w:lang w:val="en-GB"/>
              </w:rPr>
              <w:t>L</w:t>
            </w:r>
            <w:r>
              <w:rPr>
                <w:rFonts w:eastAsiaTheme="minorEastAsia"/>
                <w:lang w:val="en-GB"/>
              </w:rPr>
              <w:t>G Electronics</w:t>
            </w:r>
          </w:p>
        </w:tc>
        <w:tc>
          <w:tcPr>
            <w:tcW w:w="7933" w:type="dxa"/>
          </w:tcPr>
          <w:p>
            <w:pPr>
              <w:rPr>
                <w:rFonts w:eastAsiaTheme="minorEastAsia"/>
                <w:lang w:val="en-GB"/>
              </w:rPr>
            </w:pPr>
            <w:r>
              <w:rPr>
                <w:rFonts w:hint="eastAsia" w:eastAsiaTheme="minorEastAsia"/>
                <w:lang w:val="en-GB"/>
              </w:rPr>
              <w:t xml:space="preserve">Agree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bl>
    <w:p>
      <w:pPr>
        <w:pStyle w:val="4"/>
        <w:ind w:left="0" w:firstLine="0"/>
      </w:pPr>
      <w:r>
        <w:t>Issue 1.3-2</w:t>
      </w:r>
      <w:r>
        <w:tab/>
      </w:r>
      <w:r>
        <w:t>Other exceptional reports to the gNB</w:t>
      </w:r>
    </w:p>
    <w:p>
      <w:pPr>
        <w:rPr>
          <w:b/>
          <w:bCs/>
        </w:rPr>
      </w:pPr>
      <w:r>
        <w:rPr>
          <w:b/>
          <w:bCs/>
        </w:rPr>
        <w:t>Are there are other exceptional reports to the gNB (e.g., nothing to transmit for DG, etc.)?</w:t>
      </w:r>
    </w:p>
    <w:p>
      <w:pPr>
        <w:pStyle w:val="133"/>
        <w:numPr>
          <w:ilvl w:val="0"/>
          <w:numId w:val="16"/>
        </w:numPr>
        <w:rPr>
          <w:b/>
          <w:bCs/>
        </w:rPr>
      </w:pPr>
      <w:r>
        <w:rPr>
          <w:b/>
          <w:bCs/>
        </w:rPr>
        <w:t>Yes (please provide details).</w:t>
      </w:r>
    </w:p>
    <w:p>
      <w:pPr>
        <w:pStyle w:val="133"/>
        <w:numPr>
          <w:ilvl w:val="0"/>
          <w:numId w:val="16"/>
        </w:numPr>
        <w:rPr>
          <w:b/>
          <w:bCs/>
        </w:rPr>
      </w:pPr>
      <w:r>
        <w:rPr>
          <w:b/>
          <w:bCs/>
        </w:rPr>
        <w:t>No further specification is necessary.</w:t>
      </w:r>
    </w:p>
    <w:p>
      <w:pPr>
        <w:rPr>
          <w:b/>
          <w:bCs/>
        </w:rPr>
      </w:pPr>
      <w:r>
        <w:rPr>
          <w:b/>
          <w:bCs/>
        </w:rPr>
        <w:t>(For other answers, please explain)</w:t>
      </w:r>
    </w:p>
    <w:p>
      <w:pPr>
        <w:spacing w:before="240"/>
        <w:rPr>
          <w:b/>
          <w:bCs/>
        </w:rPr>
      </w:pPr>
      <w:r>
        <w:rPr>
          <w:b/>
          <w:bCs/>
        </w:rPr>
        <w:t>FL summary (19/8/2020):</w:t>
      </w:r>
    </w:p>
    <w:p>
      <w:pPr>
        <w:pStyle w:val="133"/>
        <w:numPr>
          <w:ilvl w:val="0"/>
          <w:numId w:val="17"/>
        </w:numPr>
        <w:spacing w:before="240"/>
      </w:pPr>
      <w:r>
        <w:t>A majority of companies is supportive of not having any further specification.</w:t>
      </w:r>
    </w:p>
    <w:p>
      <w:pPr>
        <w:pStyle w:val="133"/>
        <w:numPr>
          <w:ilvl w:val="0"/>
          <w:numId w:val="17"/>
        </w:numPr>
        <w:spacing w:before="240"/>
      </w:pPr>
      <w: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pPr>
        <w:pStyle w:val="133"/>
        <w:numPr>
          <w:ilvl w:val="0"/>
          <w:numId w:val="17"/>
        </w:numPr>
        <w:spacing w:before="240"/>
      </w:pPr>
      <w:r>
        <w:t>Given these two observations and that we are quite advanced in the maintenance phase, the proposal is not to specify anything.</w:t>
      </w:r>
    </w:p>
    <w:p>
      <w:pPr>
        <w:rPr>
          <w:b/>
          <w:bCs/>
        </w:rPr>
      </w:pPr>
      <w:r>
        <w:rPr>
          <w:b/>
          <w:bCs/>
        </w:rPr>
        <w:t>FL summary (20/8/2020)</w:t>
      </w:r>
    </w:p>
    <w:p>
      <w:pPr>
        <w:pStyle w:val="133"/>
        <w:numPr>
          <w:ilvl w:val="0"/>
          <w:numId w:val="18"/>
        </w:numPr>
        <w:spacing w:before="240"/>
      </w:pPr>
      <w:r>
        <w:t>Not many comments on this. The proposal remains the same.</w:t>
      </w:r>
    </w:p>
    <w:p>
      <w:pPr>
        <w:rPr>
          <w:b/>
          <w:bCs/>
        </w:rPr>
      </w:pPr>
      <w:r>
        <w:rPr>
          <w:b/>
          <w:bCs/>
        </w:rPr>
        <w:t>FL summary (24/8/2020)</w:t>
      </w:r>
    </w:p>
    <w:p>
      <w:pPr>
        <w:pStyle w:val="133"/>
        <w:numPr>
          <w:ilvl w:val="0"/>
          <w:numId w:val="18"/>
        </w:numPr>
        <w:spacing w:before="240"/>
      </w:pPr>
      <w:r>
        <w:t>No comments on this. My proposal is to capture the conclusion and discuss again in a later meeting, if necessary.</w:t>
      </w:r>
    </w:p>
    <w:p>
      <w:pPr>
        <w:rPr>
          <w:b/>
          <w:bCs/>
        </w:rPr>
      </w:pPr>
      <w:r>
        <w:rPr>
          <w:b/>
          <w:bCs/>
        </w:rPr>
        <w:t>FL summary (25/8/2020)</w:t>
      </w:r>
    </w:p>
    <w:p>
      <w:pPr>
        <w:pStyle w:val="133"/>
        <w:numPr>
          <w:ilvl w:val="0"/>
          <w:numId w:val="18"/>
        </w:numPr>
        <w:spacing w:before="240"/>
      </w:pPr>
      <w:r>
        <w:t>Given the situation and the discussion with DCM, I believe that we cannot reach any conclusion or agreement in this meeting. I encourage companies to think about the issue till next meeting.</w:t>
      </w:r>
    </w:p>
    <w:p>
      <w:pPr>
        <w:spacing w:before="240"/>
        <w:rPr>
          <w:del w:id="0" w:author="作者" w:date=""/>
          <w:b/>
          <w:bCs/>
        </w:rPr>
      </w:pPr>
      <w:del w:id="1" w:author="作者">
        <w:r>
          <w:rPr>
            <w:b/>
            <w:bCs/>
            <w:highlight w:val="yellow"/>
          </w:rPr>
          <w:delText>Proposed conclusion:</w:delText>
        </w:r>
      </w:del>
    </w:p>
    <w:p>
      <w:pPr>
        <w:pStyle w:val="133"/>
        <w:numPr>
          <w:ilvl w:val="0"/>
          <w:numId w:val="19"/>
        </w:numPr>
        <w:spacing w:before="240"/>
      </w:pPr>
      <w:del w:id="2" w:author="作者">
        <w:r>
          <w:rPr/>
          <w:delText>No additional expceptional reports to the gNB are specified at this point.</w:delText>
        </w:r>
      </w:del>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7E6E6" w:themeFill="background2"/>
          </w:tcPr>
          <w:p>
            <w:pPr>
              <w:jc w:val="center"/>
              <w:rPr>
                <w:rFonts w:eastAsia="Calibri"/>
                <w:b/>
                <w:bCs/>
                <w:lang w:val="en-GB"/>
              </w:rPr>
            </w:pPr>
            <w:r>
              <w:rPr>
                <w:rFonts w:eastAsia="Calibri"/>
                <w:b/>
                <w:bCs/>
                <w:lang w:val="en-GB"/>
              </w:rPr>
              <w:t>Company</w:t>
            </w:r>
          </w:p>
        </w:tc>
        <w:tc>
          <w:tcPr>
            <w:tcW w:w="7933" w:type="dxa"/>
            <w:shd w:val="clear" w:color="auto" w:fill="E7E6E6" w:themeFill="background2"/>
          </w:tcPr>
          <w:p>
            <w:pPr>
              <w:jc w:val="center"/>
              <w:rPr>
                <w:rFonts w:eastAsia="Calibri"/>
                <w:b/>
                <w:bCs/>
                <w:lang w:val="en-GB"/>
              </w:rPr>
            </w:pPr>
            <w:r>
              <w:rPr>
                <w:rFonts w:eastAsia="Calibri"/>
                <w:b/>
                <w:bCs/>
                <w:lang w:val="en-GB"/>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Yu Mincho"/>
                <w:lang w:val="en-GB"/>
              </w:rPr>
            </w:pPr>
            <w:r>
              <w:rPr>
                <w:rFonts w:hint="eastAsia" w:eastAsia="Yu Mincho"/>
                <w:lang w:val="en-GB"/>
              </w:rPr>
              <w:t>NTT DOCOMO</w:t>
            </w:r>
          </w:p>
        </w:tc>
        <w:tc>
          <w:tcPr>
            <w:tcW w:w="7933" w:type="dxa"/>
          </w:tcPr>
          <w:p>
            <w:pPr>
              <w:rPr>
                <w:rFonts w:eastAsia="Yu Mincho"/>
                <w:lang w:val="en-GB"/>
              </w:rPr>
            </w:pPr>
            <w:r>
              <w:rPr>
                <w:rFonts w:hint="eastAsia" w:eastAsia="Yu Mincho"/>
                <w:lang w:val="en-GB"/>
              </w:rPr>
              <w:t>Yes</w:t>
            </w:r>
          </w:p>
          <w:p>
            <w:pPr>
              <w:rPr>
                <w:rFonts w:eastAsia="Yu Mincho"/>
                <w:lang w:val="en-GB"/>
              </w:rPr>
            </w:pPr>
            <w:r>
              <w:rPr>
                <w:rFonts w:eastAsia="Yu Mincho"/>
                <w:lang w:val="en-GB"/>
              </w:rPr>
              <w:t>When a dynamic grant is provided to a UE, but if the UE skips the corresponding SL transmission, the UE should report ACK to gNB.</w:t>
            </w:r>
          </w:p>
          <w:p>
            <w:pPr>
              <w:rPr>
                <w:rFonts w:eastAsia="Yu Mincho"/>
                <w:lang w:val="en-GB"/>
              </w:rPr>
            </w:pPr>
            <w:r>
              <w:rPr>
                <w:rFonts w:eastAsia="Yu Mincho"/>
                <w:lang w:val="en-GB"/>
              </w:rPr>
              <w:t>According to RAN2 spec., SL , is possible; hence, we think this exceptional report is needed. For example, a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pPr>
              <w:rPr>
                <w:rFonts w:eastAsia="Yu Mincho"/>
                <w:color w:val="0070C0"/>
                <w:lang w:val="en-GB"/>
              </w:rPr>
            </w:pPr>
            <w:r>
              <w:rPr>
                <w:rFonts w:eastAsia="Yu Mincho"/>
                <w:color w:val="0070C0"/>
                <w:lang w:val="en-GB"/>
              </w:rPr>
              <w:t>[DCM2] We do not support the proposal since solving this issue would be essential. Please see the following points:</w:t>
            </w:r>
          </w:p>
          <w:p>
            <w:pPr>
              <w:rPr>
                <w:rFonts w:eastAsia="Yu Mincho"/>
                <w:color w:val="0070C0"/>
                <w:lang w:val="en-GB"/>
              </w:rPr>
            </w:pPr>
            <w:r>
              <w:rPr>
                <w:rFonts w:eastAsia="Yu Mincho"/>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61"/>
              <w:tblW w:w="7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7" w:type="dxa"/>
                </w:tcPr>
                <w:p>
                  <w:pPr>
                    <w:pStyle w:val="165"/>
                    <w:rPr>
                      <w:rFonts w:eastAsia="Calibri"/>
                      <w:sz w:val="20"/>
                      <w:szCs w:val="20"/>
                      <w:lang w:eastAsia="en-US"/>
                    </w:rPr>
                  </w:pPr>
                  <w:r>
                    <w:rPr>
                      <w:rFonts w:eastAsia="Calibri"/>
                      <w:sz w:val="20"/>
                      <w:szCs w:val="20"/>
                      <w:lang w:eastAsia="en-US"/>
                    </w:rPr>
                    <w:t xml:space="preserve">The MAC entity shall not generate a MAC PDU for the HARQ entity if the following conditions are satisfied: </w:t>
                  </w:r>
                </w:p>
                <w:p>
                  <w:pPr>
                    <w:pStyle w:val="165"/>
                    <w:rPr>
                      <w:rFonts w:eastAsia="Calibri"/>
                      <w:sz w:val="20"/>
                      <w:szCs w:val="20"/>
                      <w:lang w:eastAsia="en-US"/>
                    </w:rPr>
                  </w:pPr>
                  <w:r>
                    <w:rPr>
                      <w:rFonts w:eastAsia="Calibri"/>
                      <w:sz w:val="20"/>
                      <w:szCs w:val="20"/>
                      <w:lang w:eastAsia="en-US"/>
                    </w:rPr>
                    <w:t xml:space="preserve">- there is no Sidelink CSI Reporting MAC CE generated for this PSSCH transmission as specified in clause 5.22.1.7; and </w:t>
                  </w:r>
                </w:p>
                <w:p>
                  <w:pPr>
                    <w:rPr>
                      <w:rFonts w:eastAsia="Yu Mincho"/>
                      <w:lang w:val="en-GB"/>
                    </w:rPr>
                  </w:pPr>
                  <w:r>
                    <w:rPr>
                      <w:rFonts w:eastAsia="Calibri"/>
                      <w:sz w:val="20"/>
                      <w:szCs w:val="20"/>
                      <w:lang w:val="en-GB"/>
                    </w:rPr>
                    <w:t>- the MAC PDU includes zero MAC SDUs.</w:t>
                  </w:r>
                </w:p>
              </w:tc>
            </w:tr>
          </w:tbl>
          <w:p>
            <w:pPr>
              <w:rPr>
                <w:rFonts w:eastAsia="Yu Mincho"/>
                <w:color w:val="0070C0"/>
                <w:lang w:val="en-GB"/>
              </w:rPr>
            </w:pPr>
            <w:r>
              <w:rPr>
                <w:rFonts w:hint="eastAsia" w:eastAsia="Yu Mincho"/>
                <w:color w:val="0070C0"/>
                <w:lang w:val="en-GB"/>
              </w:rPr>
              <w:t xml:space="preserve">b. </w:t>
            </w:r>
            <w:r>
              <w:rPr>
                <w:rFonts w:eastAsia="Yu Mincho"/>
                <w:color w:val="0070C0"/>
                <w:lang w:val="en-GB"/>
              </w:rPr>
              <w:t>if this situation occurs, i.e. UE skips SL TX on resource provided by DG, of course UE follows current 213. In 16.5 of 213, UE generates HARQ-ACK bit based on the cast-type or feedback option. But when UE does not transmit any on the SL resource, HARQ-ACK bit generation is unclear; especialy whether generated or not. This issue leads to UCI payload size misalignment.</w:t>
            </w:r>
          </w:p>
          <w:p>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61"/>
              <w:tblW w:w="7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7" w:type="dxa"/>
                </w:tcPr>
                <w:p>
                  <w:pPr>
                    <w:rPr>
                      <w:rFonts w:eastAsia="Yu Mincho"/>
                      <w:lang w:val="en-GB"/>
                    </w:rPr>
                  </w:pPr>
                  <w:r>
                    <w:rPr>
                      <w:rFonts w:eastAsia="Calibri"/>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pPr>
              <w:rPr>
                <w:rFonts w:eastAsia="Yu Mincho"/>
                <w:color w:val="0070C0"/>
                <w:lang w:val="en-GB"/>
              </w:rPr>
            </w:pPr>
            <w:r>
              <w:rPr>
                <w:rFonts w:eastAsia="Yu Mincho"/>
                <w:color w:val="0070C0"/>
                <w:lang w:val="en-GB"/>
              </w:rPr>
              <w:t>(if our understanding of the above ‘a’ is incorrect, i.e. SL TX skip is not supported in RAN2, the proposal is fine for us.)</w:t>
            </w:r>
          </w:p>
          <w:p>
            <w:pPr>
              <w:rPr>
                <w:rFonts w:eastAsia="Yu Mincho"/>
                <w:color w:val="FF0000"/>
                <w:lang w:val="en-GB"/>
              </w:rPr>
            </w:pPr>
            <w:r>
              <w:rPr>
                <w:rFonts w:eastAsia="Yu Mincho"/>
                <w:color w:val="FF0000"/>
                <w:lang w:val="en-GB"/>
              </w:rPr>
              <w:t>FL reply 24/8/2020:</w:t>
            </w:r>
          </w:p>
          <w:p>
            <w:pPr>
              <w:rPr>
                <w:rFonts w:eastAsia="Yu Mincho"/>
                <w:color w:val="FF0000"/>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Pr>
                <w:rFonts w:eastAsia="Yu Mincho"/>
                <w:color w:val="FF0000"/>
                <w:u w:val="single"/>
                <w:lang w:val="en-GB"/>
              </w:rPr>
              <w:t>at this point</w:t>
            </w:r>
            <w:r>
              <w:rPr>
                <w:rFonts w:eastAsia="Yu Mincho"/>
                <w:color w:val="FF0000"/>
                <w:lang w:val="en-GB"/>
              </w:rPr>
              <w:t>.</w:t>
            </w:r>
          </w:p>
          <w:p>
            <w:pPr>
              <w:rPr>
                <w:rFonts w:eastAsia="Yu Mincho"/>
                <w:lang w:val="en-GB"/>
              </w:rPr>
            </w:pPr>
            <w:r>
              <w:rPr>
                <w:rFonts w:eastAsia="Yu Mincho"/>
                <w:color w:val="0070C0"/>
                <w:lang w:val="en-GB"/>
              </w:rPr>
              <w:t>[DCM3</w:t>
            </w:r>
            <w:r>
              <w:rPr>
                <w:rFonts w:hint="eastAsia" w:eastAsia="Yu Mincho"/>
                <w:color w:val="0070C0"/>
                <w:lang w:val="en-GB"/>
              </w:rPr>
              <w:t xml:space="preserve">] </w:t>
            </w:r>
            <w:r>
              <w:rPr>
                <w:rFonts w:eastAsia="Yu Mincho"/>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Intel</w:t>
            </w:r>
          </w:p>
        </w:tc>
        <w:tc>
          <w:tcPr>
            <w:tcW w:w="7933" w:type="dxa"/>
          </w:tcPr>
          <w:p>
            <w:pPr>
              <w:rPr>
                <w:rFonts w:eastAsia="Calibri"/>
                <w:lang w:val="en-GB"/>
              </w:rPr>
            </w:pPr>
            <w:r>
              <w:rPr>
                <w:rFonts w:eastAsia="Calibri"/>
                <w:lang w:val="en-GB"/>
              </w:rPr>
              <w:t>We are not sure if the case mentioned by NTT DOCOMO needs additional handling. For example, it can be similar to the case when a configured grant is not used. If it is not handled by specification, we are supportive that a UE sends ACK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v</w:t>
            </w:r>
            <w:r>
              <w:rPr>
                <w:rFonts w:eastAsia="等线"/>
                <w:lang w:val="en-GB"/>
              </w:rPr>
              <w:t>ivo</w:t>
            </w:r>
          </w:p>
        </w:tc>
        <w:tc>
          <w:tcPr>
            <w:tcW w:w="7933" w:type="dxa"/>
          </w:tcPr>
          <w:p>
            <w:pPr>
              <w:rPr>
                <w:rFonts w:eastAsia="等线"/>
                <w:lang w:val="en-GB"/>
              </w:rPr>
            </w:pPr>
            <w:r>
              <w:rPr>
                <w:rFonts w:eastAsia="等线"/>
                <w:lang w:val="en-GB"/>
              </w:rPr>
              <w:t>Option B. No.</w:t>
            </w:r>
          </w:p>
          <w:p>
            <w:pPr>
              <w:rPr>
                <w:rFonts w:eastAsia="等线"/>
                <w:lang w:val="en-GB"/>
              </w:rPr>
            </w:pPr>
            <w:r>
              <w:rPr>
                <w:rFonts w:eastAsia="等线"/>
                <w:lang w:val="en-GB"/>
              </w:rPr>
              <w:t>In the case of UL, the ability to skip on CG is a mandatory capability, but skipping on DG is an optional capability. Whether the UE can skip on a UL DG depends on the presence of skipUplinkTxDynamic. Specifically, if skipUplinkTxDynamic is configured, the UE can skip on UL grants, if not, the UE cannot skip the grant and should send a MAC PDU with padding.</w:t>
            </w:r>
          </w:p>
          <w:p>
            <w:pPr>
              <w:rPr>
                <w:rFonts w:eastAsia="等线"/>
                <w:lang w:val="en-GB"/>
              </w:rPr>
            </w:pPr>
          </w:p>
          <w:p>
            <w:pPr>
              <w:rPr>
                <w:rFonts w:eastAsia="等线"/>
                <w:lang w:val="en-GB"/>
              </w:rPr>
            </w:pPr>
            <w:r>
              <w:rPr>
                <w:rFonts w:eastAsia="等线"/>
                <w:lang w:val="en-GB"/>
              </w:rPr>
              <w:t xml:space="preserve">The gnb may provide a sidelink grant, but the UE has no data available. In this case, if SL grant skipping is allowed, then we may need to discuss whether this behavior is an optional or mandatory capability. Since skipping UL DG is an optional capability, skipping SL DG should also be optional. However, defining such a new capability may introduce new RRC parameters, which should be avoided during this maintenance phase. </w:t>
            </w:r>
          </w:p>
          <w:p>
            <w:pPr>
              <w:rPr>
                <w:rFonts w:eastAsia="等线"/>
                <w:lang w:val="en-GB"/>
              </w:rPr>
            </w:pPr>
          </w:p>
          <w:p>
            <w:pPr>
              <w:rPr>
                <w:rFonts w:eastAsia="Calibri"/>
                <w:lang w:val="en-GB"/>
              </w:rPr>
            </w:pPr>
            <w:r>
              <w:rPr>
                <w:rFonts w:eastAsia="等线"/>
                <w:lang w:val="en-GB"/>
              </w:rPr>
              <w:t>Another possibility is that the UE can send a MAC PDU with padding on a predetermined resource, the UE can then report HARQ-ACK based on the PSFCH reception associated with the DG. In this case, the process for determining the HARQ information is the same as if there is SL data to be sent. Therefore, no special reports need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O</w:t>
            </w:r>
            <w:r>
              <w:rPr>
                <w:rFonts w:eastAsia="等线"/>
                <w:lang w:val="en-GB"/>
              </w:rPr>
              <w:t>PPO</w:t>
            </w:r>
          </w:p>
        </w:tc>
        <w:tc>
          <w:tcPr>
            <w:tcW w:w="7933" w:type="dxa"/>
          </w:tcPr>
          <w:p>
            <w:pPr>
              <w:rPr>
                <w:rFonts w:eastAsia="等线"/>
                <w:lang w:val="en-GB"/>
              </w:rPr>
            </w:pPr>
            <w:r>
              <w:rPr>
                <w:rFonts w:hint="eastAsia" w:eastAsia="等线"/>
                <w:lang w:val="en-GB"/>
              </w:rPr>
              <w:t>Y</w:t>
            </w:r>
            <w:r>
              <w:rPr>
                <w:rFonts w:eastAsia="等线"/>
                <w:lang w:val="en-GB"/>
              </w:rPr>
              <w:t>es.</w:t>
            </w:r>
          </w:p>
          <w:p>
            <w:pPr>
              <w:rPr>
                <w:rFonts w:eastAsia="Calibri"/>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Theme="minorEastAsia"/>
                <w:lang w:val="en-GB"/>
              </w:rPr>
              <w:t>L</w:t>
            </w:r>
            <w:r>
              <w:rPr>
                <w:rFonts w:eastAsiaTheme="minorEastAsia"/>
                <w:lang w:val="en-GB"/>
              </w:rPr>
              <w:t>G Electronics</w:t>
            </w:r>
          </w:p>
        </w:tc>
        <w:tc>
          <w:tcPr>
            <w:tcW w:w="7933" w:type="dxa"/>
          </w:tcPr>
          <w:p>
            <w:pPr>
              <w:rPr>
                <w:rFonts w:eastAsia="Calibri"/>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hint="eastAsia" w:eastAsiaTheme="minorEastAsia"/>
                <w:lang w:val="en-GB"/>
              </w:rPr>
              <w:t xml:space="preserve"> </w:t>
            </w:r>
            <w:r>
              <w:rPr>
                <w:rFonts w:eastAsiaTheme="minorEastAsia"/>
                <w:lang w:val="en-GB"/>
              </w:rPr>
              <w:t xml:space="preserve">So, our preference is </w:t>
            </w:r>
            <w:r>
              <w:rPr>
                <w:rFonts w:eastAsiaTheme="minorEastAsia"/>
                <w:b/>
                <w:lang w:val="en-GB"/>
              </w:rPr>
              <w:t>Option B</w:t>
            </w:r>
            <w:r>
              <w:rPr>
                <w:rFonts w:eastAsiaTheme="minorEastAsia"/>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ZTE, Sanechips</w:t>
            </w:r>
          </w:p>
        </w:tc>
        <w:tc>
          <w:tcPr>
            <w:tcW w:w="7933" w:type="dxa"/>
          </w:tcPr>
          <w:p>
            <w:pPr>
              <w:rPr>
                <w:rFonts w:eastAsia="Calibri"/>
                <w:lang w:val="en-GB"/>
              </w:rPr>
            </w:pPr>
            <w:r>
              <w:rPr>
                <w:rFonts w:eastAsia="Calibri"/>
                <w:lang w:val="en-GB"/>
              </w:rPr>
              <w:t xml:space="preserve">Option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S</w:t>
            </w:r>
            <w:r>
              <w:rPr>
                <w:rFonts w:eastAsia="等线"/>
                <w:lang w:val="en-GB"/>
              </w:rPr>
              <w:t>harp</w:t>
            </w:r>
          </w:p>
        </w:tc>
        <w:tc>
          <w:tcPr>
            <w:tcW w:w="7933" w:type="dxa"/>
          </w:tcPr>
          <w:p>
            <w:pPr>
              <w:rPr>
                <w:rFonts w:eastAsia="等线"/>
                <w:lang w:val="en-GB"/>
              </w:rPr>
            </w:pPr>
            <w:r>
              <w:rPr>
                <w:rFonts w:hint="eastAsia" w:eastAsia="等线"/>
                <w:lang w:val="en-GB"/>
              </w:rPr>
              <w:t>O</w:t>
            </w:r>
            <w:r>
              <w:rPr>
                <w:rFonts w:eastAsia="等线"/>
                <w:lang w:val="en-GB"/>
              </w:rPr>
              <w:t xml:space="preserve">ption A. </w:t>
            </w:r>
            <w:r>
              <w:rPr>
                <w:rFonts w:hint="eastAsia" w:eastAsia="等线"/>
                <w:lang w:val="en-GB"/>
              </w:rPr>
              <w:t>W</w:t>
            </w:r>
            <w:r>
              <w:rPr>
                <w:rFonts w:eastAsia="等线"/>
                <w:lang w:val="en-GB"/>
              </w:rPr>
              <w:t>e are supportive of specifying the case mentioned by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C</w:t>
            </w:r>
            <w:r>
              <w:rPr>
                <w:rFonts w:eastAsia="等线"/>
                <w:lang w:val="en-GB"/>
              </w:rPr>
              <w:t>MCC</w:t>
            </w:r>
          </w:p>
        </w:tc>
        <w:tc>
          <w:tcPr>
            <w:tcW w:w="7933" w:type="dxa"/>
          </w:tcPr>
          <w:p>
            <w:pPr>
              <w:rPr>
                <w:rFonts w:eastAsia="等线"/>
                <w:lang w:val="en-GB"/>
              </w:rPr>
            </w:pPr>
            <w:r>
              <w:rPr>
                <w:rFonts w:hint="eastAsia" w:eastAsia="等线"/>
                <w:lang w:val="en-GB"/>
              </w:rPr>
              <w:t>W</w:t>
            </w:r>
            <w:r>
              <w:rPr>
                <w:rFonts w:eastAsia="等线"/>
                <w:lang w:val="en-GB"/>
              </w:rPr>
              <w:t>e are open to this optimization so option A is slightly preferred.</w:t>
            </w:r>
            <w:r>
              <w:rPr>
                <w:rFonts w:eastAsia="Calibri"/>
                <w:color w:val="FF000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Yu Mincho"/>
                <w:lang w:val="en-GB"/>
              </w:rPr>
              <w:t>Fujitsu</w:t>
            </w:r>
          </w:p>
        </w:tc>
        <w:tc>
          <w:tcPr>
            <w:tcW w:w="7933" w:type="dxa"/>
          </w:tcPr>
          <w:p>
            <w:pPr>
              <w:rPr>
                <w:rFonts w:eastAsia="Yu Mincho"/>
                <w:lang w:val="en-GB"/>
              </w:rPr>
            </w:pPr>
            <w:r>
              <w:rPr>
                <w:rFonts w:hint="eastAsia" w:eastAsia="Yu Mincho"/>
                <w:lang w:val="en-GB"/>
              </w:rPr>
              <w:t>Yes</w:t>
            </w:r>
          </w:p>
          <w:p>
            <w:pPr>
              <w:rPr>
                <w:rFonts w:eastAsia="Calibri"/>
                <w:lang w:val="en-GB"/>
              </w:rPr>
            </w:pPr>
            <w:r>
              <w:rPr>
                <w:rFonts w:hint="eastAsia" w:eastAsia="等线"/>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CATT</w:t>
            </w:r>
          </w:p>
        </w:tc>
        <w:tc>
          <w:tcPr>
            <w:tcW w:w="7933" w:type="dxa"/>
          </w:tcPr>
          <w:p>
            <w:pPr>
              <w:rPr>
                <w:rFonts w:eastAsia="等线"/>
                <w:lang w:val="en-GB"/>
              </w:rPr>
            </w:pPr>
            <w:r>
              <w:rPr>
                <w:rFonts w:hint="eastAsia" w:eastAsia="等线"/>
                <w:lang w:val="en-GB"/>
              </w:rPr>
              <w:t>Option B.</w:t>
            </w:r>
          </w:p>
          <w:p>
            <w:pPr>
              <w:rPr>
                <w:rFonts w:eastAsia="等线"/>
                <w:lang w:val="en-GB"/>
              </w:rPr>
            </w:pPr>
            <w:r>
              <w:rPr>
                <w:rFonts w:eastAsia="等线"/>
                <w:lang w:val="en-GB"/>
              </w:rPr>
              <w:t>C</w:t>
            </w:r>
            <w:r>
              <w:rPr>
                <w:rFonts w:hint="eastAsia" w:eastAsia="等线"/>
                <w:lang w:val="en-GB"/>
              </w:rPr>
              <w:t xml:space="preserve">urrently, </w:t>
            </w:r>
            <w:r>
              <w:rPr>
                <w:rFonts w:eastAsia="等线"/>
                <w:lang w:val="en-GB"/>
              </w:rPr>
              <w:t>there</w:t>
            </w:r>
            <w:r>
              <w:rPr>
                <w:rFonts w:hint="eastAsia" w:eastAsia="等线"/>
                <w:lang w:val="en-GB"/>
              </w:rPr>
              <w:t xml:space="preserve"> is not </w:t>
            </w:r>
            <w:r>
              <w:rPr>
                <w:rFonts w:eastAsia="等线"/>
                <w:lang w:val="en-GB"/>
              </w:rPr>
              <w:t>exceptional</w:t>
            </w:r>
            <w:r>
              <w:rPr>
                <w:rFonts w:hint="eastAsia" w:eastAsia="等线"/>
                <w:lang w:val="en-GB"/>
              </w:rPr>
              <w:t xml:space="preserve"> cases that needs ACK/NACK reported to gNB. </w:t>
            </w:r>
            <w:r>
              <w:rPr>
                <w:rFonts w:eastAsia="等线"/>
                <w:lang w:val="en-GB"/>
              </w:rPr>
              <w:t>i</w:t>
            </w:r>
            <w:r>
              <w:rPr>
                <w:rFonts w:hint="eastAsia" w:eastAsia="等线"/>
                <w:lang w:val="en-GB"/>
              </w:rPr>
              <w:t>n terms of the case mentioned by NTT, the skiping mechanism is not supported now (also mentioned by LGE). UE will perform the transmission and use the resources scheduled by gNB.</w:t>
            </w:r>
          </w:p>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Huawei, HiSilicon</w:t>
            </w:r>
          </w:p>
        </w:tc>
        <w:tc>
          <w:tcPr>
            <w:tcW w:w="7933" w:type="dxa"/>
          </w:tcPr>
          <w:p>
            <w:pPr>
              <w:rPr>
                <w:rFonts w:eastAsia="等线"/>
                <w:lang w:val="en-GB"/>
              </w:rPr>
            </w:pPr>
            <w:r>
              <w:rPr>
                <w:rFonts w:eastAsia="等线"/>
                <w:lang w:val="en-GB"/>
              </w:rPr>
              <w:t>Option B.</w:t>
            </w:r>
          </w:p>
          <w:p>
            <w:pPr>
              <w:rPr>
                <w:rFonts w:eastAsia="Calibri"/>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hint="eastAsia" w:eastAsia="等线"/>
                <w:lang w:val="en-GB"/>
              </w:rPr>
              <w:t>S</w:t>
            </w:r>
            <w:r>
              <w:rPr>
                <w:rFonts w:eastAsia="等线"/>
                <w:lang w:val="en-GB"/>
              </w:rPr>
              <w:t>amsung</w:t>
            </w:r>
          </w:p>
        </w:tc>
        <w:tc>
          <w:tcPr>
            <w:tcW w:w="7933" w:type="dxa"/>
          </w:tcPr>
          <w:p>
            <w:pPr>
              <w:rPr>
                <w:rFonts w:eastAsia="等线"/>
                <w:lang w:val="en-GB"/>
              </w:rPr>
            </w:pPr>
            <w:r>
              <w:rPr>
                <w:rFonts w:hint="eastAsia" w:eastAsia="等线"/>
                <w:lang w:val="en-GB"/>
              </w:rPr>
              <w:t>O</w:t>
            </w:r>
            <w:r>
              <w:rPr>
                <w:rFonts w:eastAsia="等线"/>
                <w:lang w:val="en-GB"/>
              </w:rPr>
              <w:t>ption B.</w:t>
            </w:r>
          </w:p>
          <w:p>
            <w:pPr>
              <w:rPr>
                <w:rFonts w:eastAsia="等线"/>
                <w:lang w:val="en-GB"/>
              </w:rPr>
            </w:pPr>
            <w:r>
              <w:rPr>
                <w:rFonts w:eastAsia="等线"/>
                <w:lang w:val="en-GB"/>
              </w:rPr>
              <w:t>Regarding SL skipping, we share similar view with vivo and LGE that RAN1 should not trigger this feature and introduce high layer impact. For the other issues, we consider it can be solved by current mechanism. Therefore, so further specification impact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Fraunhofer</w:t>
            </w:r>
          </w:p>
        </w:tc>
        <w:tc>
          <w:tcPr>
            <w:tcW w:w="7933" w:type="dxa"/>
          </w:tcPr>
          <w:p>
            <w:pPr>
              <w:rPr>
                <w:rFonts w:eastAsia="Calibri"/>
                <w:lang w:val="en-GB"/>
              </w:rPr>
            </w:pPr>
            <w:r>
              <w:rPr>
                <w:rFonts w:eastAsia="Calibri"/>
                <w:lang w:val="en-GB"/>
              </w:rPr>
              <w:t>Option A.</w:t>
            </w:r>
          </w:p>
          <w:p>
            <w:pPr>
              <w:rPr>
                <w:rFonts w:eastAsia="Calibri"/>
                <w:lang w:val="en-GB"/>
              </w:rPr>
            </w:pPr>
            <w:r>
              <w:rPr>
                <w:rFonts w:eastAsia="Calibri"/>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Ericsson</w:t>
            </w:r>
          </w:p>
        </w:tc>
        <w:tc>
          <w:tcPr>
            <w:tcW w:w="7933" w:type="dxa"/>
          </w:tcPr>
          <w:p>
            <w:pPr>
              <w:rPr>
                <w:rFonts w:eastAsia="Calibri"/>
                <w:lang w:val="en-GB"/>
              </w:rPr>
            </w:pPr>
            <w:r>
              <w:rPr>
                <w:rFonts w:eastAsia="Calibri"/>
                <w:lang w:val="en-GB"/>
              </w:rPr>
              <w:t>B</w:t>
            </w:r>
          </w:p>
          <w:p>
            <w:pPr>
              <w:rPr>
                <w:rFonts w:eastAsia="Calibri"/>
                <w:lang w:val="en-GB"/>
              </w:rPr>
            </w:pPr>
            <w:r>
              <w:rPr>
                <w:rFonts w:eastAsia="Calibri"/>
                <w:lang w:val="en-GB"/>
              </w:rPr>
              <w:t>At this point, we are not convinced there are other exceptional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Futurewei</w:t>
            </w:r>
          </w:p>
        </w:tc>
        <w:tc>
          <w:tcPr>
            <w:tcW w:w="7933" w:type="dxa"/>
          </w:tcPr>
          <w:p>
            <w:pPr>
              <w:rPr>
                <w:rFonts w:eastAsia="Calibri"/>
                <w:lang w:val="en-GB"/>
              </w:rPr>
            </w:pPr>
            <w:r>
              <w:rPr>
                <w:rFonts w:eastAsia="Calibri"/>
                <w:lang w:val="en-GB"/>
              </w:rPr>
              <w:t>B</w:t>
            </w:r>
          </w:p>
          <w:p>
            <w:pPr>
              <w:rPr>
                <w:rFonts w:eastAsia="Calibri"/>
                <w:lang w:val="en-GB"/>
              </w:rPr>
            </w:pPr>
            <w:r>
              <w:rPr>
                <w:rFonts w:eastAsia="Calibri"/>
                <w:lang w:val="en-GB"/>
              </w:rPr>
              <w:t>While there could be exceptional cases that could potentially be investigated, we do not see any critical one needed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rPr>
            </w:pPr>
            <w:r>
              <w:rPr>
                <w:rFonts w:eastAsia="Calibri"/>
              </w:rPr>
              <w:t>Nokia, NSB</w:t>
            </w:r>
          </w:p>
        </w:tc>
        <w:tc>
          <w:tcPr>
            <w:tcW w:w="7933" w:type="dxa"/>
          </w:tcPr>
          <w:p>
            <w:pPr>
              <w:rPr>
                <w:rFonts w:eastAsia="Calibri"/>
              </w:rPr>
            </w:pPr>
            <w:r>
              <w:rPr>
                <w:rFonts w:eastAsia="Calibri"/>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rPr>
            </w:pPr>
            <w:r>
              <w:rPr>
                <w:rFonts w:eastAsia="Calibri"/>
              </w:rPr>
              <w:t>Apple</w:t>
            </w:r>
          </w:p>
        </w:tc>
        <w:tc>
          <w:tcPr>
            <w:tcW w:w="7933" w:type="dxa"/>
          </w:tcPr>
          <w:p>
            <w:pPr>
              <w:rPr>
                <w:rFonts w:eastAsia="Calibri"/>
                <w:lang w:val="en-GB"/>
              </w:rPr>
            </w:pPr>
            <w:r>
              <w:rPr>
                <w:rFonts w:eastAsia="Calibri"/>
                <w:lang w:val="en-GB"/>
              </w:rPr>
              <w:t xml:space="preserve">Option B. We do not see the needs to specify the exceptional case in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rPr>
            </w:pPr>
            <w:r>
              <w:rPr>
                <w:rFonts w:hint="eastAsia" w:eastAsia="等线"/>
                <w:lang w:val="en-GB"/>
              </w:rPr>
              <w:t>Spreadtrum</w:t>
            </w:r>
          </w:p>
        </w:tc>
        <w:tc>
          <w:tcPr>
            <w:tcW w:w="7933" w:type="dxa"/>
          </w:tcPr>
          <w:p>
            <w:pPr>
              <w:rPr>
                <w:rFonts w:eastAsia="Calibri"/>
                <w:lang w:val="en-GB"/>
              </w:rPr>
            </w:pPr>
            <w:r>
              <w:rPr>
                <w:rFonts w:eastAsia="Calibri"/>
                <w:lang w:val="en-GB"/>
              </w:rPr>
              <w:t>Slightly prefer Option A. The cases mentioned by NTT and FUJITSU may need specification.</w:t>
            </w:r>
          </w:p>
        </w:tc>
      </w:tr>
    </w:tbl>
    <w:p>
      <w:pPr>
        <w:pStyle w:val="4"/>
        <w:ind w:left="0" w:firstLine="0"/>
      </w:pPr>
      <w:r>
        <w:t>1.3.3</w:t>
      </w:r>
      <w:r>
        <w:tab/>
      </w:r>
      <w:r>
        <w:t>Other TPs with editorial/minor corrections</w:t>
      </w:r>
    </w:p>
    <w:p>
      <w:pPr>
        <w:pStyle w:val="5"/>
      </w:pPr>
      <w:r>
        <w:t>TP 1.3.3-1</w:t>
      </w:r>
    </w:p>
    <w:p>
      <w:pPr>
        <w:rPr>
          <w:lang w:val="en-GB"/>
        </w:rPr>
      </w:pPr>
      <w:r>
        <w:rPr>
          <w:lang w:val="en-GB"/>
        </w:rPr>
        <w:t>Several contributions (R1-2005668, R1-2005797, R1-2006100, R1-2006263, R1-2006434, R1-2006867) have similar editorial corrections for TS 38.213 Clause 16.5. They are captured in the following TP:</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jc w:val="center"/>
              <w:rPr>
                <w:rFonts w:eastAsia="Calibri"/>
                <w:b/>
                <w:color w:val="FF0000"/>
              </w:rPr>
            </w:pPr>
            <w:bookmarkStart w:id="2" w:name="_Toc46180190"/>
            <w:bookmarkEnd w:id="2"/>
            <w:bookmarkStart w:id="3" w:name="_Toc46180211"/>
            <w:bookmarkEnd w:id="3"/>
            <w:bookmarkStart w:id="4" w:name="_Toc46180191"/>
            <w:bookmarkEnd w:id="4"/>
            <w:bookmarkStart w:id="5" w:name="_Toc46180213"/>
            <w:bookmarkEnd w:id="5"/>
            <w:bookmarkStart w:id="6" w:name="_Toc46180212"/>
            <w:bookmarkEnd w:id="6"/>
            <w:bookmarkStart w:id="7" w:name="_Toc46180192"/>
            <w:bookmarkEnd w:id="7"/>
            <w:r>
              <w:rPr>
                <w:rFonts w:eastAsia="Calibri"/>
                <w:b/>
                <w:color w:val="FF0000"/>
              </w:rPr>
              <w:t>-------------------------- Start of Text Proposal for TS 38.213 --------------------------</w:t>
            </w:r>
          </w:p>
          <w:p>
            <w:pPr>
              <w:spacing w:before="240"/>
              <w:jc w:val="center"/>
              <w:rPr>
                <w:rFonts w:eastAsia="Calibri"/>
                <w:b/>
                <w:color w:val="FF0000"/>
              </w:rPr>
            </w:pPr>
            <w:r>
              <w:rPr>
                <w:rFonts w:eastAsia="Calibri"/>
                <w:b/>
                <w:color w:val="FF0000"/>
              </w:rPr>
              <w:t>&lt;Unchanged parts omitted&gt;</w:t>
            </w:r>
          </w:p>
          <w:p>
            <w:pPr>
              <w:pStyle w:val="3"/>
              <w:spacing w:before="0"/>
              <w:ind w:left="1136" w:hanging="1136"/>
              <w:outlineLvl w:val="1"/>
              <w:rPr>
                <w:rFonts w:eastAsia="宋体"/>
                <w:szCs w:val="22"/>
                <w:lang w:val="en-US" w:eastAsia="en-US"/>
              </w:rPr>
            </w:pPr>
            <w:bookmarkStart w:id="8" w:name="_Toc45699245"/>
            <w:bookmarkStart w:id="9" w:name="_Toc36498215"/>
            <w:bookmarkStart w:id="10" w:name="_Toc29917340"/>
            <w:bookmarkStart w:id="11" w:name="_Toc29899604"/>
            <w:bookmarkStart w:id="12" w:name="_Toc29899186"/>
            <w:bookmarkStart w:id="13" w:name="_Toc29894887"/>
            <w:r>
              <w:rPr>
                <w:rFonts w:eastAsia="宋体"/>
                <w:szCs w:val="22"/>
                <w:lang w:val="en-US"/>
              </w:rPr>
              <w:t>16.5</w:t>
            </w:r>
            <w:r>
              <w:rPr>
                <w:rFonts w:eastAsia="宋体"/>
                <w:szCs w:val="22"/>
                <w:lang w:val="en-US"/>
              </w:rPr>
              <w:tab/>
            </w:r>
            <w:r>
              <w:rPr>
                <w:rFonts w:eastAsia="宋体"/>
                <w:szCs w:val="22"/>
                <w:lang w:val="en-US"/>
              </w:rPr>
              <w:t>UE procedure for reporting HARQ-ACK on uplink</w:t>
            </w:r>
            <w:bookmarkEnd w:id="8"/>
            <w:bookmarkEnd w:id="9"/>
            <w:bookmarkEnd w:id="10"/>
            <w:bookmarkEnd w:id="11"/>
            <w:bookmarkEnd w:id="12"/>
            <w:bookmarkEnd w:id="13"/>
          </w:p>
          <w:p>
            <w:pPr>
              <w:rPr>
                <w:rFonts w:eastAsia="宋体"/>
              </w:rPr>
            </w:pPr>
            <w:r>
              <w:rPr>
                <w:rFonts w:eastAsia="Calibri"/>
              </w:rPr>
              <w:t xml:space="preserve">A UE can be provided PUCCH resources or PUSCH resources [12, TS 38.331] to report HARQ-ACK information that the UE generates based on HARQ-ACK information that the UE obtains from PSFCH receptions, or from absence of PSFCH receptions. </w:t>
            </w:r>
          </w:p>
          <w:p>
            <w:pPr>
              <w:rPr>
                <w:rFonts w:eastAsia="Calibri"/>
                <w:iCs/>
              </w:rPr>
            </w:pPr>
            <w:r>
              <w:rPr>
                <w:rFonts w:eastAsia="Calibri"/>
                <w:iCs/>
              </w:rPr>
              <w:t xml:space="preserve">For SL configured grant Type 1 or Type 2 PSSCH </w:t>
            </w:r>
            <w:del w:id="3" w:author="作者">
              <w:r>
                <w:rPr>
                  <w:rFonts w:eastAsia="Calibri"/>
                  <w:iCs/>
                </w:rPr>
                <w:delText xml:space="preserve">receptions </w:delText>
              </w:r>
            </w:del>
            <w:ins w:id="4" w:author="作者">
              <w:r>
                <w:rPr>
                  <w:rFonts w:eastAsia="Calibri"/>
                  <w:iCs/>
                </w:rPr>
                <w:t xml:space="preserve">transmissions </w:t>
              </w:r>
            </w:ins>
            <w:r>
              <w:rPr>
                <w:rFonts w:eastAsia="Calibri"/>
                <w:iCs/>
              </w:rPr>
              <w:t>by a UE within a time period provided by</w:t>
            </w:r>
            <w:del w:id="5" w:author="作者">
              <w:r>
                <w:rPr>
                  <w:rFonts w:eastAsia="Calibri"/>
                  <w:iCs/>
                </w:rPr>
                <w:delText xml:space="preserve"> </w:delText>
              </w:r>
            </w:del>
            <w:del w:id="6" w:author="作者">
              <w:r>
                <w:rPr>
                  <w:rFonts w:eastAsia="Calibri"/>
                  <w:i/>
                  <w:iCs/>
                </w:rPr>
                <w:delText>periodSlCG</w:delText>
              </w:r>
            </w:del>
            <w:ins w:id="7" w:author="作者">
              <w:r>
                <w:rPr>
                  <w:rFonts w:eastAsia="Calibri"/>
                  <w:i/>
                  <w:iCs/>
                </w:rPr>
                <w:t>sl-PeriodCG</w:t>
              </w:r>
            </w:ins>
            <w:r>
              <w:rPr>
                <w:rFonts w:eastAsia="Calibri"/>
                <w:iCs/>
              </w:rPr>
              <w:t xml:space="preserve">, the UE generates one HARQ-ACK information bit in response to the PSFCH receptions to multiplex in a PUCCH transmission occasion that is after a last time resource, in a set of time resources. </w:t>
            </w:r>
          </w:p>
          <w:p>
            <w:pPr>
              <w:jc w:val="center"/>
              <w:rPr>
                <w:rFonts w:eastAsia="Calibri"/>
                <w:b/>
                <w:color w:val="FF0000"/>
              </w:rPr>
            </w:pPr>
            <w:r>
              <w:rPr>
                <w:rFonts w:eastAsia="Calibri"/>
                <w:b/>
                <w:color w:val="FF0000"/>
              </w:rPr>
              <w:t>&lt;Unchanged parts omitted&gt;</w:t>
            </w:r>
          </w:p>
          <w:p>
            <w:pPr>
              <w:rPr>
                <w:rFonts w:eastAsia="Calibri"/>
              </w:rPr>
            </w:pPr>
            <w:r>
              <w:rPr>
                <w:rFonts w:eastAsia="Calibri"/>
              </w:rPr>
              <w:t xml:space="preserve">With reference to slots for PUCCH transmissions and for a number of PSFCH reception occasions ending in slot </w:t>
            </w:r>
            <m:oMath>
              <m:r>
                <w:rPr>
                  <w:rFonts w:ascii="Cambria Math" w:hAnsi="Cambria Math" w:eastAsia="Calibri"/>
                </w:rPr>
                <m:t>n</m:t>
              </m:r>
            </m:oMath>
            <w:r>
              <w:rPr>
                <w:rFonts w:eastAsia="Calibri"/>
              </w:rPr>
              <w:t xml:space="preserve">, the UE provides the generated HARQ-ACK information in a PUCCH transmission within slot </w:t>
            </w:r>
            <m:oMath>
              <m:r>
                <w:rPr>
                  <w:rFonts w:ascii="Cambria Math" w:hAnsi="Cambria Math" w:eastAsia="Calibri"/>
                </w:rPr>
                <m:t>n+k</m:t>
              </m:r>
            </m:oMath>
            <w:r>
              <w:rPr>
                <w:rFonts w:eastAsia="Calibri"/>
              </w:rPr>
              <w:t xml:space="preserve">, subject to the overlapping conditions in Clause 9.2.5, where </w:t>
            </w:r>
            <m:oMath>
              <m:r>
                <w:rPr>
                  <w:rFonts w:ascii="Cambria Math" w:hAnsi="Cambria Math" w:eastAsia="Calibri"/>
                </w:rPr>
                <m:t>k</m:t>
              </m:r>
            </m:oMath>
            <w:r>
              <w:rPr>
                <w:rFonts w:eastAsia="Calibri"/>
              </w:rPr>
              <w:t xml:space="preserve"> is a number of slots indicated by a PSFCH-to-HARQ_feedback timing indicator field, if present, in a DCI format indicating a slot for PUCCH transmission to report the HARQ-ACK information, or </w:t>
            </w:r>
            <m:oMath>
              <m:r>
                <w:rPr>
                  <w:rFonts w:ascii="Cambria Math" w:hAnsi="Cambria Math" w:eastAsia="Calibri"/>
                </w:rPr>
                <m:t>k</m:t>
              </m:r>
            </m:oMath>
            <w:r>
              <w:rPr>
                <w:rFonts w:eastAsia="Calibri"/>
              </w:rPr>
              <w:t xml:space="preserve"> is provided by </w:t>
            </w:r>
            <w:ins w:id="8" w:author="作者">
              <w:r>
                <w:rPr>
                  <w:rFonts w:eastAsia="Calibri"/>
                  <w:i/>
                </w:rPr>
                <w:t>sl-PSFCH-ToPUCCH-CG-Type1</w:t>
              </w:r>
            </w:ins>
            <w:del w:id="9" w:author="作者">
              <w:r>
                <w:rPr>
                  <w:rFonts w:eastAsia="Calibri"/>
                  <w:i/>
                </w:rPr>
                <w:delText>sl-ACKToUL-ACK</w:delText>
              </w:r>
            </w:del>
            <w:r>
              <w:rPr>
                <w:rFonts w:eastAsia="Calibri"/>
              </w:rPr>
              <w:t xml:space="preserve">. </w:t>
            </w:r>
            <m:oMath>
              <m:r>
                <w:rPr>
                  <w:rFonts w:ascii="Cambria Math" w:hAnsi="Cambria Math" w:eastAsia="Calibri"/>
                </w:rPr>
                <m:t>k=0</m:t>
              </m:r>
            </m:oMath>
            <w:r>
              <w:rPr>
                <w:rFonts w:eastAsia="Calibri"/>
              </w:rPr>
              <w:t xml:space="preserve"> corresponds to a last slot for a PUCCH transmission that would overlap with the last PSFCH reception occasion assuming that the start of the sidelink frame is same as the start of the downlink frame [4, TS 38.211].</w:t>
            </w:r>
          </w:p>
          <w:p>
            <w:pPr>
              <w:rPr>
                <w:rFonts w:eastAsia="Calibri"/>
                <w:iCs/>
              </w:rPr>
            </w:pPr>
            <w:r>
              <w:rPr>
                <w:rFonts w:eastAsia="Calibri"/>
                <w:color w:val="000000"/>
                <w:lang w:eastAsia="zh-CN"/>
              </w:rPr>
              <w:t xml:space="preserve">For a </w:t>
            </w:r>
            <w:r>
              <w:rPr>
                <w:rFonts w:eastAsia="Calibri"/>
                <w:lang w:eastAsia="zh-CN"/>
              </w:rPr>
              <w:t xml:space="preserve">PSSCH </w:t>
            </w:r>
            <w:del w:id="10" w:author="作者">
              <w:r>
                <w:rPr>
                  <w:rFonts w:eastAsia="Calibri"/>
                  <w:lang w:eastAsia="zh-CN"/>
                </w:rPr>
                <w:delText xml:space="preserve">reception </w:delText>
              </w:r>
            </w:del>
            <w:ins w:id="11" w:author="作者">
              <w:r>
                <w:rPr>
                  <w:rFonts w:eastAsia="Calibri"/>
                  <w:lang w:eastAsia="zh-CN"/>
                </w:rPr>
                <w:t xml:space="preserve">transmission </w:t>
              </w:r>
            </w:ins>
            <w:r>
              <w:rPr>
                <w:rFonts w:eastAsia="Calibri"/>
                <w:lang w:eastAsia="zh-CN"/>
              </w:rPr>
              <w:t>by a UE that is scheduled by a DCI format, or</w:t>
            </w:r>
            <w:r>
              <w:rPr>
                <w:rFonts w:eastAsia="Calibri"/>
              </w:rPr>
              <w:t xml:space="preserve"> for a SL configured grant Type 2 </w:t>
            </w:r>
            <w:del w:id="12" w:author="作者">
              <w:r>
                <w:rPr>
                  <w:rFonts w:eastAsia="Calibri"/>
                </w:rPr>
                <w:delText xml:space="preserve">PSCCH </w:delText>
              </w:r>
            </w:del>
            <w:ins w:id="13" w:author="作者">
              <w:r>
                <w:rPr>
                  <w:rFonts w:eastAsia="Calibri"/>
                </w:rPr>
                <w:t xml:space="preserve">PSSCH </w:t>
              </w:r>
            </w:ins>
            <w:del w:id="14" w:author="作者">
              <w:r>
                <w:rPr>
                  <w:rFonts w:eastAsia="Calibri"/>
                </w:rPr>
                <w:delText xml:space="preserve">reception </w:delText>
              </w:r>
            </w:del>
            <w:ins w:id="15" w:author="作者">
              <w:r>
                <w:rPr>
                  <w:rFonts w:eastAsia="Calibri"/>
                </w:rPr>
                <w:t xml:space="preserve">transmission </w:t>
              </w:r>
            </w:ins>
            <w:r>
              <w:rPr>
                <w:rFonts w:eastAsia="Calibri"/>
              </w:rPr>
              <w:t>activated by a DCI format,</w:t>
            </w:r>
            <w:r>
              <w:rPr>
                <w:rFonts w:eastAsia="Calibri"/>
                <w:iCs/>
              </w:rPr>
              <w:t xml:space="preserve"> the DCI format indicates to the UE that a PUCCH resource is not provided when a value of the PUCCH resource indicator field is zero and a value of PSFCH-to-HARQ feedback timing indicator field, if present, is zero. For a </w:t>
            </w:r>
            <w:r>
              <w:rPr>
                <w:rFonts w:eastAsia="Calibri"/>
              </w:rPr>
              <w:t xml:space="preserve">SL configured grant Type 1 </w:t>
            </w:r>
            <w:r>
              <w:rPr>
                <w:rFonts w:eastAsia="Calibri"/>
                <w:iCs/>
              </w:rPr>
              <w:t xml:space="preserve">PSSCH </w:t>
            </w:r>
            <w:del w:id="16" w:author="作者">
              <w:r>
                <w:rPr>
                  <w:rFonts w:eastAsia="Calibri"/>
                  <w:iCs/>
                </w:rPr>
                <w:delText>reception</w:delText>
              </w:r>
            </w:del>
            <w:ins w:id="17" w:author="作者">
              <w:r>
                <w:rPr>
                  <w:rFonts w:eastAsia="Calibri"/>
                  <w:iCs/>
                </w:rPr>
                <w:t>transmission</w:t>
              </w:r>
            </w:ins>
            <w:r>
              <w:rPr>
                <w:rFonts w:eastAsia="Calibri"/>
                <w:iCs/>
              </w:rPr>
              <w:t xml:space="preserve">, a PUCCH resource can be provided </w:t>
            </w:r>
            <w:del w:id="18" w:author="作者">
              <w:r>
                <w:rPr>
                  <w:rFonts w:eastAsia="Calibri"/>
                  <w:i/>
                  <w:iCs/>
                </w:rPr>
                <w:delText>PUCCH-SL-Config</w:delText>
              </w:r>
            </w:del>
            <w:ins w:id="19" w:author="作者">
              <w:r>
                <w:rPr>
                  <w:rFonts w:eastAsia="Calibri"/>
                </w:rPr>
                <w:t xml:space="preserve">by </w:t>
              </w:r>
            </w:ins>
            <w:ins w:id="20" w:author="作者">
              <w:r>
                <w:rPr>
                  <w:rFonts w:hint="eastAsia" w:eastAsiaTheme="minorEastAsia"/>
                  <w:i/>
                  <w:iCs/>
                </w:rPr>
                <w:t>sl-N1PUCCH-AN-r16</w:t>
              </w:r>
            </w:ins>
            <w:ins w:id="21" w:author="作者">
              <w:r>
                <w:rPr>
                  <w:rFonts w:hint="eastAsia" w:eastAsiaTheme="minorEastAsia"/>
                  <w:iCs/>
                </w:rPr>
                <w:t xml:space="preserve"> and </w:t>
              </w:r>
            </w:ins>
            <w:ins w:id="22" w:author="作者">
              <w:r>
                <w:rPr>
                  <w:rFonts w:hint="eastAsia" w:eastAsiaTheme="minorEastAsia"/>
                  <w:i/>
                  <w:iCs/>
                </w:rPr>
                <w:t>sl-PSFCH-ToPUCCH-CG-Type1</w:t>
              </w:r>
            </w:ins>
            <w:r>
              <w:rPr>
                <w:rFonts w:eastAsia="Calibri"/>
                <w:iCs/>
              </w:rPr>
              <w:t xml:space="preserve">. If a PUCCH resource is not provided, the UE does not transmit a PUCCH with generated HARQ-ACK information from PSFCH reception occasions. </w:t>
            </w:r>
          </w:p>
          <w:p>
            <w:pPr>
              <w:spacing w:before="240"/>
              <w:jc w:val="center"/>
              <w:rPr>
                <w:rFonts w:eastAsia="Calibri"/>
                <w:b/>
                <w:color w:val="FF0000"/>
              </w:rPr>
            </w:pPr>
            <w:r>
              <w:rPr>
                <w:rFonts w:eastAsia="Calibri"/>
                <w:b/>
                <w:color w:val="FF0000"/>
              </w:rPr>
              <w:t>&lt;Unchanged parts omitted&gt;</w:t>
            </w:r>
          </w:p>
          <w:p>
            <w:pPr>
              <w:jc w:val="center"/>
              <w:rPr>
                <w:rFonts w:eastAsia="Calibri"/>
                <w:b/>
                <w:color w:val="FF0000"/>
              </w:rPr>
            </w:pPr>
            <w:r>
              <w:rPr>
                <w:rFonts w:eastAsia="Calibri"/>
                <w:b/>
                <w:color w:val="FF0000"/>
              </w:rPr>
              <w:t>------------------------------------ End of Text Proposal ------------------------------------</w:t>
            </w:r>
          </w:p>
        </w:tc>
      </w:tr>
    </w:tbl>
    <w:p>
      <w:pPr>
        <w:spacing w:before="240"/>
        <w:rPr>
          <w:b/>
          <w:bCs/>
        </w:rPr>
      </w:pPr>
      <w:r>
        <w:rPr>
          <w:b/>
          <w:bCs/>
        </w:rPr>
        <w:t>FL summary (25/8/2020)</w:t>
      </w:r>
    </w:p>
    <w:p>
      <w:pPr>
        <w:pStyle w:val="133"/>
        <w:numPr>
          <w:ilvl w:val="0"/>
          <w:numId w:val="19"/>
        </w:numPr>
        <w:spacing w:before="240"/>
      </w:pPr>
      <w:r>
        <w:t>I have removed the ’-r16’ from the parameter names.</w:t>
      </w:r>
    </w:p>
    <w:p>
      <w:pPr>
        <w:spacing w:before="240"/>
        <w:rPr>
          <w:b/>
          <w:bCs/>
        </w:rPr>
      </w:pPr>
      <w:r>
        <w:rPr>
          <w:b/>
          <w:bCs/>
        </w:rPr>
        <w:t>Please provide your views on the TP using the table.</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7E6E6" w:themeFill="background2"/>
          </w:tcPr>
          <w:p>
            <w:pPr>
              <w:jc w:val="center"/>
              <w:rPr>
                <w:rFonts w:eastAsia="Calibri"/>
                <w:b/>
                <w:bCs/>
                <w:lang w:val="en-GB"/>
              </w:rPr>
            </w:pPr>
            <w:r>
              <w:rPr>
                <w:rFonts w:eastAsia="Calibri"/>
                <w:b/>
                <w:bCs/>
                <w:lang w:val="en-GB"/>
              </w:rPr>
              <w:t>Company</w:t>
            </w:r>
          </w:p>
        </w:tc>
        <w:tc>
          <w:tcPr>
            <w:tcW w:w="7933" w:type="dxa"/>
            <w:shd w:val="clear" w:color="auto" w:fill="E7E6E6" w:themeFill="background2"/>
          </w:tcPr>
          <w:p>
            <w:pPr>
              <w:jc w:val="center"/>
              <w:rPr>
                <w:rFonts w:eastAsia="Calibri"/>
                <w:b/>
                <w:bCs/>
                <w:lang w:val="en-GB"/>
              </w:rPr>
            </w:pPr>
            <w:r>
              <w:rPr>
                <w:rFonts w:eastAsia="Calibri"/>
                <w:b/>
                <w:bCs/>
                <w:lang w:val="en-GB"/>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hint="eastAsia" w:eastAsia="等线"/>
                <w:lang w:val="en-GB"/>
              </w:rPr>
              <w:t>v</w:t>
            </w:r>
            <w:r>
              <w:rPr>
                <w:rFonts w:eastAsia="等线"/>
                <w:lang w:val="en-GB"/>
              </w:rPr>
              <w:t>ivo</w:t>
            </w:r>
          </w:p>
        </w:tc>
        <w:tc>
          <w:tcPr>
            <w:tcW w:w="7933" w:type="dxa"/>
          </w:tcPr>
          <w:p>
            <w:pPr>
              <w:rPr>
                <w:rFonts w:eastAsia="等线"/>
                <w:lang w:val="en-GB"/>
              </w:rPr>
            </w:pPr>
            <w:r>
              <w:rPr>
                <w:rFonts w:eastAsia="等线"/>
                <w:lang w:val="en-GB"/>
              </w:rPr>
              <w:t>vivo-</w:t>
            </w:r>
            <w:r>
              <w:rPr>
                <w:rFonts w:hint="eastAsia" w:eastAsia="等线"/>
                <w:lang w:val="en-GB"/>
              </w:rPr>
              <w:t>2</w:t>
            </w:r>
            <w:r>
              <w:rPr>
                <w:rFonts w:eastAsia="等线"/>
                <w:lang w:val="en-GB"/>
              </w:rPr>
              <w:t>020/8/24</w:t>
            </w:r>
          </w:p>
          <w:p>
            <w:pPr>
              <w:rPr>
                <w:rFonts w:eastAsia="等线"/>
                <w:lang w:val="en-GB"/>
              </w:rPr>
            </w:pPr>
            <w:r>
              <w:rPr>
                <w:rFonts w:hint="eastAsia" w:eastAsia="等线"/>
                <w:lang w:val="en-GB"/>
              </w:rPr>
              <w:t>a</w:t>
            </w:r>
            <w:r>
              <w:rPr>
                <w:rFonts w:eastAsia="等线"/>
                <w:lang w:val="en-GB"/>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Yu Mincho"/>
                <w:lang w:val="en-GB"/>
              </w:rPr>
            </w:pPr>
            <w:r>
              <w:rPr>
                <w:rFonts w:hint="eastAsia" w:eastAsia="Yu Mincho"/>
                <w:lang w:val="en-GB"/>
              </w:rPr>
              <w:t>N</w:t>
            </w:r>
            <w:r>
              <w:rPr>
                <w:rFonts w:eastAsia="Yu Mincho"/>
                <w:lang w:val="en-GB"/>
              </w:rPr>
              <w:t>TT DOCOMO</w:t>
            </w:r>
          </w:p>
        </w:tc>
        <w:tc>
          <w:tcPr>
            <w:tcW w:w="7933" w:type="dxa"/>
          </w:tcPr>
          <w:p>
            <w:pPr>
              <w:rPr>
                <w:rFonts w:eastAsia="Yu Mincho"/>
                <w:lang w:val="en-GB"/>
              </w:rPr>
            </w:pPr>
            <w:r>
              <w:rPr>
                <w:rFonts w:hint="eastAsia" w:eastAsia="Yu Mincho"/>
                <w:lang w:val="en-GB"/>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Qualcomm</w:t>
            </w:r>
          </w:p>
        </w:tc>
        <w:tc>
          <w:tcPr>
            <w:tcW w:w="7933" w:type="dxa"/>
          </w:tcPr>
          <w:p>
            <w:pPr>
              <w:rPr>
                <w:rFonts w:eastAsia="Calibri"/>
                <w:lang w:val="en-GB"/>
              </w:rPr>
            </w:pPr>
            <w:r>
              <w:rPr>
                <w:rFonts w:eastAsia="Calibri"/>
                <w:lang w:val="en-GB"/>
              </w:rPr>
              <w:t>Agree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hint="eastAsia" w:eastAsia="等线"/>
                <w:lang w:val="en-GB"/>
              </w:rPr>
              <w:t>S</w:t>
            </w:r>
            <w:r>
              <w:rPr>
                <w:rFonts w:eastAsia="等线"/>
                <w:lang w:val="en-GB"/>
              </w:rPr>
              <w:t>harp</w:t>
            </w:r>
          </w:p>
        </w:tc>
        <w:tc>
          <w:tcPr>
            <w:tcW w:w="7933" w:type="dxa"/>
          </w:tcPr>
          <w:p>
            <w:pPr>
              <w:rPr>
                <w:rFonts w:eastAsia="等线"/>
                <w:lang w:val="en-GB"/>
              </w:rPr>
            </w:pPr>
            <w:r>
              <w:rPr>
                <w:rFonts w:hint="eastAsia" w:eastAsia="等线"/>
                <w:lang w:val="en-GB"/>
              </w:rPr>
              <w:t>A</w:t>
            </w:r>
            <w:r>
              <w:rPr>
                <w:rFonts w:eastAsia="等线"/>
                <w:lang w:val="en-GB"/>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Huawei, HiSilicon</w:t>
            </w:r>
          </w:p>
        </w:tc>
        <w:tc>
          <w:tcPr>
            <w:tcW w:w="7933" w:type="dxa"/>
          </w:tcPr>
          <w:p>
            <w:pPr>
              <w:rPr>
                <w:rFonts w:eastAsia="Calibri"/>
                <w:lang w:val="en-GB"/>
              </w:rPr>
            </w:pPr>
            <w:r>
              <w:rPr>
                <w:rFonts w:eastAsia="Calibri"/>
                <w:lang w:val="en-GB"/>
              </w:rPr>
              <w:t>Ok,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Theme="minorEastAsia"/>
                <w:lang w:val="en-GB"/>
              </w:rPr>
            </w:pPr>
            <w:r>
              <w:rPr>
                <w:rFonts w:hint="eastAsia" w:eastAsiaTheme="minorEastAsia"/>
                <w:lang w:val="en-GB"/>
              </w:rPr>
              <w:t>LG Electroincs</w:t>
            </w:r>
          </w:p>
        </w:tc>
        <w:tc>
          <w:tcPr>
            <w:tcW w:w="7933" w:type="dxa"/>
          </w:tcPr>
          <w:p>
            <w:pPr>
              <w:rPr>
                <w:rFonts w:eastAsiaTheme="minorEastAsia"/>
                <w:lang w:val="en-GB"/>
              </w:rPr>
            </w:pPr>
            <w:r>
              <w:rPr>
                <w:rFonts w:hint="eastAsia" w:eastAsiaTheme="minorEastAsia"/>
                <w:lang w:val="en-GB"/>
              </w:rPr>
              <w:t xml:space="preserve">Generally, OK. </w:t>
            </w:r>
            <w:r>
              <w:rPr>
                <w:rFonts w:eastAsiaTheme="minorEastAsia"/>
                <w:lang w:val="en-GB"/>
              </w:rPr>
              <w:t xml:space="preserve">Regarding the higher layer parameter name, “-r16” needs to be removed. The version of higher layer parameter is not present in RAN1 spec. </w:t>
            </w:r>
          </w:p>
          <w:p>
            <w:pPr>
              <w:rPr>
                <w:rFonts w:eastAsiaTheme="minorEastAsia"/>
                <w:color w:val="FF0000"/>
                <w:lang w:val="en-GB"/>
              </w:rPr>
            </w:pPr>
            <w:r>
              <w:rPr>
                <w:rFonts w:eastAsiaTheme="minorEastAsia"/>
                <w:color w:val="FF0000"/>
                <w:lang w:val="en-GB"/>
              </w:rPr>
              <w:t>FL reply 25/8/2020:</w:t>
            </w:r>
          </w:p>
          <w:p>
            <w:pPr>
              <w:rPr>
                <w:rFonts w:eastAsiaTheme="minorEastAsia"/>
                <w:color w:val="FF0000"/>
                <w:lang w:val="en-GB"/>
              </w:rPr>
            </w:pPr>
            <w:r>
              <w:rPr>
                <w:rFonts w:eastAsiaTheme="minorEastAsia"/>
                <w:color w:val="FF0000"/>
                <w:lang w:val="en-GB"/>
              </w:rPr>
              <w:t>I have removed it.</w:t>
            </w:r>
          </w:p>
          <w:p>
            <w:pPr>
              <w:rPr>
                <w:rFonts w:eastAsiaTheme="minorEastAsia"/>
                <w:lang w:val="en-GB"/>
              </w:rPr>
            </w:pPr>
            <w:r>
              <w:rPr>
                <w:rFonts w:eastAsiaTheme="minorEastAsia"/>
                <w:color w:val="4472C4" w:themeColor="accent1"/>
                <w:lang w:val="en-GB"/>
                <w14:textFill>
                  <w14:solidFill>
                    <w14:schemeClr w14:val="accent1"/>
                  </w14:solidFill>
                </w14:textFill>
              </w:rPr>
              <w:t>[DCM2] Thank you, but one ‘-r16’ is remaining (last part of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bl>
    <w:p>
      <w:pPr>
        <w:pStyle w:val="5"/>
      </w:pPr>
      <w:r>
        <w:t>TP 1.3.3-2</w:t>
      </w:r>
    </w:p>
    <w:p>
      <w:pPr>
        <w:spacing w:before="240"/>
        <w:rPr>
          <w:iCs/>
          <w:szCs w:val="20"/>
        </w:rPr>
      </w:pPr>
      <w:r>
        <w:rPr>
          <w:lang w:val="en-GB"/>
        </w:rPr>
        <w:t xml:space="preserve">Two contributions (R1-2005339, R1-2006558) include corrections to the set </w:t>
      </w:r>
      <m:oMath>
        <m:sSub>
          <m:sSubPr>
            <m:ctrlPr>
              <w:rPr>
                <w:rFonts w:ascii="Cambria Math" w:hAnsi="Cambria Math" w:eastAsia="宋体"/>
                <w:i/>
                <w:iCs/>
                <w:szCs w:val="20"/>
              </w:rPr>
            </m:ctrlPr>
          </m:sSubPr>
          <m:e>
            <m:r>
              <w:rPr>
                <w:rFonts w:ascii="Cambria Math" w:hAnsi="Cambria Math"/>
                <w:szCs w:val="20"/>
              </w:rPr>
              <m:t>M</m:t>
            </m:r>
            <m:ctrlPr>
              <w:rPr>
                <w:rFonts w:ascii="Cambria Math" w:hAnsi="Cambria Math" w:eastAsia="宋体"/>
                <w:i/>
                <w:iCs/>
                <w:szCs w:val="20"/>
              </w:rPr>
            </m:ctrlPr>
          </m:e>
          <m:sub>
            <m:r>
              <w:rPr>
                <w:rFonts w:ascii="Cambria Math" w:hAnsi="Cambria Math"/>
                <w:szCs w:val="20"/>
              </w:rPr>
              <m:t>A</m:t>
            </m:r>
            <m:ctrlPr>
              <w:rPr>
                <w:rFonts w:ascii="Cambria Math" w:hAnsi="Cambria Math" w:eastAsia="宋体"/>
                <w:i/>
                <w:iCs/>
                <w:szCs w:val="20"/>
              </w:rPr>
            </m:ctrlPr>
          </m:sub>
        </m:sSub>
      </m:oMath>
      <w:r>
        <w:rPr>
          <w:iCs/>
          <w:szCs w:val="20"/>
        </w:rPr>
        <w:t xml:space="preserve"> in TS 38.213 Clause 16.5.1.1. The following TP addresses the issues. R1-2006867 also has one TP covering part of these corrections.</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jc w:val="center"/>
              <w:rPr>
                <w:rFonts w:eastAsia="Calibri"/>
                <w:b/>
                <w:color w:val="FF0000"/>
              </w:rPr>
            </w:pPr>
            <w:bookmarkStart w:id="14" w:name="_Toc45699247"/>
            <w:r>
              <w:rPr>
                <w:rFonts w:eastAsia="Calibri"/>
                <w:b/>
                <w:color w:val="FF0000"/>
              </w:rPr>
              <w:t>-------------------------- Start of Text Proposal for TS 38.213 --------------------------</w:t>
            </w:r>
          </w:p>
          <w:p>
            <w:pPr>
              <w:spacing w:before="240"/>
              <w:jc w:val="center"/>
              <w:rPr>
                <w:rFonts w:eastAsia="Calibri"/>
                <w:b/>
                <w:color w:val="FF0000"/>
              </w:rPr>
            </w:pPr>
            <w:r>
              <w:rPr>
                <w:rFonts w:eastAsia="Calibri"/>
                <w:b/>
                <w:color w:val="FF0000"/>
              </w:rPr>
              <w:t>&lt;Unchanged parts omitted&gt;</w:t>
            </w:r>
          </w:p>
          <w:p>
            <w:pPr>
              <w:pStyle w:val="5"/>
              <w:outlineLvl w:val="3"/>
              <w:rPr>
                <w:rFonts w:eastAsia="Calibri"/>
                <w:szCs w:val="22"/>
                <w:lang w:val="de-DE"/>
              </w:rPr>
            </w:pPr>
            <w:r>
              <w:rPr>
                <w:rFonts w:eastAsia="Calibri"/>
                <w:szCs w:val="22"/>
                <w:lang w:val="de-DE"/>
              </w:rPr>
              <w:t>16.5.1.1</w:t>
            </w:r>
            <w:r>
              <w:rPr>
                <w:rFonts w:hint="eastAsia" w:eastAsia="Calibri"/>
                <w:szCs w:val="22"/>
                <w:lang w:val="de-DE"/>
              </w:rPr>
              <w:tab/>
            </w:r>
            <w:r>
              <w:rPr>
                <w:rFonts w:eastAsia="Calibri"/>
                <w:szCs w:val="22"/>
                <w:lang w:val="de-DE"/>
              </w:rPr>
              <w:t>Type-1 HARQ-ACK codebook in physical uplink control channel</w:t>
            </w:r>
            <w:bookmarkEnd w:id="14"/>
          </w:p>
          <w:p>
            <w:pPr>
              <w:jc w:val="center"/>
              <w:rPr>
                <w:rFonts w:eastAsia="Calibri"/>
              </w:rPr>
            </w:pPr>
            <w:r>
              <w:rPr>
                <w:rFonts w:eastAsia="Calibri"/>
                <w:b/>
                <w:color w:val="FF0000"/>
              </w:rPr>
              <w:t>&lt;Unchanged parts omitted&gt;</w:t>
            </w:r>
          </w:p>
          <w:p>
            <w:pPr>
              <w:rPr>
                <w:rFonts w:eastAsia="Calibri"/>
              </w:rPr>
            </w:pPr>
            <w:r>
              <w:rPr>
                <w:rFonts w:eastAsia="Calibri"/>
              </w:rPr>
              <w:t xml:space="preserve">The cardinality of the set </w:t>
            </w:r>
            <m:oMath>
              <m:sSub>
                <m:sSubPr>
                  <m:ctrlPr>
                    <w:rPr>
                      <w:rFonts w:ascii="Cambria Math" w:hAnsi="Cambria Math" w:eastAsia="Calibri" w:cs="Arial"/>
                      <w:i/>
                    </w:rPr>
                  </m:ctrlPr>
                </m:sSubPr>
                <m:e>
                  <m:r>
                    <w:rPr>
                      <w:rFonts w:ascii="Cambria Math" w:eastAsia="Calibri" w:cs="Arial"/>
                    </w:rPr>
                    <m:t>M</m:t>
                  </m:r>
                  <m:ctrlPr>
                    <w:rPr>
                      <w:rFonts w:ascii="Cambria Math" w:hAnsi="Cambria Math" w:eastAsia="Calibri" w:cs="Arial"/>
                      <w:i/>
                    </w:rPr>
                  </m:ctrlPr>
                </m:e>
                <m:sub>
                  <m:r>
                    <w:rPr>
                      <w:rFonts w:ascii="Cambria Math" w:eastAsia="Calibri" w:cs="Arial"/>
                    </w:rPr>
                    <m:t>A</m:t>
                  </m:r>
                  <m:ctrlPr>
                    <w:rPr>
                      <w:rFonts w:ascii="Cambria Math" w:hAnsi="Cambria Math" w:eastAsia="Calibri" w:cs="Arial"/>
                      <w:i/>
                    </w:rPr>
                  </m:ctrlPr>
                </m:sub>
              </m:sSub>
            </m:oMath>
            <w:r>
              <w:rPr>
                <w:rFonts w:eastAsia="Calibri"/>
              </w:rPr>
              <w:t xml:space="preserve"> defines a total number </w:t>
            </w:r>
            <m:oMath>
              <m:r>
                <w:rPr>
                  <w:rFonts w:ascii="Cambria Math" w:eastAsia="Calibri"/>
                </w:rPr>
                <m:t>M</m:t>
              </m:r>
            </m:oMath>
            <w:r>
              <w:rPr>
                <w:rFonts w:eastAsia="Calibri"/>
              </w:rPr>
              <w:t xml:space="preserve"> of </w:t>
            </w:r>
            <w:del w:id="23" w:author="作者">
              <w:r>
                <w:rPr>
                  <w:rFonts w:eastAsia="Calibri"/>
                </w:rPr>
                <w:delText>PSFCH reception</w:delText>
              </w:r>
            </w:del>
            <w:ins w:id="24" w:author="作者">
              <w:r>
                <w:rPr>
                  <w:rFonts w:eastAsia="Calibri"/>
                </w:rPr>
                <w:t>candidate PSSCH transmission</w:t>
              </w:r>
            </w:ins>
            <w:r>
              <w:rPr>
                <w:rFonts w:eastAsia="Calibri"/>
              </w:rPr>
              <w:t xml:space="preserve"> occasions corresponding to the HARQ-ACK information bits. A</w:t>
            </w:r>
            <w:r>
              <w:rPr>
                <w:rFonts w:hint="eastAsia" w:eastAsia="Calibri" w:cs="Arial"/>
              </w:rPr>
              <w:t xml:space="preserve"> UE determine</w:t>
            </w:r>
            <w:r>
              <w:rPr>
                <w:rFonts w:eastAsia="Calibri" w:cs="Arial"/>
              </w:rPr>
              <w:t>s</w:t>
            </w:r>
            <w:r>
              <w:rPr>
                <w:rFonts w:hint="eastAsia" w:eastAsia="Calibri" w:cs="Arial"/>
              </w:rPr>
              <w:t xml:space="preserve"> </w:t>
            </w:r>
            <m:oMath>
              <m:sSubSup>
                <m:sSubSupPr>
                  <m:ctrlPr>
                    <w:rPr>
                      <w:rFonts w:ascii="Cambria Math" w:hAnsi="Cambria Math" w:eastAsia="Calibri"/>
                      <w:i/>
                      <w:lang w:val="zh-CN"/>
                    </w:rPr>
                  </m:ctrlPr>
                </m:sSubSupPr>
                <m:e>
                  <m:acc>
                    <m:accPr>
                      <m:chr m:val="̃"/>
                      <m:ctrlPr>
                        <w:rPr>
                          <w:rFonts w:ascii="Cambria Math" w:hAnsi="Cambria Math" w:eastAsia="Calibri"/>
                          <w:i/>
                          <w:lang w:val="zh-CN"/>
                        </w:rPr>
                      </m:ctrlPr>
                    </m:accPr>
                    <m:e>
                      <m:r>
                        <w:rPr>
                          <w:rFonts w:ascii="Cambria Math" w:hAnsi="Cambria Math" w:eastAsia="Calibri"/>
                        </w:rPr>
                        <m:t>o</m:t>
                      </m:r>
                      <m:ctrlPr>
                        <w:rPr>
                          <w:rFonts w:ascii="Cambria Math" w:hAnsi="Cambria Math" w:eastAsia="Calibri"/>
                          <w:i/>
                          <w:lang w:val="zh-CN"/>
                        </w:rPr>
                      </m:ctrlPr>
                    </m:e>
                  </m:acc>
                  <m:ctrlPr>
                    <w:rPr>
                      <w:rFonts w:ascii="Cambria Math" w:hAnsi="Cambria Math" w:eastAsia="Calibri"/>
                      <w:i/>
                      <w:lang w:val="zh-CN"/>
                    </w:rPr>
                  </m:ctrlPr>
                </m:e>
                <m:sub>
                  <m:r>
                    <w:rPr>
                      <w:rFonts w:ascii="Cambria Math" w:hAnsi="Cambria Math" w:eastAsia="Calibri"/>
                    </w:rPr>
                    <m:t>0</m:t>
                  </m:r>
                  <m:ctrlPr>
                    <w:rPr>
                      <w:rFonts w:ascii="Cambria Math" w:hAnsi="Cambria Math" w:eastAsia="Calibri"/>
                      <w:i/>
                      <w:lang w:val="zh-CN"/>
                    </w:rPr>
                  </m:ctrlPr>
                </m:sub>
                <m:sup>
                  <m:r>
                    <w:rPr>
                      <w:rFonts w:ascii="Cambria Math" w:hAnsi="Cambria Math" w:eastAsia="Calibri"/>
                    </w:rPr>
                    <m:t>ACK</m:t>
                  </m:r>
                  <m:ctrlPr>
                    <w:rPr>
                      <w:rFonts w:ascii="Cambria Math" w:hAnsi="Cambria Math" w:eastAsia="Calibri"/>
                      <w:i/>
                      <w:lang w:val="zh-CN"/>
                    </w:rPr>
                  </m:ctrlPr>
                </m:sup>
              </m:sSubSup>
              <m:r>
                <m:rPr>
                  <m:sty m:val="p"/>
                </m:rPr>
                <w:rPr>
                  <w:rFonts w:ascii="Cambria Math" w:hAnsi="Cambria Math" w:eastAsia="Calibri"/>
                  <w:lang w:val="zh-CN"/>
                </w:rPr>
                <m:t>,</m:t>
              </m:r>
              <m:sSubSup>
                <m:sSubSupPr>
                  <m:ctrlPr>
                    <w:rPr>
                      <w:rFonts w:ascii="Cambria Math" w:hAnsi="Cambria Math" w:eastAsia="Calibri"/>
                      <w:i/>
                      <w:lang w:val="zh-CN"/>
                    </w:rPr>
                  </m:ctrlPr>
                </m:sSubSupPr>
                <m:e>
                  <m:acc>
                    <m:accPr>
                      <m:chr m:val="̃"/>
                      <m:ctrlPr>
                        <w:rPr>
                          <w:rFonts w:ascii="Cambria Math" w:hAnsi="Cambria Math" w:eastAsia="Calibri"/>
                          <w:i/>
                          <w:lang w:val="zh-CN"/>
                        </w:rPr>
                      </m:ctrlPr>
                    </m:accPr>
                    <m:e>
                      <m:r>
                        <w:rPr>
                          <w:rFonts w:ascii="Cambria Math" w:hAnsi="Cambria Math" w:eastAsia="Calibri"/>
                        </w:rPr>
                        <m:t>o</m:t>
                      </m:r>
                      <m:ctrlPr>
                        <w:rPr>
                          <w:rFonts w:ascii="Cambria Math" w:hAnsi="Cambria Math" w:eastAsia="Calibri"/>
                          <w:i/>
                          <w:lang w:val="zh-CN"/>
                        </w:rPr>
                      </m:ctrlPr>
                    </m:e>
                  </m:acc>
                  <m:ctrlPr>
                    <w:rPr>
                      <w:rFonts w:ascii="Cambria Math" w:hAnsi="Cambria Math" w:eastAsia="Calibri"/>
                      <w:i/>
                      <w:lang w:val="zh-CN"/>
                    </w:rPr>
                  </m:ctrlPr>
                </m:e>
                <m:sub>
                  <m:r>
                    <w:rPr>
                      <w:rFonts w:ascii="Cambria Math" w:hAnsi="Cambria Math" w:eastAsia="Calibri"/>
                    </w:rPr>
                    <m:t>1</m:t>
                  </m:r>
                  <m:ctrlPr>
                    <w:rPr>
                      <w:rFonts w:ascii="Cambria Math" w:hAnsi="Cambria Math" w:eastAsia="Calibri"/>
                      <w:i/>
                      <w:lang w:val="zh-CN"/>
                    </w:rPr>
                  </m:ctrlPr>
                </m:sub>
                <m:sup>
                  <m:r>
                    <w:rPr>
                      <w:rFonts w:ascii="Cambria Math" w:hAnsi="Cambria Math" w:eastAsia="Calibri"/>
                    </w:rPr>
                    <m:t>ACK</m:t>
                  </m:r>
                  <m:ctrlPr>
                    <w:rPr>
                      <w:rFonts w:ascii="Cambria Math" w:hAnsi="Cambria Math" w:eastAsia="Calibri"/>
                      <w:i/>
                      <w:lang w:val="zh-CN"/>
                    </w:rPr>
                  </m:ctrlPr>
                </m:sup>
              </m:sSubSup>
              <m:r>
                <m:rPr>
                  <m:sty m:val="p"/>
                </m:rPr>
                <w:rPr>
                  <w:rFonts w:ascii="Cambria Math" w:hAnsi="Cambria Math" w:eastAsia="Calibri"/>
                  <w:lang w:val="zh-CN"/>
                </w:rPr>
                <m:t>,…,</m:t>
              </m:r>
              <m:sSubSup>
                <m:sSubSupPr>
                  <m:ctrlPr>
                    <w:rPr>
                      <w:rFonts w:ascii="Cambria Math" w:hAnsi="Cambria Math" w:eastAsia="Calibri"/>
                      <w:i/>
                      <w:lang w:val="zh-CN"/>
                    </w:rPr>
                  </m:ctrlPr>
                </m:sSubSupPr>
                <m:e>
                  <m:acc>
                    <m:accPr>
                      <m:chr m:val="̃"/>
                      <m:ctrlPr>
                        <w:rPr>
                          <w:rFonts w:ascii="Cambria Math" w:hAnsi="Cambria Math" w:eastAsia="Calibri"/>
                          <w:i/>
                          <w:lang w:val="zh-CN"/>
                        </w:rPr>
                      </m:ctrlPr>
                    </m:accPr>
                    <m:e>
                      <m:r>
                        <w:rPr>
                          <w:rFonts w:ascii="Cambria Math" w:hAnsi="Cambria Math" w:eastAsia="Calibri"/>
                        </w:rPr>
                        <m:t>o</m:t>
                      </m:r>
                      <m:ctrlPr>
                        <w:rPr>
                          <w:rFonts w:ascii="Cambria Math" w:hAnsi="Cambria Math" w:eastAsia="Calibri"/>
                          <w:i/>
                          <w:lang w:val="zh-CN"/>
                        </w:rPr>
                      </m:ctrlPr>
                    </m:e>
                  </m:acc>
                  <m:ctrlPr>
                    <w:rPr>
                      <w:rFonts w:ascii="Cambria Math" w:hAnsi="Cambria Math" w:eastAsia="Calibri"/>
                      <w:i/>
                      <w:lang w:val="zh-CN"/>
                    </w:rPr>
                  </m:ctrlPr>
                </m:e>
                <m:sub>
                  <m:sSup>
                    <m:sSupPr>
                      <m:ctrlPr>
                        <w:rPr>
                          <w:rFonts w:ascii="Cambria Math" w:hAnsi="Cambria Math" w:eastAsia="Calibri"/>
                          <w:i/>
                        </w:rPr>
                      </m:ctrlPr>
                    </m:sSupPr>
                    <m:e>
                      <m:r>
                        <w:rPr>
                          <w:rFonts w:ascii="Cambria Math" w:hAnsi="Cambria Math" w:eastAsia="Calibri"/>
                        </w:rPr>
                        <m:t>O</m:t>
                      </m:r>
                      <m:ctrlPr>
                        <w:rPr>
                          <w:rFonts w:ascii="Cambria Math" w:hAnsi="Cambria Math" w:eastAsia="Calibri"/>
                          <w:i/>
                        </w:rPr>
                      </m:ctrlPr>
                    </m:e>
                    <m:sup>
                      <m:r>
                        <w:rPr>
                          <w:rFonts w:ascii="Cambria Math" w:hAnsi="Cambria Math" w:eastAsia="Calibri"/>
                        </w:rPr>
                        <m:t>ACK</m:t>
                      </m:r>
                      <m:ctrlPr>
                        <w:rPr>
                          <w:rFonts w:ascii="Cambria Math" w:hAnsi="Cambria Math" w:eastAsia="Calibri"/>
                          <w:i/>
                        </w:rPr>
                      </m:ctrlPr>
                    </m:sup>
                  </m:sSup>
                  <m:r>
                    <w:rPr>
                      <w:rFonts w:ascii="Cambria Math" w:hAnsi="Cambria Math" w:eastAsia="Calibri"/>
                    </w:rPr>
                    <m:t>-1</m:t>
                  </m:r>
                  <m:ctrlPr>
                    <w:rPr>
                      <w:rFonts w:ascii="Cambria Math" w:hAnsi="Cambria Math" w:eastAsia="Calibri"/>
                      <w:i/>
                      <w:lang w:val="zh-CN"/>
                    </w:rPr>
                  </m:ctrlPr>
                </m:sub>
                <m:sup>
                  <m:r>
                    <w:rPr>
                      <w:rFonts w:ascii="Cambria Math" w:hAnsi="Cambria Math" w:eastAsia="Calibri"/>
                    </w:rPr>
                    <m:t>ACK</m:t>
                  </m:r>
                  <m:ctrlPr>
                    <w:rPr>
                      <w:rFonts w:ascii="Cambria Math" w:hAnsi="Cambria Math" w:eastAsia="Calibri"/>
                      <w:i/>
                      <w:lang w:val="zh-CN"/>
                    </w:rPr>
                  </m:ctrlPr>
                </m:sup>
              </m:sSubSup>
            </m:oMath>
            <w:r>
              <w:rPr>
                <w:rFonts w:hint="eastAsia" w:eastAsia="Calibri"/>
              </w:rPr>
              <w:t xml:space="preserve"> </w:t>
            </w:r>
            <w:r>
              <w:rPr>
                <w:rFonts w:eastAsia="Calibri"/>
              </w:rPr>
              <w:t xml:space="preserve">HARQ-ACK information bits, for a total number of  </w:t>
            </w:r>
            <m:oMath>
              <m:sSub>
                <m:sSubPr>
                  <m:ctrlPr>
                    <w:rPr>
                      <w:rFonts w:ascii="Cambria Math" w:hAnsi="Cambria Math" w:eastAsia="Calibri"/>
                      <w:i/>
                    </w:rPr>
                  </m:ctrlPr>
                </m:sSubPr>
                <m:e>
                  <m:r>
                    <w:rPr>
                      <w:rFonts w:ascii="Cambria Math" w:eastAsia="Calibri"/>
                    </w:rPr>
                    <m:t>O</m:t>
                  </m:r>
                  <m:ctrlPr>
                    <w:rPr>
                      <w:rFonts w:ascii="Cambria Math" w:hAnsi="Cambria Math" w:eastAsia="Calibri"/>
                      <w:i/>
                    </w:rPr>
                  </m:ctrlPr>
                </m:e>
                <m:sub>
                  <m:r>
                    <m:rPr>
                      <m:nor/>
                      <m:sty m:val="p"/>
                    </m:rPr>
                    <w:rPr>
                      <w:rFonts w:ascii="Cambria Math" w:eastAsia="Calibri"/>
                    </w:rPr>
                    <m:t>ACK</m:t>
                  </m:r>
                  <m:ctrlPr>
                    <w:rPr>
                      <w:rFonts w:ascii="Cambria Math" w:hAnsi="Cambria Math" w:eastAsia="Calibri"/>
                    </w:rPr>
                  </m:ctrlPr>
                </m:sub>
              </m:sSub>
            </m:oMath>
            <w:r>
              <w:rPr>
                <w:rFonts w:eastAsia="Calibri"/>
              </w:rPr>
              <w:t xml:space="preserve"> HARQ-ACK information bits as </w:t>
            </w:r>
            <m:oMath>
              <m:sSubSup>
                <m:sSubSupPr>
                  <m:ctrlPr>
                    <w:rPr>
                      <w:rFonts w:ascii="Cambria Math" w:hAnsi="Cambria Math" w:eastAsia="Calibri"/>
                      <w:i/>
                    </w:rPr>
                  </m:ctrlPr>
                </m:sSubSupPr>
                <m:e>
                  <m:acc>
                    <m:accPr>
                      <m:chr m:val="̃"/>
                      <m:ctrlPr>
                        <w:rPr>
                          <w:rFonts w:ascii="Cambria Math" w:hAnsi="Cambria Math" w:eastAsia="Calibri"/>
                          <w:i/>
                        </w:rPr>
                      </m:ctrlPr>
                    </m:accPr>
                    <m:e>
                      <m:r>
                        <w:rPr>
                          <w:rFonts w:ascii="Cambria Math" w:hAnsi="Cambria Math" w:eastAsia="Calibri"/>
                        </w:rPr>
                        <m:t>o</m:t>
                      </m:r>
                      <m:ctrlPr>
                        <w:rPr>
                          <w:rFonts w:ascii="Cambria Math" w:hAnsi="Cambria Math" w:eastAsia="Calibri"/>
                          <w:i/>
                        </w:rPr>
                      </m:ctrlPr>
                    </m:e>
                  </m:acc>
                  <m:ctrlPr>
                    <w:rPr>
                      <w:rFonts w:ascii="Cambria Math" w:hAnsi="Cambria Math" w:eastAsia="Calibri"/>
                      <w:i/>
                    </w:rPr>
                  </m:ctrlPr>
                </m:e>
                <m:sub>
                  <m:r>
                    <w:rPr>
                      <w:rFonts w:ascii="Cambria Math" w:hAnsi="Cambria Math" w:eastAsia="Calibri"/>
                    </w:rPr>
                    <m:t>j</m:t>
                  </m:r>
                  <m:ctrlPr>
                    <w:rPr>
                      <w:rFonts w:ascii="Cambria Math" w:hAnsi="Cambria Math" w:eastAsia="Calibri"/>
                      <w:i/>
                    </w:rPr>
                  </m:ctrlPr>
                </m:sub>
                <m:sup>
                  <m:r>
                    <w:rPr>
                      <w:rFonts w:ascii="Cambria Math" w:hAnsi="Cambria Math" w:eastAsia="Calibri"/>
                    </w:rPr>
                    <m:t>ACK</m:t>
                  </m:r>
                  <m:ctrlPr>
                    <w:rPr>
                      <w:rFonts w:ascii="Cambria Math" w:hAnsi="Cambria Math" w:eastAsia="Calibri"/>
                      <w:i/>
                    </w:rPr>
                  </m:ctrlPr>
                </m:sup>
              </m:sSubSup>
            </m:oMath>
            <w:r>
              <w:rPr>
                <w:rFonts w:eastAsia="Calibri"/>
              </w:rPr>
              <w:t xml:space="preserve"> </w:t>
            </w:r>
            <w:r>
              <w:rPr>
                <w:rFonts w:hint="eastAsia" w:eastAsia="Calibri"/>
              </w:rPr>
              <w:t>=</w:t>
            </w:r>
            <w:r>
              <w:rPr>
                <w:rFonts w:eastAsia="Calibri"/>
              </w:rPr>
              <w:t xml:space="preserve"> HARQ-ACK information bit for candidate PSSCH transmission</w:t>
            </w:r>
            <w:ins w:id="25" w:author="作者">
              <w:r>
                <w:rPr>
                  <w:rFonts w:eastAsia="Calibri"/>
                </w:rPr>
                <w:t xml:space="preserve"> with index </w:t>
              </w:r>
            </w:ins>
            <m:oMath>
              <w:ins w:id="26" w:author="作者">
                <m:r>
                  <w:rPr>
                    <w:rFonts w:ascii="Cambria Math" w:eastAsia="Calibri"/>
                  </w:rPr>
                  <m:t>j</m:t>
                </m:r>
              </w:ins>
            </m:oMath>
            <w:r>
              <w:rPr>
                <w:rFonts w:eastAsia="Calibri"/>
              </w:rPr>
              <w:t xml:space="preserve"> with corresponding PSFCH reception</w:t>
            </w:r>
            <w:del w:id="27" w:author="作者">
              <w:r>
                <w:rPr>
                  <w:rFonts w:eastAsia="Calibri"/>
                </w:rPr>
                <w:delText xml:space="preserve"> with index </w:delText>
              </w:r>
            </w:del>
            <m:oMath>
              <w:del w:id="28" w:author="作者">
                <m:r>
                  <w:rPr>
                    <w:rFonts w:ascii="Cambria Math" w:eastAsia="Calibri"/>
                  </w:rPr>
                  <m:t>j</m:t>
                </m:r>
              </w:del>
            </m:oMath>
            <w:r>
              <w:rPr>
                <w:rFonts w:eastAsia="Calibri"/>
              </w:rPr>
              <w:t xml:space="preserve">, for  </w:t>
            </w:r>
            <m:oMath>
              <m:r>
                <m:rPr>
                  <m:sty m:val="p"/>
                </m:rPr>
                <w:rPr>
                  <w:rFonts w:ascii="Cambria Math" w:hAnsi="Cambria Math" w:eastAsia="Calibri"/>
                </w:rPr>
                <m:t>0 ≤</m:t>
              </m:r>
              <m:r>
                <w:rPr>
                  <w:rFonts w:ascii="Cambria Math" w:eastAsia="Calibri"/>
                </w:rPr>
                <m:t>j&lt;M</m:t>
              </m:r>
            </m:oMath>
            <w:r>
              <w:rPr>
                <w:rFonts w:eastAsia="Calibri"/>
              </w:rPr>
              <w:t xml:space="preserve">, as described in Clause 16.5. If the UE does not </w:t>
            </w:r>
            <w:del w:id="29" w:author="作者">
              <w:r>
                <w:rPr>
                  <w:rFonts w:eastAsia="Calibri"/>
                </w:rPr>
                <w:delText xml:space="preserve">receive </w:delText>
              </w:r>
            </w:del>
            <w:ins w:id="30" w:author="作者">
              <w:r>
                <w:rPr>
                  <w:rFonts w:eastAsia="Calibri"/>
                </w:rPr>
                <w:t xml:space="preserve">transmit </w:t>
              </w:r>
            </w:ins>
            <w:r>
              <w:rPr>
                <w:rFonts w:eastAsia="Calibri"/>
              </w:rPr>
              <w:t xml:space="preserve">a </w:t>
            </w:r>
            <w:del w:id="31" w:author="作者">
              <w:r>
                <w:rPr>
                  <w:rFonts w:eastAsia="Calibri"/>
                </w:rPr>
                <w:delText xml:space="preserve">PSFCH </w:delText>
              </w:r>
            </w:del>
            <w:ins w:id="32" w:author="作者">
              <w:r>
                <w:rPr>
                  <w:rFonts w:eastAsia="Calibri"/>
                </w:rPr>
                <w:t xml:space="preserve">PSSCH </w:t>
              </w:r>
            </w:ins>
            <w:r>
              <w:rPr>
                <w:rFonts w:eastAsia="Calibri"/>
              </w:rPr>
              <w:t xml:space="preserve">in a </w:t>
            </w:r>
            <w:del w:id="33" w:author="作者">
              <w:r>
                <w:rPr>
                  <w:rFonts w:eastAsia="Calibri"/>
                </w:rPr>
                <w:delText xml:space="preserve">PSFCH </w:delText>
              </w:r>
            </w:del>
            <w:ins w:id="34" w:author="作者">
              <w:r>
                <w:rPr>
                  <w:rFonts w:eastAsia="Calibri"/>
                </w:rPr>
                <w:t xml:space="preserve">PSSCH </w:t>
              </w:r>
            </w:ins>
            <w:del w:id="35" w:author="作者">
              <w:r>
                <w:rPr>
                  <w:rFonts w:eastAsia="Calibri"/>
                </w:rPr>
                <w:delText xml:space="preserve">reception </w:delText>
              </w:r>
            </w:del>
            <w:ins w:id="36" w:author="作者">
              <w:r>
                <w:rPr>
                  <w:rFonts w:eastAsia="Calibri"/>
                </w:rPr>
                <w:t xml:space="preserve">transmission </w:t>
              </w:r>
            </w:ins>
            <w:r>
              <w:rPr>
                <w:rFonts w:eastAsia="Calibri"/>
              </w:rPr>
              <w:t xml:space="preserve">occasion, due to the UE not detecting a corresponding DCI format 3_0, the UE generates a NACK value for the </w:t>
            </w:r>
            <w:del w:id="37" w:author="作者">
              <w:r>
                <w:rPr>
                  <w:rFonts w:eastAsia="Calibri"/>
                </w:rPr>
                <w:delText xml:space="preserve">PSFCH </w:delText>
              </w:r>
            </w:del>
            <w:ins w:id="38" w:author="作者">
              <w:r>
                <w:rPr>
                  <w:rFonts w:eastAsia="Calibri"/>
                </w:rPr>
                <w:t xml:space="preserve">PSSCH </w:t>
              </w:r>
            </w:ins>
            <w:del w:id="39" w:author="作者">
              <w:r>
                <w:rPr>
                  <w:rFonts w:eastAsia="Calibri"/>
                </w:rPr>
                <w:delText xml:space="preserve">reception </w:delText>
              </w:r>
            </w:del>
            <w:ins w:id="40" w:author="作者">
              <w:r>
                <w:rPr>
                  <w:rFonts w:eastAsia="Calibri"/>
                </w:rPr>
                <w:t xml:space="preserve">transmission </w:t>
              </w:r>
            </w:ins>
            <w:r>
              <w:rPr>
                <w:rFonts w:eastAsia="Calibri"/>
              </w:rPr>
              <w:t xml:space="preserve">occasion. </w:t>
            </w:r>
          </w:p>
          <w:p>
            <w:pPr>
              <w:spacing w:before="240"/>
              <w:jc w:val="center"/>
              <w:rPr>
                <w:rFonts w:eastAsia="Calibri"/>
                <w:b/>
                <w:color w:val="FF0000"/>
              </w:rPr>
            </w:pPr>
            <w:r>
              <w:rPr>
                <w:rFonts w:eastAsia="Calibri"/>
                <w:b/>
                <w:color w:val="FF0000"/>
              </w:rPr>
              <w:t>&lt;Unchanged parts omitted&gt;</w:t>
            </w:r>
          </w:p>
          <w:p>
            <w:pPr>
              <w:jc w:val="center"/>
              <w:rPr>
                <w:rFonts w:eastAsia="Calibri"/>
                <w:lang w:val="en-GB"/>
              </w:rPr>
            </w:pPr>
            <w:r>
              <w:rPr>
                <w:rFonts w:eastAsia="Calibri"/>
                <w:b/>
                <w:color w:val="FF0000"/>
              </w:rPr>
              <w:t>------------------------------------ End of Text Proposal ------------------------------------</w:t>
            </w:r>
          </w:p>
        </w:tc>
      </w:tr>
    </w:tbl>
    <w:p>
      <w:pPr>
        <w:spacing w:before="240"/>
        <w:rPr>
          <w:b/>
          <w:bCs/>
        </w:rPr>
      </w:pPr>
      <w:r>
        <w:rPr>
          <w:b/>
          <w:bCs/>
        </w:rPr>
        <w:t>FL summary (25/8/2020)</w:t>
      </w:r>
    </w:p>
    <w:p>
      <w:pPr>
        <w:pStyle w:val="133"/>
        <w:numPr>
          <w:ilvl w:val="0"/>
          <w:numId w:val="19"/>
        </w:numPr>
        <w:spacing w:before="240"/>
      </w:pPr>
      <w:bookmarkStart w:id="15" w:name="_Hlk49257560"/>
      <w:r>
        <w:t>I have kept the TP, let’s see if we can have a common understanding on the changes.</w:t>
      </w:r>
    </w:p>
    <w:bookmarkEnd w:id="15"/>
    <w:p>
      <w:pPr>
        <w:spacing w:before="240"/>
        <w:rPr>
          <w:b/>
          <w:bCs/>
        </w:rPr>
      </w:pPr>
      <w:r>
        <w:rPr>
          <w:b/>
          <w:bCs/>
        </w:rPr>
        <w:t>Please provide your views on the TP using the table.</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7E6E6" w:themeFill="background2"/>
          </w:tcPr>
          <w:p>
            <w:pPr>
              <w:jc w:val="center"/>
              <w:rPr>
                <w:rFonts w:eastAsia="Calibri"/>
                <w:b/>
                <w:bCs/>
                <w:lang w:val="en-GB"/>
              </w:rPr>
            </w:pPr>
            <w:r>
              <w:rPr>
                <w:rFonts w:eastAsia="Calibri"/>
                <w:b/>
                <w:bCs/>
                <w:lang w:val="en-GB"/>
              </w:rPr>
              <w:t>Company</w:t>
            </w:r>
          </w:p>
        </w:tc>
        <w:tc>
          <w:tcPr>
            <w:tcW w:w="7933" w:type="dxa"/>
            <w:shd w:val="clear" w:color="auto" w:fill="E7E6E6" w:themeFill="background2"/>
          </w:tcPr>
          <w:p>
            <w:pPr>
              <w:jc w:val="center"/>
              <w:rPr>
                <w:rFonts w:eastAsia="Calibri"/>
                <w:b/>
                <w:bCs/>
                <w:lang w:val="en-GB"/>
              </w:rPr>
            </w:pPr>
            <w:r>
              <w:rPr>
                <w:rFonts w:eastAsia="Calibri"/>
                <w:b/>
                <w:bCs/>
                <w:lang w:val="en-GB"/>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v</w:t>
            </w:r>
            <w:r>
              <w:rPr>
                <w:rFonts w:eastAsia="等线"/>
                <w:lang w:val="en-GB"/>
              </w:rPr>
              <w:t>ivo</w:t>
            </w:r>
          </w:p>
        </w:tc>
        <w:tc>
          <w:tcPr>
            <w:tcW w:w="7933" w:type="dxa"/>
          </w:tcPr>
          <w:p>
            <w:pPr>
              <w:rPr>
                <w:rFonts w:eastAsia="等线"/>
                <w:lang w:val="en-GB"/>
              </w:rPr>
            </w:pPr>
            <w:r>
              <w:rPr>
                <w:rFonts w:eastAsia="等线"/>
                <w:lang w:val="en-GB"/>
              </w:rPr>
              <w:t>vivo-</w:t>
            </w:r>
            <w:r>
              <w:rPr>
                <w:rFonts w:hint="eastAsia" w:eastAsia="等线"/>
                <w:lang w:val="en-GB"/>
              </w:rPr>
              <w:t>2</w:t>
            </w:r>
            <w:r>
              <w:rPr>
                <w:rFonts w:eastAsia="等线"/>
                <w:lang w:val="en-GB"/>
              </w:rPr>
              <w:t>020/8/24</w:t>
            </w:r>
          </w:p>
          <w:p>
            <w:pPr>
              <w:rPr>
                <w:rFonts w:eastAsia="等线"/>
                <w:lang w:val="en-GB"/>
              </w:rPr>
            </w:pPr>
            <w:r>
              <w:rPr>
                <w:rFonts w:eastAsia="等线"/>
                <w:lang w:val="en-GB"/>
              </w:rPr>
              <w:t>Agree</w:t>
            </w:r>
          </w:p>
          <w:p>
            <w:pPr>
              <w:rPr>
                <w:rFonts w:eastAsia="Calibri"/>
                <w:szCs w:val="20"/>
              </w:rPr>
            </w:pPr>
            <w:r>
              <w:rPr>
                <w:rFonts w:eastAsia="Calibri"/>
                <w:szCs w:val="20"/>
              </w:rPr>
              <w:t xml:space="preserve">In 16.5.1.1. of TS 38.213, M_A is defined as </w:t>
            </w:r>
            <w:r>
              <w:rPr>
                <w:rFonts w:eastAsia="Calibri"/>
                <w:b/>
                <w:bCs/>
                <w:i/>
                <w:iCs/>
                <w:szCs w:val="20"/>
                <w:u w:val="single"/>
              </w:rPr>
              <w:t>a set of candidate PSSCH transmissions</w:t>
            </w:r>
            <w:r>
              <w:rPr>
                <w:rFonts w:eastAsia="Calibri"/>
                <w:b/>
                <w:bCs/>
                <w:i/>
                <w:iCs/>
                <w:szCs w:val="20"/>
              </w:rPr>
              <w:t xml:space="preserve"> </w:t>
            </w:r>
            <w:r>
              <w:rPr>
                <w:rFonts w:eastAsia="Calibri"/>
                <w:szCs w:val="20"/>
              </w:rPr>
              <w:t>associated with PSFCH reception occasions</w:t>
            </w:r>
            <w:r>
              <w:rPr>
                <w:rFonts w:eastAsia="Calibri"/>
                <w:b/>
                <w:bCs/>
                <w:i/>
                <w:iCs/>
                <w:szCs w:val="20"/>
              </w:rPr>
              <w:t>: ‘For the set of slot timing values</w:t>
            </w:r>
            <w:r>
              <w:rPr>
                <w:rFonts w:eastAsia="Calibri"/>
                <w:b/>
                <w:bCs/>
                <w:i/>
                <w:iCs/>
                <w:szCs w:val="20"/>
                <w:vertAlign w:val="subscript"/>
              </w:rPr>
              <w:t xml:space="preserve"> </w:t>
            </w:r>
            <m:oMath>
              <m:sSub>
                <m:sSubPr>
                  <m:ctrlPr>
                    <w:rPr>
                      <w:rFonts w:ascii="Cambria Math" w:hAnsi="Cambria Math" w:eastAsia="宋体"/>
                      <w:b/>
                      <w:bCs/>
                      <w:i/>
                      <w:iCs/>
                      <w:szCs w:val="20"/>
                    </w:rPr>
                  </m:ctrlPr>
                </m:sSubPr>
                <m:e>
                  <m:r>
                    <m:rPr>
                      <m:sty m:val="bi"/>
                    </m:rPr>
                    <w:rPr>
                      <w:rFonts w:ascii="Cambria Math" w:hAnsi="Cambria Math" w:eastAsia="Calibri"/>
                      <w:szCs w:val="20"/>
                    </w:rPr>
                    <m:t>K</m:t>
                  </m:r>
                  <m:ctrlPr>
                    <w:rPr>
                      <w:rFonts w:ascii="Cambria Math" w:hAnsi="Cambria Math" w:eastAsia="宋体"/>
                      <w:b/>
                      <w:bCs/>
                      <w:i/>
                      <w:iCs/>
                      <w:szCs w:val="20"/>
                    </w:rPr>
                  </m:ctrlPr>
                </m:e>
                <m:sub>
                  <m:r>
                    <m:rPr>
                      <m:sty m:val="bi"/>
                    </m:rPr>
                    <w:rPr>
                      <w:rFonts w:ascii="Cambria Math" w:hAnsi="Cambria Math" w:eastAsia="Calibri"/>
                      <w:szCs w:val="20"/>
                    </w:rPr>
                    <m:t>1</m:t>
                  </m:r>
                  <m:ctrlPr>
                    <w:rPr>
                      <w:rFonts w:ascii="Cambria Math" w:hAnsi="Cambria Math" w:eastAsia="宋体"/>
                      <w:b/>
                      <w:bCs/>
                      <w:i/>
                      <w:iCs/>
                      <w:szCs w:val="20"/>
                    </w:rPr>
                  </m:ctrlPr>
                </m:sub>
              </m:sSub>
            </m:oMath>
            <w:r>
              <w:rPr>
                <w:rFonts w:eastAsia="Calibri"/>
                <w:b/>
                <w:bCs/>
                <w:i/>
                <w:iCs/>
                <w:szCs w:val="20"/>
              </w:rPr>
              <w:t xml:space="preserve">, the UE determines a set of </w:t>
            </w:r>
            <m:oMath>
              <m:sSub>
                <m:sSubPr>
                  <m:ctrlPr>
                    <w:rPr>
                      <w:rFonts w:ascii="Cambria Math" w:hAnsi="Cambria Math" w:eastAsia="宋体"/>
                      <w:b/>
                      <w:bCs/>
                      <w:i/>
                      <w:iCs/>
                      <w:szCs w:val="20"/>
                    </w:rPr>
                  </m:ctrlPr>
                </m:sSubPr>
                <m:e>
                  <m:r>
                    <m:rPr>
                      <m:sty m:val="bi"/>
                    </m:rPr>
                    <w:rPr>
                      <w:rFonts w:ascii="Cambria Math" w:hAnsi="Cambria Math" w:eastAsia="Calibri"/>
                      <w:szCs w:val="20"/>
                    </w:rPr>
                    <m:t>M</m:t>
                  </m:r>
                  <m:ctrlPr>
                    <w:rPr>
                      <w:rFonts w:ascii="Cambria Math" w:hAnsi="Cambria Math" w:eastAsia="宋体"/>
                      <w:b/>
                      <w:bCs/>
                      <w:i/>
                      <w:iCs/>
                      <w:szCs w:val="20"/>
                    </w:rPr>
                  </m:ctrlPr>
                </m:e>
                <m:sub>
                  <m:r>
                    <m:rPr>
                      <m:sty m:val="bi"/>
                    </m:rPr>
                    <w:rPr>
                      <w:rFonts w:ascii="Cambria Math" w:hAnsi="Cambria Math" w:eastAsia="Calibri"/>
                      <w:szCs w:val="20"/>
                    </w:rPr>
                    <m:t>A</m:t>
                  </m:r>
                  <m:ctrlPr>
                    <w:rPr>
                      <w:rFonts w:ascii="Cambria Math" w:hAnsi="Cambria Math" w:eastAsia="宋体"/>
                      <w:b/>
                      <w:bCs/>
                      <w:i/>
                      <w:iCs/>
                      <w:szCs w:val="20"/>
                    </w:rPr>
                  </m:ctrlPr>
                </m:sub>
              </m:sSub>
            </m:oMath>
            <w:r>
              <w:rPr>
                <w:rFonts w:eastAsia="Calibri"/>
                <w:b/>
                <w:bCs/>
                <w:i/>
                <w:iCs/>
                <w:szCs w:val="20"/>
              </w:rPr>
              <w:t xml:space="preserve"> occasions for </w:t>
            </w:r>
            <w:r>
              <w:rPr>
                <w:rFonts w:eastAsia="Calibri"/>
                <w:b/>
                <w:bCs/>
                <w:i/>
                <w:iCs/>
                <w:szCs w:val="20"/>
                <w:u w:val="single"/>
              </w:rPr>
              <w:t>candidate PSSCH transmissions with corresponding PSFCH reception occasions</w:t>
            </w:r>
            <w:r>
              <w:rPr>
                <w:rFonts w:eastAsia="Calibri"/>
                <w:b/>
                <w:bCs/>
                <w:i/>
                <w:iCs/>
                <w:szCs w:val="20"/>
              </w:rPr>
              <w:t xml:space="preserve"> according to the following pseudo-code.’</w:t>
            </w:r>
            <w:r>
              <w:rPr>
                <w:rFonts w:eastAsia="Calibri"/>
                <w:szCs w:val="20"/>
              </w:rPr>
              <w:t>, but the cardinality of the set M_A is defined as the</w:t>
            </w:r>
            <w:r>
              <w:rPr>
                <w:rFonts w:eastAsia="Calibri"/>
                <w:b/>
                <w:bCs/>
                <w:i/>
                <w:iCs/>
                <w:szCs w:val="20"/>
              </w:rPr>
              <w:t xml:space="preserve"> </w:t>
            </w:r>
            <w:r>
              <w:rPr>
                <w:rFonts w:eastAsia="Calibri"/>
                <w:b/>
                <w:bCs/>
                <w:i/>
                <w:iCs/>
                <w:szCs w:val="20"/>
                <w:u w:val="single"/>
              </w:rPr>
              <w:t>number of PSFCH occasion</w:t>
            </w:r>
            <w:r>
              <w:rPr>
                <w:rFonts w:eastAsia="Calibri"/>
                <w:szCs w:val="20"/>
              </w:rPr>
              <w:t xml:space="preserve"> in the current spec, which does not make sense.</w:t>
            </w:r>
          </w:p>
          <w:p>
            <w:pPr>
              <w:rPr>
                <w:rFonts w:eastAsia="Calibri"/>
                <w:szCs w:val="20"/>
              </w:rPr>
            </w:pPr>
            <w:r>
              <w:rPr>
                <w:rFonts w:eastAsia="Calibri"/>
                <w:szCs w:val="20"/>
              </w:rPr>
              <w:t>There should be N HARQ-ACK bits generated for each PSFCH reception occasion of a pool because the N associated candidate PSSCH trasnmissions may be used for different TBs where N is the PSFCH period.</w:t>
            </w:r>
          </w:p>
          <w:p>
            <w:pPr>
              <w:rPr>
                <w:rFonts w:eastAsia="Calibri"/>
                <w:lang w:val="en-GB"/>
              </w:rPr>
            </w:pPr>
            <w:r>
              <w:rPr>
                <w:rFonts w:eastAsia="等线"/>
              </w:rPr>
              <w:t>Hence the definition of the cardinality of the set M_A should be corrected to the total number of candidate PSSCH transmission corresponding to the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Yu Mincho"/>
                <w:lang w:val="en-GB"/>
              </w:rPr>
            </w:pPr>
            <w:r>
              <w:rPr>
                <w:rFonts w:hint="eastAsia" w:eastAsia="Yu Mincho"/>
                <w:lang w:val="en-GB"/>
              </w:rPr>
              <w:t>NTT DOCOMO</w:t>
            </w:r>
          </w:p>
        </w:tc>
        <w:tc>
          <w:tcPr>
            <w:tcW w:w="7933" w:type="dxa"/>
          </w:tcPr>
          <w:p>
            <w:pPr>
              <w:rPr>
                <w:rFonts w:eastAsia="Yu Mincho"/>
                <w:lang w:val="en-GB"/>
              </w:rPr>
            </w:pPr>
            <w:r>
              <w:rPr>
                <w:rFonts w:hint="eastAsia" w:eastAsia="Yu Mincho"/>
                <w:lang w:val="en-GB"/>
              </w:rPr>
              <w:t>OK</w:t>
            </w:r>
          </w:p>
          <w:p>
            <w:pPr>
              <w:rPr>
                <w:rFonts w:eastAsia="Yu Mincho"/>
                <w:lang w:val="en-GB"/>
              </w:rPr>
            </w:pPr>
            <w:r>
              <w:rPr>
                <w:rFonts w:eastAsia="Yu Mincho"/>
                <w:lang w:val="en-GB"/>
              </w:rPr>
              <w:t>It seems OK since the update text on definition of M_A is aligned with 16.5.1 and top of 16.5.1.1.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eastAsia="等线"/>
                <w:lang w:val="en-GB"/>
              </w:rPr>
              <w:t>Sharp</w:t>
            </w:r>
          </w:p>
        </w:tc>
        <w:tc>
          <w:tcPr>
            <w:tcW w:w="7933" w:type="dxa"/>
          </w:tcPr>
          <w:p>
            <w:pPr>
              <w:pStyle w:val="133"/>
              <w:numPr>
                <w:ilvl w:val="0"/>
                <w:numId w:val="20"/>
              </w:numPr>
              <w:rPr>
                <w:rFonts w:eastAsia="等线"/>
                <w:lang w:val="en-GB"/>
              </w:rPr>
            </w:pPr>
            <w:r>
              <w:rPr>
                <w:rFonts w:eastAsia="等线"/>
                <w:lang w:val="en-GB"/>
              </w:rPr>
              <w:t>The wording should be aligned with other places describing M_A where the current spec says “</w:t>
            </w:r>
            <w:r>
              <w:rPr>
                <w:rFonts w:cs="Arial"/>
              </w:rPr>
              <w:t>occasions for candidate PSSCH transmissions</w:t>
            </w:r>
            <w:r>
              <w:rPr>
                <w:rFonts w:eastAsia="等线"/>
                <w:lang w:val="en-GB"/>
              </w:rPr>
              <w:t>”. (The “transmission” is a candidate transmission, but the “occasion” is just an occasion, not a “candidate occasion”)</w:t>
            </w:r>
          </w:p>
          <w:p>
            <w:pPr>
              <w:pStyle w:val="133"/>
              <w:numPr>
                <w:ilvl w:val="0"/>
                <w:numId w:val="20"/>
              </w:numPr>
              <w:rPr>
                <w:rFonts w:eastAsia="等线"/>
                <w:lang w:val="en-GB"/>
              </w:rPr>
            </w:pPr>
            <w:r>
              <w:rPr>
                <w:rFonts w:eastAsia="等线"/>
                <w:lang w:val="en-GB"/>
              </w:rPr>
              <w:t xml:space="preserve">In the last sentence, specification of the priority of the generated NACK value is missing. (Normally the priority value of a HARQ-ACK bit is same as that of the associated PSSCH transmission, but here there is not even any detected DCI, not to mention an associated PSSCH transmission) </w:t>
            </w:r>
          </w:p>
          <w:p>
            <w:pPr>
              <w:rPr>
                <w:rFonts w:eastAsia="等线"/>
                <w:color w:val="FF0000"/>
                <w:lang w:val="en-GB"/>
              </w:rPr>
            </w:pPr>
            <w:r>
              <w:rPr>
                <w:rFonts w:eastAsia="等线"/>
                <w:color w:val="FF0000"/>
                <w:lang w:val="en-GB"/>
              </w:rPr>
              <w:t>FL reply 25/8/2020:</w:t>
            </w:r>
          </w:p>
          <w:p>
            <w:pPr>
              <w:rPr>
                <w:rFonts w:eastAsia="等线"/>
                <w:color w:val="FF0000"/>
                <w:lang w:val="en-GB"/>
              </w:rPr>
            </w:pPr>
            <w:r>
              <w:rPr>
                <w:rFonts w:eastAsia="等线"/>
                <w:color w:val="FF0000"/>
                <w:lang w:val="en-GB"/>
              </w:rPr>
              <w:t>For the first issue, I am not sure I understand what you mean. Can you clarify where else the change is needed and how it should look like?</w:t>
            </w:r>
          </w:p>
          <w:p>
            <w:pPr>
              <w:rPr>
                <w:rFonts w:eastAsia="等线"/>
                <w:lang w:val="en-GB"/>
              </w:rPr>
            </w:pPr>
            <w:r>
              <w:rPr>
                <w:rFonts w:eastAsiaTheme="minorEastAsia"/>
                <w:color w:val="FF0000"/>
                <w:lang w:val="en-GB"/>
              </w:rPr>
              <w:t xml:space="preserve">The second issue is not really related to the rest of the TP. (I did not include it because it was based on a single contribution and strictly speaking, it would require some agreement, not just a correction). Let’s consider it in a later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Huawei, HiSilicon</w:t>
            </w:r>
          </w:p>
        </w:tc>
        <w:tc>
          <w:tcPr>
            <w:tcW w:w="7933" w:type="dxa"/>
          </w:tcPr>
          <w:p>
            <w:pPr>
              <w:rPr>
                <w:rFonts w:eastAsia="Calibri"/>
                <w:lang w:val="en-GB"/>
              </w:rPr>
            </w:pPr>
            <w:r>
              <w:rPr>
                <w:rFonts w:eastAsia="Calibri"/>
                <w:lang w:val="en-GB"/>
              </w:rPr>
              <w:t>Disagree. Based on the logic to generate the Type-1 HARQ-ACK codebook, the pseudo code part explains how to determine occasions with PSFCH resources, so it should be the PSFCH reception occasions, rather thant PSSCH occasions.</w:t>
            </w:r>
          </w:p>
          <w:p>
            <w:pPr>
              <w:rPr>
                <w:rFonts w:eastAsia="Calibri"/>
                <w:color w:val="FF0000"/>
                <w:lang w:val="en-GB"/>
              </w:rPr>
            </w:pPr>
            <w:r>
              <w:rPr>
                <w:rFonts w:eastAsia="Calibri"/>
                <w:color w:val="FF0000"/>
                <w:lang w:val="en-GB"/>
              </w:rPr>
              <w:t>FL reply 25/8/2020:</w:t>
            </w:r>
          </w:p>
          <w:p>
            <w:pPr>
              <w:rPr>
                <w:rFonts w:eastAsia="Calibri"/>
                <w:lang w:val="en-GB"/>
              </w:rPr>
            </w:pPr>
            <w:r>
              <w:rPr>
                <w:rFonts w:eastAsia="Calibri"/>
                <w:color w:val="FF0000"/>
                <w:lang w:val="en-GB"/>
              </w:rPr>
              <w:t>As others have replied, 16.5.1 states “</w:t>
            </w:r>
            <m:oMath>
              <m:sSub>
                <m:sSubPr>
                  <m:ctrlPr>
                    <w:rPr>
                      <w:rFonts w:ascii="Cambria Math" w:hAnsi="Cambria Math" w:eastAsia="Calibri" w:cs="Arial"/>
                      <w:i/>
                      <w:color w:val="FF0000"/>
                    </w:rPr>
                  </m:ctrlPr>
                </m:sSubPr>
                <m:e>
                  <m:r>
                    <w:rPr>
                      <w:rFonts w:ascii="Cambria Math" w:eastAsia="Calibri" w:cs="Arial"/>
                      <w:color w:val="FF0000"/>
                    </w:rPr>
                    <m:t>M</m:t>
                  </m:r>
                  <m:ctrlPr>
                    <w:rPr>
                      <w:rFonts w:ascii="Cambria Math" w:hAnsi="Cambria Math" w:eastAsia="Calibri" w:cs="Arial"/>
                      <w:i/>
                      <w:color w:val="FF0000"/>
                    </w:rPr>
                  </m:ctrlPr>
                </m:e>
                <m:sub>
                  <m:r>
                    <w:rPr>
                      <w:rFonts w:ascii="Cambria Math" w:eastAsia="Calibri" w:cs="Arial"/>
                      <w:color w:val="FF0000"/>
                    </w:rPr>
                    <m:t>A</m:t>
                  </m:r>
                  <m:ctrlPr>
                    <w:rPr>
                      <w:rFonts w:ascii="Cambria Math" w:hAnsi="Cambria Math" w:eastAsia="Calibri" w:cs="Arial"/>
                      <w:i/>
                      <w:color w:val="FF0000"/>
                    </w:rPr>
                  </m:ctrlPr>
                </m:sub>
              </m:sSub>
            </m:oMath>
            <w:r>
              <w:rPr>
                <w:rFonts w:eastAsia="Calibri"/>
                <w:color w:val="FF0000"/>
              </w:rPr>
              <w:t xml:space="preserve"> occasions for candidate PSSCH transmissions with corresponding PSFCH reception occasions</w:t>
            </w:r>
            <w:r>
              <w:rPr>
                <w:rFonts w:eastAsia="Calibri"/>
                <w:color w:val="FF0000"/>
                <w:lang w:val="en-GB"/>
              </w:rPr>
              <w:t>”. It seems straightforward to say that “The cardinality of the set M_A defines a total number M of candidate PSSCH transmission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Theme="minorEastAsia"/>
                <w:lang w:val="en-GB"/>
              </w:rPr>
            </w:pPr>
            <w:r>
              <w:rPr>
                <w:rFonts w:hint="eastAsia" w:eastAsiaTheme="minorEastAsia"/>
                <w:lang w:val="en-GB"/>
              </w:rPr>
              <w:t>LG Electroincs</w:t>
            </w:r>
          </w:p>
        </w:tc>
        <w:tc>
          <w:tcPr>
            <w:tcW w:w="7933" w:type="dxa"/>
          </w:tcPr>
          <w:p>
            <w:pPr>
              <w:rPr>
                <w:rFonts w:eastAsiaTheme="minorEastAsia"/>
                <w:lang w:val="en-GB"/>
              </w:rPr>
            </w:pPr>
            <w:r>
              <w:rPr>
                <w:rFonts w:hint="eastAsia" w:eastAsiaTheme="minorEastAsia"/>
                <w:lang w:val="en-GB"/>
              </w:rPr>
              <w:t xml:space="preserve">We are </w:t>
            </w:r>
            <w:r>
              <w:rPr>
                <w:rFonts w:eastAsiaTheme="minorEastAsia"/>
                <w:lang w:val="en-GB"/>
              </w:rPr>
              <w:t xml:space="preserve">generally fine with the TP. We’d like to replace following part in the pseudo code to reflect that the case when the number of PSSCH slots associated with a PSFCH slot is smaller than periodPSFCHresource: </w:t>
            </w:r>
          </w:p>
          <w:p>
            <w:pPr>
              <w:ind w:left="1134"/>
              <w:rPr>
                <w:rFonts w:eastAsia="Calibri"/>
              </w:rPr>
            </w:pPr>
            <w:r>
              <w:rPr>
                <w:rFonts w:eastAsia="Calibri" w:cs="Arial"/>
              </w:rPr>
              <w:t xml:space="preserve">if </w:t>
            </w:r>
            <w:r>
              <w:rPr>
                <w:rFonts w:eastAsia="Calibri"/>
              </w:rPr>
              <w:t xml:space="preserve">slot </w:t>
            </w:r>
            <m:oMath>
              <m:d>
                <m:dPr>
                  <m:begChr m:val="⌊"/>
                  <m:endChr m:val="⌋"/>
                  <m:ctrlPr>
                    <w:rPr>
                      <w:rFonts w:ascii="Cambria Math" w:hAnsi="Cambria Math" w:eastAsia="Calibri"/>
                      <w:i/>
                    </w:rPr>
                  </m:ctrlPr>
                </m:dPr>
                <m:e>
                  <m:d>
                    <m:dPr>
                      <m:ctrlPr>
                        <w:rPr>
                          <w:rFonts w:ascii="Cambria Math" w:hAnsi="Cambria Math" w:eastAsia="Calibri"/>
                          <w:i/>
                        </w:rPr>
                      </m:ctrlPr>
                    </m:dPr>
                    <m:e>
                      <m:sSub>
                        <m:sSubPr>
                          <m:ctrlPr>
                            <w:rPr>
                              <w:rFonts w:ascii="Cambria Math" w:hAnsi="Cambria Math" w:eastAsia="Calibri"/>
                              <w:i/>
                            </w:rPr>
                          </m:ctrlPr>
                        </m:sSubPr>
                        <m:e>
                          <m:r>
                            <w:rPr>
                              <w:rFonts w:ascii="Cambria Math" w:eastAsia="Calibri"/>
                            </w:rPr>
                            <m:t>n</m:t>
                          </m:r>
                          <m:ctrlPr>
                            <w:rPr>
                              <w:rFonts w:ascii="Cambria Math" w:hAnsi="Cambria Math" w:eastAsia="Calibri"/>
                              <w:i/>
                            </w:rPr>
                          </m:ctrlPr>
                        </m:e>
                        <m:sub>
                          <m:r>
                            <w:rPr>
                              <w:rFonts w:ascii="Cambria Math" w:eastAsia="Calibri"/>
                            </w:rPr>
                            <m:t>U</m:t>
                          </m:r>
                          <m:ctrlPr>
                            <w:rPr>
                              <w:rFonts w:ascii="Cambria Math" w:hAnsi="Cambria Math" w:eastAsia="Calibri"/>
                              <w:i/>
                            </w:rPr>
                          </m:ctrlPr>
                        </m:sub>
                      </m:sSub>
                      <m:r>
                        <w:rPr>
                          <w:rFonts w:ascii="Cambria Math" w:eastAsia="Calibri"/>
                        </w:rPr>
                        <m:t>-</m:t>
                      </m:r>
                      <m:sSub>
                        <m:sSubPr>
                          <m:ctrlPr>
                            <w:rPr>
                              <w:rFonts w:ascii="Cambria Math" w:hAnsi="Cambria Math" w:eastAsia="Calibri"/>
                              <w:i/>
                            </w:rPr>
                          </m:ctrlPr>
                        </m:sSubPr>
                        <m:e>
                          <m:r>
                            <w:rPr>
                              <w:rFonts w:ascii="Cambria Math" w:eastAsia="Calibri"/>
                            </w:rPr>
                            <m:t>K</m:t>
                          </m:r>
                          <m:ctrlPr>
                            <w:rPr>
                              <w:rFonts w:ascii="Cambria Math" w:hAnsi="Cambria Math" w:eastAsia="Calibri"/>
                              <w:i/>
                            </w:rPr>
                          </m:ctrlPr>
                        </m:e>
                        <m:sub>
                          <m:r>
                            <w:rPr>
                              <w:rFonts w:ascii="Cambria Math" w:eastAsia="Calibri"/>
                            </w:rPr>
                            <m:t>1,k</m:t>
                          </m:r>
                          <m:ctrlPr>
                            <w:rPr>
                              <w:rFonts w:ascii="Cambria Math" w:hAnsi="Cambria Math" w:eastAsia="Calibri"/>
                              <w:i/>
                            </w:rPr>
                          </m:ctrlPr>
                        </m:sub>
                      </m:sSub>
                      <m:ctrlPr>
                        <w:rPr>
                          <w:rFonts w:ascii="Cambria Math" w:hAnsi="Cambria Math" w:eastAsia="Calibri"/>
                          <w:i/>
                        </w:rPr>
                      </m:ctrlPr>
                    </m:e>
                  </m:d>
                  <m:r>
                    <w:rPr>
                      <w:rFonts w:ascii="Cambria Math" w:hAnsi="Cambria Math" w:eastAsia="Calibri" w:cs="Cambria Math"/>
                    </w:rPr>
                    <m:t>⋅</m:t>
                  </m:r>
                  <m:sSup>
                    <m:sSupPr>
                      <m:ctrlPr>
                        <w:rPr>
                          <w:rFonts w:ascii="Cambria Math" w:hAnsi="Cambria Math" w:eastAsia="Calibri"/>
                          <w:i/>
                        </w:rPr>
                      </m:ctrlPr>
                    </m:sSupPr>
                    <m:e>
                      <m:r>
                        <w:rPr>
                          <w:rFonts w:ascii="Cambria Math" w:eastAsia="Calibri"/>
                        </w:rPr>
                        <m:t>2</m:t>
                      </m:r>
                      <m:ctrlPr>
                        <w:rPr>
                          <w:rFonts w:ascii="Cambria Math" w:hAnsi="Cambria Math" w:eastAsia="Calibri"/>
                          <w:i/>
                        </w:rPr>
                      </m:ctrlPr>
                    </m:e>
                    <m:sup>
                      <m:sSub>
                        <m:sSubPr>
                          <m:ctrlPr>
                            <w:rPr>
                              <w:rFonts w:ascii="Cambria Math" w:hAnsi="Cambria Math" w:eastAsia="Calibri"/>
                              <w:i/>
                            </w:rPr>
                          </m:ctrlPr>
                        </m:sSubPr>
                        <m:e>
                          <m:r>
                            <w:rPr>
                              <w:rFonts w:ascii="Cambria Math" w:eastAsia="Calibri"/>
                            </w:rPr>
                            <m:t>μ</m:t>
                          </m:r>
                          <m:ctrlPr>
                            <w:rPr>
                              <w:rFonts w:ascii="Cambria Math" w:hAnsi="Cambria Math" w:eastAsia="Calibri"/>
                              <w:i/>
                            </w:rPr>
                          </m:ctrlPr>
                        </m:e>
                        <m:sub>
                          <m:r>
                            <m:rPr>
                              <m:nor/>
                              <m:sty m:val="p"/>
                            </m:rPr>
                            <w:rPr>
                              <w:rFonts w:ascii="Cambria Math" w:eastAsia="Calibri"/>
                            </w:rPr>
                            <m:t>SL</m:t>
                          </m:r>
                          <m:ctrlPr>
                            <w:rPr>
                              <w:rFonts w:ascii="Cambria Math" w:hAnsi="Cambria Math" w:eastAsia="Calibri"/>
                            </w:rPr>
                          </m:ctrlPr>
                        </m:sub>
                      </m:sSub>
                      <m:r>
                        <w:rPr>
                          <w:rFonts w:ascii="Cambria Math" w:eastAsia="Calibri"/>
                        </w:rPr>
                        <m:t>-</m:t>
                      </m:r>
                      <m:sSub>
                        <m:sSubPr>
                          <m:ctrlPr>
                            <w:rPr>
                              <w:rFonts w:ascii="Cambria Math" w:hAnsi="Cambria Math" w:eastAsia="Calibri"/>
                              <w:i/>
                            </w:rPr>
                          </m:ctrlPr>
                        </m:sSubPr>
                        <m:e>
                          <m:r>
                            <w:rPr>
                              <w:rFonts w:ascii="Cambria Math" w:eastAsia="Calibri"/>
                            </w:rPr>
                            <m:t>μ</m:t>
                          </m:r>
                          <m:ctrlPr>
                            <w:rPr>
                              <w:rFonts w:ascii="Cambria Math" w:hAnsi="Cambria Math" w:eastAsia="Calibri"/>
                              <w:i/>
                            </w:rPr>
                          </m:ctrlPr>
                        </m:e>
                        <m:sub>
                          <m:r>
                            <m:rPr>
                              <m:nor/>
                              <m:sty m:val="p"/>
                            </m:rPr>
                            <w:rPr>
                              <w:rFonts w:ascii="Cambria Math" w:eastAsia="Calibri"/>
                            </w:rPr>
                            <m:t>UL</m:t>
                          </m:r>
                          <m:ctrlPr>
                            <w:rPr>
                              <w:rFonts w:ascii="Cambria Math" w:hAnsi="Cambria Math" w:eastAsia="Calibri"/>
                            </w:rPr>
                          </m:ctrlPr>
                        </m:sub>
                      </m:sSub>
                      <m:ctrlPr>
                        <w:rPr>
                          <w:rFonts w:ascii="Cambria Math" w:hAnsi="Cambria Math" w:eastAsia="Calibri"/>
                          <w:i/>
                        </w:rPr>
                      </m:ctrlPr>
                    </m:sup>
                  </m:sSup>
                  <m:ctrlPr>
                    <w:rPr>
                      <w:rFonts w:ascii="Cambria Math" w:hAnsi="Cambria Math" w:eastAsia="Calibri"/>
                      <w:i/>
                    </w:rPr>
                  </m:ctrlPr>
                </m:e>
              </m:d>
              <m:r>
                <w:rPr>
                  <w:rFonts w:ascii="Cambria Math" w:eastAsia="Calibri"/>
                </w:rPr>
                <m:t>+</m:t>
              </m:r>
              <m:sSub>
                <m:sSubPr>
                  <m:ctrlPr>
                    <w:rPr>
                      <w:rFonts w:ascii="Cambria Math" w:hAnsi="Cambria Math" w:eastAsia="Calibri"/>
                      <w:i/>
                    </w:rPr>
                  </m:ctrlPr>
                </m:sSubPr>
                <m:e>
                  <m:r>
                    <w:rPr>
                      <w:rFonts w:ascii="Cambria Math" w:eastAsia="Calibri"/>
                    </w:rPr>
                    <m:t>n</m:t>
                  </m:r>
                  <m:ctrlPr>
                    <w:rPr>
                      <w:rFonts w:ascii="Cambria Math" w:hAnsi="Cambria Math" w:eastAsia="Calibri"/>
                      <w:i/>
                    </w:rPr>
                  </m:ctrlPr>
                </m:e>
                <m:sub>
                  <m:r>
                    <w:rPr>
                      <w:rFonts w:ascii="Cambria Math" w:eastAsia="Calibri"/>
                    </w:rPr>
                    <m:t>S</m:t>
                  </m:r>
                  <m:ctrlPr>
                    <w:rPr>
                      <w:rFonts w:ascii="Cambria Math" w:hAnsi="Cambria Math" w:eastAsia="Calibri"/>
                      <w:i/>
                    </w:rPr>
                  </m:ctrlPr>
                </m:sub>
              </m:sSub>
            </m:oMath>
            <w:r>
              <w:rPr>
                <w:rFonts w:eastAsia="Calibri"/>
              </w:rPr>
              <w:t xml:space="preserve"> belongs to the </w:t>
            </w:r>
            <w:r>
              <w:rPr>
                <w:rFonts w:eastAsia="Calibri" w:cs="Arial"/>
              </w:rPr>
              <w:t>sidelink resource</w:t>
            </w:r>
            <w:r>
              <w:rPr>
                <w:rFonts w:eastAsia="Calibri"/>
              </w:rPr>
              <w:t xml:space="preserve"> pool and includes PSFCH resources as indicated by a </w:t>
            </w:r>
            <w:r>
              <w:rPr>
                <w:rFonts w:eastAsia="Calibri" w:cs="Arial"/>
              </w:rPr>
              <w:t>sidelink resource</w:t>
            </w:r>
            <w:r>
              <w:rPr>
                <w:rFonts w:eastAsia="Calibri"/>
              </w:rPr>
              <w:t xml:space="preserve"> pool bitmap and </w:t>
            </w:r>
            <w:r>
              <w:rPr>
                <w:rFonts w:eastAsia="Calibri"/>
                <w:i/>
              </w:rPr>
              <w:t>periodPSFCHresource</w:t>
            </w:r>
            <w:r>
              <w:rPr>
                <w:rFonts w:eastAsia="Calibri"/>
              </w:rPr>
              <w:t xml:space="preserve">, where </w:t>
            </w:r>
            <m:oMath>
              <m:sSub>
                <m:sSubPr>
                  <m:ctrlPr>
                    <w:rPr>
                      <w:rFonts w:ascii="Cambria Math" w:hAnsi="Cambria Math" w:eastAsia="Calibri" w:cs="Arial"/>
                      <w:i/>
                    </w:rPr>
                  </m:ctrlPr>
                </m:sSubPr>
                <m:e>
                  <m:r>
                    <w:rPr>
                      <w:rFonts w:ascii="Cambria Math" w:hAnsi="Cambria Math" w:eastAsia="Calibri" w:cs="Arial"/>
                    </w:rPr>
                    <m:t>K</m:t>
                  </m:r>
                  <m:ctrlPr>
                    <w:rPr>
                      <w:rFonts w:ascii="Cambria Math" w:hAnsi="Cambria Math" w:eastAsia="Calibri" w:cs="Arial"/>
                      <w:i/>
                    </w:rPr>
                  </m:ctrlPr>
                </m:e>
                <m:sub>
                  <m:r>
                    <w:rPr>
                      <w:rFonts w:ascii="Cambria Math" w:hAnsi="Cambria Math" w:eastAsia="Calibri" w:cs="Arial"/>
                    </w:rPr>
                    <m:t>1,k</m:t>
                  </m:r>
                  <m:ctrlPr>
                    <w:rPr>
                      <w:rFonts w:ascii="Cambria Math" w:hAnsi="Cambria Math" w:eastAsia="Calibri" w:cs="Arial"/>
                      <w:i/>
                    </w:rPr>
                  </m:ctrlPr>
                </m:sub>
              </m:sSub>
            </m:oMath>
            <w:r>
              <w:rPr>
                <w:rFonts w:eastAsia="Calibri"/>
              </w:rPr>
              <w:t xml:space="preserve"> is the</w:t>
            </w:r>
            <w:r>
              <w:rPr>
                <w:rFonts w:eastAsia="Calibri"/>
                <w:i/>
              </w:rPr>
              <w:t xml:space="preserve"> k</w:t>
            </w:r>
            <w:r>
              <w:rPr>
                <w:rFonts w:eastAsia="Calibri"/>
              </w:rPr>
              <w:t xml:space="preserve">-th slot timing value in set </w:t>
            </w:r>
            <m:oMath>
              <m:sSub>
                <m:sSubPr>
                  <m:ctrlPr>
                    <w:rPr>
                      <w:rFonts w:ascii="Cambria Math" w:hAnsi="Cambria Math" w:eastAsia="Calibri" w:cs="Arial"/>
                      <w:i/>
                    </w:rPr>
                  </m:ctrlPr>
                </m:sSubPr>
                <m:e>
                  <m:r>
                    <w:rPr>
                      <w:rFonts w:ascii="Cambria Math" w:hAnsi="Cambria Math" w:eastAsia="Calibri" w:cs="Arial"/>
                    </w:rPr>
                    <m:t>K</m:t>
                  </m:r>
                  <m:ctrlPr>
                    <w:rPr>
                      <w:rFonts w:ascii="Cambria Math" w:hAnsi="Cambria Math" w:eastAsia="Calibri" w:cs="Arial"/>
                      <w:i/>
                    </w:rPr>
                  </m:ctrlPr>
                </m:e>
                <m:sub>
                  <m:r>
                    <w:rPr>
                      <w:rFonts w:ascii="Cambria Math" w:hAnsi="Cambria Math" w:eastAsia="Calibri" w:cs="Arial"/>
                    </w:rPr>
                    <m:t>1</m:t>
                  </m:r>
                  <m:ctrlPr>
                    <w:rPr>
                      <w:rFonts w:ascii="Cambria Math" w:hAnsi="Cambria Math" w:eastAsia="Calibri" w:cs="Arial"/>
                      <w:i/>
                    </w:rPr>
                  </m:ctrlPr>
                </m:sub>
              </m:sSub>
            </m:oMath>
          </w:p>
          <w:p>
            <w:pPr>
              <w:pStyle w:val="75"/>
              <w:rPr>
                <w:rFonts w:eastAsia="Calibri"/>
              </w:rPr>
            </w:pPr>
            <w:r>
              <w:rPr>
                <w:rFonts w:hint="eastAsia" w:eastAsia="Calibri"/>
              </w:rPr>
              <w:t xml:space="preserve">Set </w:t>
            </w:r>
            <m:oMath>
              <m:sSub>
                <m:sSubPr>
                  <m:ctrlPr>
                    <w:rPr>
                      <w:rFonts w:ascii="Cambria Math" w:hAnsi="Cambria Math" w:eastAsia="Calibri"/>
                      <w:i/>
                    </w:rPr>
                  </m:ctrlPr>
                </m:sSubPr>
                <m:e>
                  <m:r>
                    <w:rPr>
                      <w:rFonts w:ascii="Cambria Math" w:eastAsia="Calibri"/>
                    </w:rPr>
                    <m:t>n</m:t>
                  </m:r>
                  <m:ctrlPr>
                    <w:rPr>
                      <w:rFonts w:ascii="Cambria Math" w:hAnsi="Cambria Math" w:eastAsia="Calibri"/>
                      <w:i/>
                    </w:rPr>
                  </m:ctrlPr>
                </m:e>
                <m:sub>
                  <m:r>
                    <w:rPr>
                      <w:rFonts w:ascii="Cambria Math" w:eastAsia="Calibri"/>
                    </w:rPr>
                    <m:t>F</m:t>
                  </m:r>
                  <m:ctrlPr>
                    <w:rPr>
                      <w:rFonts w:ascii="Cambria Math" w:hAnsi="Cambria Math" w:eastAsia="Calibri"/>
                      <w:i/>
                    </w:rPr>
                  </m:ctrlPr>
                </m:sub>
              </m:sSub>
              <m:r>
                <w:rPr>
                  <w:rFonts w:ascii="Cambria Math" w:eastAsia="Calibri"/>
                </w:rPr>
                <m:t>=0</m:t>
              </m:r>
            </m:oMath>
            <w:r>
              <w:rPr>
                <w:rFonts w:eastAsia="Calibri"/>
              </w:rPr>
              <w:t xml:space="preserve"> –</w:t>
            </w:r>
            <w:r>
              <w:rPr>
                <w:rFonts w:hint="eastAsia" w:eastAsia="Calibri"/>
              </w:rPr>
              <w:t xml:space="preserve"> index of </w:t>
            </w:r>
            <w:r>
              <w:rPr>
                <w:rFonts w:eastAsia="Calibri"/>
              </w:rPr>
              <w:t xml:space="preserve">a SL </w:t>
            </w:r>
            <w:r>
              <w:rPr>
                <w:rFonts w:hint="eastAsia" w:eastAsia="Calibri"/>
              </w:rPr>
              <w:t xml:space="preserve">slot </w:t>
            </w:r>
            <w:r>
              <w:rPr>
                <w:rFonts w:eastAsia="Calibri"/>
                <w:strike/>
                <w:color w:val="FF0000"/>
              </w:rPr>
              <w:t>within</w:t>
            </w:r>
            <w:r>
              <w:rPr>
                <w:rFonts w:eastAsia="Calibri"/>
                <w:color w:val="FF0000"/>
              </w:rPr>
              <w:t xml:space="preserve">among PSSCH slots associated with </w:t>
            </w:r>
            <w:r>
              <w:rPr>
                <w:rFonts w:eastAsia="Calibri"/>
                <w:strike/>
                <w:color w:val="FF0000"/>
              </w:rPr>
              <w:t xml:space="preserve">an </w:t>
            </w:r>
            <w:r>
              <w:rPr>
                <w:rFonts w:eastAsia="Calibri"/>
                <w:color w:val="FF0000"/>
              </w:rPr>
              <w:t xml:space="preserve">the </w:t>
            </w:r>
            <w:r>
              <w:rPr>
                <w:rFonts w:eastAsia="Calibri"/>
              </w:rPr>
              <w:t xml:space="preserve">PSFCH </w:t>
            </w:r>
            <w:r>
              <w:rPr>
                <w:rFonts w:eastAsia="Calibri"/>
                <w:color w:val="FF0000"/>
              </w:rPr>
              <w:t>slot</w:t>
            </w:r>
            <w:r>
              <w:rPr>
                <w:rFonts w:eastAsia="Calibri"/>
                <w:strike/>
                <w:color w:val="FF0000"/>
              </w:rPr>
              <w:t xml:space="preserve"> period</w:t>
            </w:r>
            <w:r>
              <w:rPr>
                <w:rFonts w:eastAsia="Calibri"/>
                <w:color w:val="FF0000"/>
              </w:rPr>
              <w:t xml:space="preserve"> </w:t>
            </w:r>
          </w:p>
          <w:p>
            <w:pPr>
              <w:ind w:left="1470" w:leftChars="700"/>
              <w:rPr>
                <w:rFonts w:eastAsia="Calibri"/>
                <w:color w:val="FF0000"/>
              </w:rPr>
            </w:pPr>
            <w:r>
              <w:rPr>
                <w:rFonts w:eastAsia="Calibri" w:cs="Arial"/>
                <w:color w:val="FF0000"/>
              </w:rPr>
              <w:t xml:space="preserve">Set </w:t>
            </w:r>
            <m:oMath>
              <m:sSub>
                <m:sSubPr>
                  <m:ctrlPr>
                    <w:rPr>
                      <w:rFonts w:ascii="Cambria Math" w:hAnsi="Cambria Math" w:eastAsia="Calibri"/>
                      <w:i/>
                      <w:color w:val="FF0000"/>
                    </w:rPr>
                  </m:ctrlPr>
                </m:sSubPr>
                <m:e>
                  <m:r>
                    <w:rPr>
                      <w:rFonts w:ascii="Cambria Math" w:eastAsia="Calibri"/>
                      <w:color w:val="FF0000"/>
                    </w:rPr>
                    <m:t>N</m:t>
                  </m:r>
                  <m:ctrlPr>
                    <w:rPr>
                      <w:rFonts w:ascii="Cambria Math" w:hAnsi="Cambria Math" w:eastAsia="Calibri"/>
                      <w:i/>
                      <w:color w:val="FF0000"/>
                    </w:rPr>
                  </m:ctrlPr>
                </m:e>
                <m:sub>
                  <m:r>
                    <w:rPr>
                      <w:rFonts w:ascii="Cambria Math" w:eastAsia="Calibri"/>
                      <w:color w:val="FF0000"/>
                    </w:rPr>
                    <m:t>PSFCH</m:t>
                  </m:r>
                  <m:ctrlPr>
                    <w:rPr>
                      <w:rFonts w:ascii="Cambria Math" w:hAnsi="Cambria Math" w:eastAsia="Calibri"/>
                      <w:i/>
                      <w:color w:val="FF0000"/>
                    </w:rPr>
                  </m:ctrlPr>
                </m:sub>
              </m:sSub>
            </m:oMath>
            <w:r>
              <w:rPr>
                <w:rFonts w:eastAsia="Calibri" w:cs="Arial"/>
                <w:color w:val="FF0000"/>
              </w:rPr>
              <w:t xml:space="preserve"> to the number of PSSCH slots associated with the PSFCH slot</w:t>
            </w:r>
          </w:p>
          <w:p>
            <w:pPr>
              <w:pStyle w:val="75"/>
              <w:rPr>
                <w:rFonts w:eastAsia="Calibri"/>
              </w:rPr>
            </w:pPr>
            <w:r>
              <w:rPr>
                <w:rFonts w:eastAsia="Calibri"/>
              </w:rPr>
              <w:t xml:space="preserve">while </w:t>
            </w:r>
            <m:oMath>
              <m:sSub>
                <m:sSubPr>
                  <m:ctrlPr>
                    <w:rPr>
                      <w:rFonts w:ascii="Cambria Math" w:hAnsi="Cambria Math" w:eastAsia="Calibri"/>
                    </w:rPr>
                  </m:ctrlPr>
                </m:sSubPr>
                <m:e>
                  <m:r>
                    <w:rPr>
                      <w:rFonts w:ascii="Cambria Math" w:hAnsi="Cambria Math" w:eastAsia="Calibri"/>
                    </w:rPr>
                    <m:t>n</m:t>
                  </m:r>
                  <m:ctrlPr>
                    <w:rPr>
                      <w:rFonts w:ascii="Cambria Math" w:hAnsi="Cambria Math" w:eastAsia="Calibri"/>
                    </w:rPr>
                  </m:ctrlPr>
                </m:e>
                <m:sub>
                  <m:r>
                    <w:rPr>
                      <w:rFonts w:ascii="Cambria Math" w:hAnsi="Cambria Math" w:eastAsia="Calibri"/>
                    </w:rPr>
                    <m:t>F</m:t>
                  </m:r>
                  <m:ctrlPr>
                    <w:rPr>
                      <w:rFonts w:ascii="Cambria Math" w:hAnsi="Cambria Math" w:eastAsia="Calibri"/>
                    </w:rPr>
                  </m:ctrlPr>
                </m:sub>
              </m:sSub>
              <m:r>
                <m:rPr>
                  <m:sty m:val="p"/>
                </m:rPr>
                <w:rPr>
                  <w:rFonts w:ascii="Cambria Math" w:hAnsi="Cambria Math" w:eastAsia="Calibri"/>
                </w:rPr>
                <m:t>&lt;</m:t>
              </m:r>
              <m:sSub>
                <m:sSubPr>
                  <m:ctrlPr>
                    <w:rPr>
                      <w:rFonts w:ascii="Cambria Math" w:hAnsi="Cambria Math" w:eastAsia="Calibri"/>
                    </w:rPr>
                  </m:ctrlPr>
                </m:sSubPr>
                <m:e>
                  <m:r>
                    <w:rPr>
                      <w:rFonts w:ascii="Cambria Math" w:hAnsi="Cambria Math" w:eastAsia="Calibri"/>
                    </w:rPr>
                    <m:t>N</m:t>
                  </m:r>
                  <m:ctrlPr>
                    <w:rPr>
                      <w:rFonts w:ascii="Cambria Math" w:hAnsi="Cambria Math" w:eastAsia="Calibri"/>
                    </w:rPr>
                  </m:ctrlPr>
                </m:e>
                <m:sub>
                  <m:r>
                    <w:rPr>
                      <w:rFonts w:ascii="Cambria Math" w:hAnsi="Cambria Math" w:eastAsia="Calibri"/>
                    </w:rPr>
                    <m:t>PSFCH</m:t>
                  </m:r>
                  <m:ctrlPr>
                    <w:rPr>
                      <w:rFonts w:ascii="Cambria Math" w:hAnsi="Cambria Math" w:eastAsia="Calibri"/>
                    </w:rPr>
                  </m:ctrlPr>
                </m:sub>
              </m:sSub>
            </m:oMath>
          </w:p>
          <w:p>
            <w:pPr>
              <w:rPr>
                <w:rFonts w:eastAsiaTheme="minorEastAsia"/>
              </w:rPr>
            </w:pPr>
            <w:r>
              <w:rPr>
                <w:rFonts w:hint="eastAsia" w:eastAsiaTheme="minorEastAsia"/>
              </w:rPr>
              <w:t xml:space="preserve">In the above pseudo-code, the value of </w:t>
            </w:r>
            <m:oMath>
              <m:sSub>
                <m:sSubPr>
                  <m:ctrlPr>
                    <w:rPr>
                      <w:rFonts w:ascii="Cambria Math" w:hAnsi="Cambria Math" w:eastAsiaTheme="minorEastAsia"/>
                      <w:i/>
                    </w:rPr>
                  </m:ctrlPr>
                </m:sSubPr>
                <m:e>
                  <m:r>
                    <w:rPr>
                      <w:rFonts w:ascii="Cambria Math" w:hAnsi="Cambria Math" w:eastAsiaTheme="minorEastAsia"/>
                    </w:rPr>
                    <m:t>N</m:t>
                  </m:r>
                  <m:ctrlPr>
                    <w:rPr>
                      <w:rFonts w:ascii="Cambria Math" w:hAnsi="Cambria Math" w:eastAsiaTheme="minorEastAsia"/>
                      <w:i/>
                    </w:rPr>
                  </m:ctrlPr>
                </m:e>
                <m:sub>
                  <m:r>
                    <w:rPr>
                      <w:rFonts w:ascii="Cambria Math" w:hAnsi="Cambria Math" w:eastAsiaTheme="minorEastAsia"/>
                    </w:rPr>
                    <m:t>PSFCH</m:t>
                  </m:r>
                  <m:ctrlPr>
                    <w:rPr>
                      <w:rFonts w:ascii="Cambria Math" w:hAnsi="Cambria Math" w:eastAsiaTheme="minorEastAsia"/>
                      <w:i/>
                    </w:rPr>
                  </m:ctrlPr>
                </m:sub>
              </m:sSub>
            </m:oMath>
            <w:r>
              <w:rPr>
                <w:rFonts w:hint="eastAsia" w:eastAsiaTheme="minorEastAsia"/>
              </w:rPr>
              <w:t xml:space="preserve"> can be changed depending on </w:t>
            </w:r>
            <w:r>
              <w:rPr>
                <w:rFonts w:eastAsiaTheme="minorEastAsia"/>
              </w:rPr>
              <w:t xml:space="preserve">PSFCH slot </w:t>
            </w:r>
            <m:oMath>
              <m:d>
                <m:dPr>
                  <m:begChr m:val="⌊"/>
                  <m:endChr m:val="⌋"/>
                  <m:ctrlPr>
                    <w:rPr>
                      <w:rFonts w:ascii="Cambria Math" w:hAnsi="Cambria Math" w:eastAsia="Calibri"/>
                      <w:i/>
                    </w:rPr>
                  </m:ctrlPr>
                </m:dPr>
                <m:e>
                  <m:d>
                    <m:dPr>
                      <m:ctrlPr>
                        <w:rPr>
                          <w:rFonts w:ascii="Cambria Math" w:hAnsi="Cambria Math" w:eastAsia="Calibri"/>
                          <w:i/>
                        </w:rPr>
                      </m:ctrlPr>
                    </m:dPr>
                    <m:e>
                      <m:sSub>
                        <m:sSubPr>
                          <m:ctrlPr>
                            <w:rPr>
                              <w:rFonts w:ascii="Cambria Math" w:hAnsi="Cambria Math" w:eastAsia="Calibri"/>
                              <w:i/>
                            </w:rPr>
                          </m:ctrlPr>
                        </m:sSubPr>
                        <m:e>
                          <m:r>
                            <w:rPr>
                              <w:rFonts w:ascii="Cambria Math" w:eastAsia="Calibri"/>
                            </w:rPr>
                            <m:t>n</m:t>
                          </m:r>
                          <m:ctrlPr>
                            <w:rPr>
                              <w:rFonts w:ascii="Cambria Math" w:hAnsi="Cambria Math" w:eastAsia="Calibri"/>
                              <w:i/>
                            </w:rPr>
                          </m:ctrlPr>
                        </m:e>
                        <m:sub>
                          <m:r>
                            <w:rPr>
                              <w:rFonts w:ascii="Cambria Math" w:eastAsia="Calibri"/>
                            </w:rPr>
                            <m:t>U</m:t>
                          </m:r>
                          <m:ctrlPr>
                            <w:rPr>
                              <w:rFonts w:ascii="Cambria Math" w:hAnsi="Cambria Math" w:eastAsia="Calibri"/>
                              <w:i/>
                            </w:rPr>
                          </m:ctrlPr>
                        </m:sub>
                      </m:sSub>
                      <m:r>
                        <w:rPr>
                          <w:rFonts w:ascii="Cambria Math" w:eastAsia="Calibri"/>
                        </w:rPr>
                        <m:t>-</m:t>
                      </m:r>
                      <m:sSub>
                        <m:sSubPr>
                          <m:ctrlPr>
                            <w:rPr>
                              <w:rFonts w:ascii="Cambria Math" w:hAnsi="Cambria Math" w:eastAsia="Calibri"/>
                              <w:i/>
                            </w:rPr>
                          </m:ctrlPr>
                        </m:sSubPr>
                        <m:e>
                          <m:r>
                            <w:rPr>
                              <w:rFonts w:ascii="Cambria Math" w:eastAsia="Calibri"/>
                            </w:rPr>
                            <m:t>K</m:t>
                          </m:r>
                          <m:ctrlPr>
                            <w:rPr>
                              <w:rFonts w:ascii="Cambria Math" w:hAnsi="Cambria Math" w:eastAsia="Calibri"/>
                              <w:i/>
                            </w:rPr>
                          </m:ctrlPr>
                        </m:e>
                        <m:sub>
                          <m:r>
                            <w:rPr>
                              <w:rFonts w:ascii="Cambria Math" w:eastAsia="Calibri"/>
                            </w:rPr>
                            <m:t>1,k</m:t>
                          </m:r>
                          <m:ctrlPr>
                            <w:rPr>
                              <w:rFonts w:ascii="Cambria Math" w:hAnsi="Cambria Math" w:eastAsia="Calibri"/>
                              <w:i/>
                            </w:rPr>
                          </m:ctrlPr>
                        </m:sub>
                      </m:sSub>
                      <m:ctrlPr>
                        <w:rPr>
                          <w:rFonts w:ascii="Cambria Math" w:hAnsi="Cambria Math" w:eastAsia="Calibri"/>
                          <w:i/>
                        </w:rPr>
                      </m:ctrlPr>
                    </m:e>
                  </m:d>
                  <m:r>
                    <w:rPr>
                      <w:rFonts w:ascii="Cambria Math" w:hAnsi="Cambria Math" w:eastAsia="Calibri" w:cs="Cambria Math"/>
                    </w:rPr>
                    <m:t>⋅</m:t>
                  </m:r>
                  <m:sSup>
                    <m:sSupPr>
                      <m:ctrlPr>
                        <w:rPr>
                          <w:rFonts w:ascii="Cambria Math" w:hAnsi="Cambria Math" w:eastAsia="Calibri"/>
                          <w:i/>
                        </w:rPr>
                      </m:ctrlPr>
                    </m:sSupPr>
                    <m:e>
                      <m:r>
                        <w:rPr>
                          <w:rFonts w:ascii="Cambria Math" w:eastAsia="Calibri"/>
                        </w:rPr>
                        <m:t>2</m:t>
                      </m:r>
                      <m:ctrlPr>
                        <w:rPr>
                          <w:rFonts w:ascii="Cambria Math" w:hAnsi="Cambria Math" w:eastAsia="Calibri"/>
                          <w:i/>
                        </w:rPr>
                      </m:ctrlPr>
                    </m:e>
                    <m:sup>
                      <m:sSub>
                        <m:sSubPr>
                          <m:ctrlPr>
                            <w:rPr>
                              <w:rFonts w:ascii="Cambria Math" w:hAnsi="Cambria Math" w:eastAsia="Calibri"/>
                              <w:i/>
                            </w:rPr>
                          </m:ctrlPr>
                        </m:sSubPr>
                        <m:e>
                          <m:r>
                            <w:rPr>
                              <w:rFonts w:ascii="Cambria Math" w:eastAsia="Calibri"/>
                            </w:rPr>
                            <m:t>μ</m:t>
                          </m:r>
                          <m:ctrlPr>
                            <w:rPr>
                              <w:rFonts w:ascii="Cambria Math" w:hAnsi="Cambria Math" w:eastAsia="Calibri"/>
                              <w:i/>
                            </w:rPr>
                          </m:ctrlPr>
                        </m:e>
                        <m:sub>
                          <m:r>
                            <m:rPr>
                              <m:nor/>
                              <m:sty m:val="p"/>
                            </m:rPr>
                            <w:rPr>
                              <w:rFonts w:ascii="Cambria Math" w:eastAsia="Calibri"/>
                            </w:rPr>
                            <m:t>SL</m:t>
                          </m:r>
                          <m:ctrlPr>
                            <w:rPr>
                              <w:rFonts w:ascii="Cambria Math" w:hAnsi="Cambria Math" w:eastAsia="Calibri"/>
                            </w:rPr>
                          </m:ctrlPr>
                        </m:sub>
                      </m:sSub>
                      <m:r>
                        <w:rPr>
                          <w:rFonts w:ascii="Cambria Math" w:eastAsia="Calibri"/>
                        </w:rPr>
                        <m:t>-</m:t>
                      </m:r>
                      <m:sSub>
                        <m:sSubPr>
                          <m:ctrlPr>
                            <w:rPr>
                              <w:rFonts w:ascii="Cambria Math" w:hAnsi="Cambria Math" w:eastAsia="Calibri"/>
                              <w:i/>
                            </w:rPr>
                          </m:ctrlPr>
                        </m:sSubPr>
                        <m:e>
                          <m:r>
                            <w:rPr>
                              <w:rFonts w:ascii="Cambria Math" w:eastAsia="Calibri"/>
                            </w:rPr>
                            <m:t>μ</m:t>
                          </m:r>
                          <m:ctrlPr>
                            <w:rPr>
                              <w:rFonts w:ascii="Cambria Math" w:hAnsi="Cambria Math" w:eastAsia="Calibri"/>
                              <w:i/>
                            </w:rPr>
                          </m:ctrlPr>
                        </m:e>
                        <m:sub>
                          <m:r>
                            <m:rPr>
                              <m:nor/>
                              <m:sty m:val="p"/>
                            </m:rPr>
                            <w:rPr>
                              <w:rFonts w:ascii="Cambria Math" w:eastAsia="Calibri"/>
                            </w:rPr>
                            <m:t>UL</m:t>
                          </m:r>
                          <m:ctrlPr>
                            <w:rPr>
                              <w:rFonts w:ascii="Cambria Math" w:hAnsi="Cambria Math" w:eastAsia="Calibri"/>
                            </w:rPr>
                          </m:ctrlPr>
                        </m:sub>
                      </m:sSub>
                      <m:ctrlPr>
                        <w:rPr>
                          <w:rFonts w:ascii="Cambria Math" w:hAnsi="Cambria Math" w:eastAsia="Calibri"/>
                          <w:i/>
                        </w:rPr>
                      </m:ctrlPr>
                    </m:sup>
                  </m:sSup>
                  <m:ctrlPr>
                    <w:rPr>
                      <w:rFonts w:ascii="Cambria Math" w:hAnsi="Cambria Math" w:eastAsia="Calibri"/>
                      <w:i/>
                    </w:rPr>
                  </m:ctrlPr>
                </m:e>
              </m:d>
              <m:r>
                <w:rPr>
                  <w:rFonts w:ascii="Cambria Math" w:eastAsia="Calibri"/>
                </w:rPr>
                <m:t>+</m:t>
              </m:r>
              <m:sSub>
                <m:sSubPr>
                  <m:ctrlPr>
                    <w:rPr>
                      <w:rFonts w:ascii="Cambria Math" w:hAnsi="Cambria Math" w:eastAsia="Calibri"/>
                      <w:i/>
                    </w:rPr>
                  </m:ctrlPr>
                </m:sSubPr>
                <m:e>
                  <m:r>
                    <w:rPr>
                      <w:rFonts w:ascii="Cambria Math" w:eastAsia="Calibri"/>
                    </w:rPr>
                    <m:t>n</m:t>
                  </m:r>
                  <m:ctrlPr>
                    <w:rPr>
                      <w:rFonts w:ascii="Cambria Math" w:hAnsi="Cambria Math" w:eastAsia="Calibri"/>
                      <w:i/>
                    </w:rPr>
                  </m:ctrlPr>
                </m:e>
                <m:sub>
                  <m:r>
                    <w:rPr>
                      <w:rFonts w:ascii="Cambria Math" w:eastAsia="Calibri"/>
                    </w:rPr>
                    <m:t>S</m:t>
                  </m:r>
                  <m:ctrlPr>
                    <w:rPr>
                      <w:rFonts w:ascii="Cambria Math" w:hAnsi="Cambria Math" w:eastAsia="Calibri"/>
                      <w:i/>
                    </w:rPr>
                  </m:ctrlPr>
                </m:sub>
              </m:sSub>
            </m:oMath>
            <w:r>
              <w:rPr>
                <w:rFonts w:hint="eastAsia" w:eastAsiaTheme="minorEastAsia"/>
              </w:rPr>
              <w:t xml:space="preserve">. </w:t>
            </w:r>
            <w:r>
              <w:rPr>
                <w:rFonts w:eastAsiaTheme="minorEastAsia"/>
              </w:rPr>
              <w:t>According to LTE TDD, the number of DL SF associated with the UL SF can be different, and the HARQ-ACK codebook size can be also changed depending on this HARQ-ACK association set size. Even for the NR Uu link, Type-I HARQ-ACK codebook size could be varying slot-by-slot depending on the time gap between DL BWP switching or PCell UL BWP switching and PUCCH TX timing. Similar approach needs to be employed.</w:t>
            </w:r>
          </w:p>
          <w:p>
            <w:pPr>
              <w:rPr>
                <w:rFonts w:eastAsiaTheme="minorEastAsia"/>
                <w:lang w:val="en-GB"/>
              </w:rPr>
            </w:pPr>
          </w:p>
          <w:p>
            <w:pPr>
              <w:rPr>
                <w:rFonts w:eastAsiaTheme="minorEastAsia"/>
                <w:lang w:val="en-GB"/>
              </w:rPr>
            </w:pPr>
            <w:r>
              <w:rPr>
                <w:rFonts w:eastAsiaTheme="minorEastAsia"/>
                <w:lang w:val="en-GB"/>
              </w:rPr>
              <w:t xml:space="preserve">Regarding second comment from Sharp, we do not think that the priority of the NACK for DCI missing needs to be specified. To be specific, when a UE does not receive any DCI for a given PUCCH timing, the UE will not transmit PUCCH. In this case, the priority of the NACK is not necessary. Otherwise, the UE may have at least one priority of valid SL HARQ-ACK feedback, and it will be used to determine the priority of the PUCCH. </w:t>
            </w:r>
          </w:p>
          <w:p>
            <w:pPr>
              <w:rPr>
                <w:rFonts w:eastAsiaTheme="minorEastAsia"/>
                <w:color w:val="FF0000"/>
                <w:lang w:val="en-GB"/>
              </w:rPr>
            </w:pPr>
            <w:r>
              <w:rPr>
                <w:rFonts w:eastAsiaTheme="minorEastAsia"/>
                <w:color w:val="FF0000"/>
                <w:lang w:val="en-GB"/>
              </w:rPr>
              <w:t>FL reply 25/8/2020:</w:t>
            </w:r>
          </w:p>
          <w:p>
            <w:pPr>
              <w:rPr>
                <w:rFonts w:eastAsiaTheme="minorEastAsia"/>
                <w:lang w:val="en-GB"/>
              </w:rPr>
            </w:pPr>
            <w:r>
              <w:rPr>
                <w:rFonts w:eastAsiaTheme="minorEastAsia"/>
                <w:color w:val="FF0000"/>
                <w:lang w:val="en-GB"/>
              </w:rPr>
              <w:t>The first issue is not really related to the rest of the TP. Let’s consider it in a later meeting. Please submit it as a TP so that everyone can have a look and think about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bl>
    <w:p>
      <w:pPr>
        <w:pStyle w:val="5"/>
      </w:pPr>
      <w:r>
        <w:t>TP 1.3.3-3</w:t>
      </w:r>
    </w:p>
    <w:p>
      <w:pPr>
        <w:spacing w:before="240"/>
        <w:rPr>
          <w:lang w:val="en-GB"/>
        </w:rPr>
      </w:pPr>
      <w:r>
        <w:rPr>
          <w:lang w:val="en-GB"/>
        </w:rPr>
        <w:t xml:space="preserve">One contribution R1-2005339 proposes to clarify in the specification that K_1 value represented by </w:t>
      </w:r>
      <w:r>
        <w:rPr>
          <w:i/>
          <w:iCs/>
          <w:lang w:val="en-GB"/>
        </w:rPr>
        <w:t>sl-FeedbackToUL-ACK-CG</w:t>
      </w:r>
      <w:r>
        <w:rPr>
          <w:lang w:val="en-GB"/>
        </w:rPr>
        <w:t xml:space="preserve"> for a SL CG type1 shall be one of the values of </w:t>
      </w:r>
      <w:r>
        <w:rPr>
          <w:i/>
          <w:iCs/>
          <w:lang w:val="en-GB"/>
        </w:rPr>
        <w:t>sl-FeedbackToUL-ACK-DG</w:t>
      </w:r>
      <w:r>
        <w:rPr>
          <w:lang w:val="en-GB"/>
        </w:rPr>
        <w:t>. To this end, they provide a TP:</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jc w:val="center"/>
              <w:rPr>
                <w:rFonts w:eastAsia="Calibri"/>
                <w:b/>
                <w:color w:val="FF0000"/>
              </w:rPr>
            </w:pPr>
            <w:r>
              <w:rPr>
                <w:rFonts w:eastAsia="Calibri"/>
                <w:b/>
                <w:color w:val="FF0000"/>
              </w:rPr>
              <w:t>-------------------------- Start of Text Proposal for TS 38.213 --------------------------</w:t>
            </w:r>
          </w:p>
          <w:p>
            <w:pPr>
              <w:spacing w:before="240"/>
              <w:jc w:val="center"/>
              <w:rPr>
                <w:rFonts w:eastAsia="Calibri"/>
                <w:b/>
                <w:color w:val="FF0000"/>
              </w:rPr>
            </w:pPr>
            <w:r>
              <w:rPr>
                <w:rFonts w:eastAsia="Calibri"/>
                <w:b/>
                <w:color w:val="FF0000"/>
              </w:rPr>
              <w:t>&lt;Unchanged parts omitted&gt;</w:t>
            </w:r>
          </w:p>
          <w:p>
            <w:pPr>
              <w:pStyle w:val="5"/>
              <w:outlineLvl w:val="3"/>
              <w:rPr>
                <w:rFonts w:eastAsia="Calibri"/>
                <w:sz w:val="28"/>
                <w:szCs w:val="24"/>
                <w:lang w:val="de-DE"/>
              </w:rPr>
            </w:pPr>
            <w:bookmarkStart w:id="16" w:name="_Toc45699246"/>
            <w:r>
              <w:rPr>
                <w:rFonts w:eastAsia="Calibri"/>
                <w:sz w:val="28"/>
                <w:szCs w:val="24"/>
                <w:lang w:val="de-DE"/>
              </w:rPr>
              <w:t>16.5.1</w:t>
            </w:r>
            <w:r>
              <w:rPr>
                <w:rFonts w:eastAsia="Calibri"/>
                <w:sz w:val="28"/>
                <w:szCs w:val="24"/>
                <w:lang w:val="de-DE"/>
              </w:rPr>
              <w:tab/>
            </w:r>
            <w:r>
              <w:rPr>
                <w:rFonts w:eastAsia="Calibri"/>
                <w:sz w:val="28"/>
                <w:szCs w:val="24"/>
                <w:lang w:val="de-DE"/>
              </w:rPr>
              <w:t>Type-1 HARQ-ACK codebook</w:t>
            </w:r>
            <w:r>
              <w:rPr>
                <w:rFonts w:hint="eastAsia" w:eastAsia="Calibri"/>
                <w:sz w:val="28"/>
                <w:szCs w:val="24"/>
                <w:lang w:val="de-DE"/>
              </w:rPr>
              <w:t xml:space="preserve"> </w:t>
            </w:r>
            <w:r>
              <w:rPr>
                <w:rFonts w:eastAsia="Calibri"/>
                <w:sz w:val="28"/>
                <w:szCs w:val="24"/>
                <w:lang w:val="de-DE"/>
              </w:rPr>
              <w:t>determination</w:t>
            </w:r>
            <w:bookmarkEnd w:id="16"/>
          </w:p>
          <w:p>
            <w:pPr>
              <w:jc w:val="center"/>
              <w:rPr>
                <w:rFonts w:eastAsia="Calibri"/>
              </w:rPr>
            </w:pPr>
            <w:r>
              <w:rPr>
                <w:rFonts w:eastAsia="Calibri"/>
                <w:b/>
                <w:color w:val="FF0000"/>
              </w:rPr>
              <w:t>&lt;Unchanged parts omitted&gt;</w:t>
            </w:r>
          </w:p>
          <w:p>
            <w:pPr>
              <w:rPr>
                <w:rFonts w:eastAsia="Calibri" w:cs="Arial"/>
              </w:rPr>
            </w:pPr>
            <w:r>
              <w:rPr>
                <w:rFonts w:eastAsia="Calibri"/>
              </w:rPr>
              <w:t xml:space="preserve">This Clause applies if the UE is configured with </w:t>
            </w:r>
            <w:r>
              <w:rPr>
                <w:rFonts w:eastAsia="Calibri"/>
                <w:i/>
              </w:rPr>
              <w:t>pdsch-</w:t>
            </w:r>
            <w:r>
              <w:rPr>
                <w:rFonts w:eastAsia="Calibri" w:cs="Arial"/>
                <w:i/>
              </w:rPr>
              <w:t>HARQ-ACK-Codebook = semi-static</w:t>
            </w:r>
            <w:r>
              <w:rPr>
                <w:rFonts w:eastAsia="Calibri" w:cs="Arial"/>
              </w:rPr>
              <w:t>.</w:t>
            </w:r>
          </w:p>
          <w:p>
            <w:pPr>
              <w:spacing w:before="120" w:after="120"/>
              <w:rPr>
                <w:ins w:id="41" w:author="作者" w:date=""/>
                <w:rFonts w:eastAsia="Calibri"/>
                <w:b/>
                <w:szCs w:val="20"/>
              </w:rPr>
            </w:pPr>
            <w:ins w:id="42" w:author="作者">
              <w:bookmarkStart w:id="17" w:name="_Hlk40025985"/>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ins>
            <w:ins w:id="43" w:author="作者">
              <w:r>
                <w:rPr>
                  <w:rFonts w:eastAsia="Calibri"/>
                </w:rPr>
                <w:t xml:space="preserve">a set of slot timing values </w:t>
              </w:r>
            </w:ins>
            <m:oMath>
              <m:sSub>
                <m:sSubPr>
                  <m:ctrlPr>
                    <w:ins w:id="44" w:author="作者">
                      <w:rPr>
                        <w:rFonts w:ascii="Cambria Math" w:hAnsi="Cambria Math" w:eastAsia="Calibri"/>
                        <w:i/>
                        <w:lang w:val="en-GB"/>
                      </w:rPr>
                    </w:ins>
                  </m:ctrlPr>
                </m:sSubPr>
                <m:e>
                  <w:ins w:id="45" w:author="作者">
                    <m:r>
                      <w:rPr>
                        <w:rFonts w:ascii="Cambria Math" w:hAnsi="Cambria Math" w:eastAsia="Calibri"/>
                      </w:rPr>
                      <m:t>K</m:t>
                    </m:r>
                  </w:ins>
                  <m:ctrlPr>
                    <w:ins w:id="46" w:author="作者">
                      <w:rPr>
                        <w:rFonts w:ascii="Cambria Math" w:hAnsi="Cambria Math" w:eastAsia="Calibri"/>
                        <w:i/>
                        <w:lang w:val="en-GB"/>
                      </w:rPr>
                    </w:ins>
                  </m:ctrlPr>
                </m:e>
                <m:sub>
                  <w:ins w:id="47" w:author="作者">
                    <m:r>
                      <w:rPr>
                        <w:rFonts w:ascii="Cambria Math" w:hAnsi="Cambria Math" w:eastAsia="Calibri"/>
                      </w:rPr>
                      <m:t>1</m:t>
                    </m:r>
                  </w:ins>
                  <m:ctrlPr>
                    <w:ins w:id="48" w:author="作者">
                      <w:rPr>
                        <w:rFonts w:ascii="Cambria Math" w:hAnsi="Cambria Math" w:eastAsia="Calibri"/>
                        <w:i/>
                        <w:lang w:val="en-GB"/>
                      </w:rPr>
                    </w:ins>
                  </m:ctrlPr>
                </m:sub>
              </m:sSub>
            </m:oMath>
            <w:ins w:id="49" w:author="作者">
              <w:r>
                <w:rPr>
                  <w:rFonts w:eastAsia="Calibri"/>
                </w:rPr>
                <w:t xml:space="preserve"> associated with the SL BWP where </w:t>
              </w:r>
            </w:ins>
            <m:oMath>
              <m:sSub>
                <m:sSubPr>
                  <m:ctrlPr>
                    <w:ins w:id="50" w:author="作者">
                      <w:rPr>
                        <w:rFonts w:ascii="Cambria Math" w:hAnsi="Cambria Math" w:eastAsia="Calibri"/>
                        <w:i/>
                        <w:lang w:val="en-GB"/>
                      </w:rPr>
                    </w:ins>
                  </m:ctrlPr>
                </m:sSubPr>
                <m:e>
                  <w:ins w:id="51" w:author="作者">
                    <m:r>
                      <w:rPr>
                        <w:rFonts w:ascii="Cambria Math" w:hAnsi="Cambria Math" w:eastAsia="Calibri"/>
                      </w:rPr>
                      <m:t>K</m:t>
                    </m:r>
                  </w:ins>
                  <m:ctrlPr>
                    <w:ins w:id="52" w:author="作者">
                      <w:rPr>
                        <w:rFonts w:ascii="Cambria Math" w:hAnsi="Cambria Math" w:eastAsia="Calibri"/>
                        <w:i/>
                        <w:lang w:val="en-GB"/>
                      </w:rPr>
                    </w:ins>
                  </m:ctrlPr>
                </m:e>
                <m:sub>
                  <w:ins w:id="53" w:author="作者">
                    <m:r>
                      <w:rPr>
                        <w:rFonts w:ascii="Cambria Math" w:hAnsi="Cambria Math" w:eastAsia="Calibri"/>
                      </w:rPr>
                      <m:t>1</m:t>
                    </m:r>
                  </w:ins>
                  <m:ctrlPr>
                    <w:ins w:id="54" w:author="作者">
                      <w:rPr>
                        <w:rFonts w:ascii="Cambria Math" w:hAnsi="Cambria Math" w:eastAsia="Calibri"/>
                        <w:i/>
                        <w:lang w:val="en-GB"/>
                      </w:rPr>
                    </w:ins>
                  </m:ctrlPr>
                </m:sub>
              </m:sSub>
            </m:oMath>
            <w:ins w:id="55" w:author="作者">
              <w:r>
                <w:rPr>
                  <w:rFonts w:eastAsia="Calibri"/>
                </w:rPr>
                <w:t xml:space="preserve"> is provided by </w:t>
              </w:r>
            </w:ins>
            <w:ins w:id="56" w:author="作者">
              <w:commentRangeStart w:id="0"/>
              <w:r>
                <w:rPr>
                  <w:rFonts w:eastAsia="Calibri"/>
                  <w:i/>
                </w:rPr>
                <w:t>sl-FeedbackToUL-ACK</w:t>
              </w:r>
              <w:commentRangeEnd w:id="0"/>
            </w:ins>
            <w:r>
              <w:rPr>
                <w:rStyle w:val="58"/>
                <w:rFonts w:eastAsia="Calibri"/>
              </w:rPr>
              <w:commentReference w:id="0"/>
            </w:r>
            <w:ins w:id="57" w:author="作者">
              <w:r>
                <w:rPr>
                  <w:rFonts w:eastAsia="Calibri"/>
                  <w:i/>
                </w:rPr>
                <w:t xml:space="preserve"> </w:t>
              </w:r>
            </w:ins>
            <w:ins w:id="58" w:author="作者">
              <w:r>
                <w:rPr>
                  <w:rFonts w:eastAsia="Calibri"/>
                </w:rPr>
                <w:t xml:space="preserve">for DCI format 3_0 </w:t>
              </w:r>
            </w:ins>
            <w:ins w:id="59" w:author="作者">
              <w:r>
                <w:rPr>
                  <w:rFonts w:eastAsia="Calibri"/>
                  <w:lang w:val="en-GB"/>
                </w:rPr>
                <w:t xml:space="preserve">or by </w:t>
              </w:r>
            </w:ins>
            <w:ins w:id="60" w:author="作者">
              <w:commentRangeStart w:id="1"/>
              <w:r>
                <w:rPr>
                  <w:rFonts w:eastAsia="Calibri"/>
                  <w:i/>
                  <w:iCs/>
                </w:rPr>
                <w:t>sl-ACKToUL-ACK</w:t>
              </w:r>
              <w:commentRangeEnd w:id="1"/>
            </w:ins>
            <w:r>
              <w:rPr>
                <w:rStyle w:val="58"/>
                <w:rFonts w:eastAsia="Calibri"/>
              </w:rPr>
              <w:commentReference w:id="1"/>
            </w:r>
            <w:ins w:id="61" w:author="作者">
              <w:r>
                <w:rPr>
                  <w:rFonts w:eastAsiaTheme="minorEastAsia"/>
                </w:rPr>
                <w:t xml:space="preserve">, the </w:t>
              </w:r>
            </w:ins>
            <w:ins w:id="62" w:author="作者">
              <w:r>
                <w:rPr>
                  <w:rFonts w:eastAsiaTheme="minorEastAsia"/>
                  <w:i/>
                  <w:iCs/>
                </w:rPr>
                <w:t>sl-ACKToUL-ACK</w:t>
              </w:r>
            </w:ins>
            <w:ins w:id="63" w:author="作者">
              <w:r>
                <w:rPr>
                  <w:rFonts w:eastAsiaTheme="minorEastAsia"/>
                </w:rPr>
                <w:t xml:space="preserve"> shall be one of </w:t>
              </w:r>
            </w:ins>
            <w:ins w:id="64" w:author="作者">
              <w:r>
                <w:rPr>
                  <w:rFonts w:eastAsiaTheme="minorEastAsia"/>
                  <w:i/>
                </w:rPr>
                <w:t>sl-FeedbackToUL-ACK</w:t>
              </w:r>
            </w:ins>
            <w:ins w:id="65" w:author="作者">
              <w:r>
                <w:rPr>
                  <w:rFonts w:eastAsiaTheme="minorEastAsia"/>
                </w:rPr>
                <w:t>.</w:t>
              </w:r>
            </w:ins>
          </w:p>
          <w:bookmarkEnd w:id="17"/>
          <w:p>
            <w:pPr>
              <w:spacing w:before="240"/>
              <w:jc w:val="center"/>
              <w:rPr>
                <w:rFonts w:eastAsia="Calibri"/>
                <w:b/>
                <w:color w:val="FF0000"/>
              </w:rPr>
            </w:pPr>
            <w:r>
              <w:rPr>
                <w:rFonts w:eastAsia="Calibri"/>
                <w:b/>
                <w:color w:val="FF0000"/>
              </w:rPr>
              <w:t>&lt;Unchanged parts omitted&gt;</w:t>
            </w:r>
          </w:p>
          <w:p>
            <w:pPr>
              <w:jc w:val="center"/>
              <w:rPr>
                <w:rFonts w:eastAsia="Calibri"/>
                <w:lang w:val="en-GB"/>
              </w:rPr>
            </w:pPr>
            <w:r>
              <w:rPr>
                <w:rFonts w:eastAsia="Calibri"/>
                <w:b/>
                <w:color w:val="FF0000"/>
              </w:rPr>
              <w:t>------------------------------------ End of Text Proposal ------------------------------------</w:t>
            </w:r>
          </w:p>
        </w:tc>
      </w:tr>
    </w:tbl>
    <w:p>
      <w:pPr>
        <w:spacing w:before="240"/>
        <w:rPr>
          <w:b/>
          <w:bCs/>
        </w:rPr>
      </w:pPr>
      <w:r>
        <w:rPr>
          <w:b/>
          <w:bCs/>
        </w:rPr>
        <w:t>FL summary (25/8/2020)</w:t>
      </w:r>
    </w:p>
    <w:p>
      <w:pPr>
        <w:pStyle w:val="133"/>
        <w:numPr>
          <w:ilvl w:val="0"/>
          <w:numId w:val="19"/>
        </w:numPr>
        <w:spacing w:before="240"/>
      </w:pPr>
      <w:r>
        <w:t>I will update the parameter names (as stated in the comments) when the discussion has settled down.</w:t>
      </w:r>
    </w:p>
    <w:p>
      <w:pPr>
        <w:pStyle w:val="133"/>
        <w:numPr>
          <w:ilvl w:val="0"/>
          <w:numId w:val="19"/>
        </w:numPr>
        <w:spacing w:before="240"/>
      </w:pPr>
      <w:r>
        <w:t>There are a couple of companies with concerns, but we need to fix this issue. I think the restriction is quite natural.</w:t>
      </w:r>
    </w:p>
    <w:p>
      <w:pPr>
        <w:spacing w:before="240"/>
        <w:rPr>
          <w:b/>
          <w:bCs/>
        </w:rPr>
      </w:pPr>
      <w:r>
        <w:rPr>
          <w:b/>
          <w:bCs/>
        </w:rPr>
        <w:t>Please provide your views on the TP using the table.</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7E6E6" w:themeFill="background2"/>
          </w:tcPr>
          <w:p>
            <w:pPr>
              <w:jc w:val="center"/>
              <w:rPr>
                <w:rFonts w:eastAsia="Calibri"/>
                <w:b/>
                <w:bCs/>
                <w:lang w:val="en-GB"/>
              </w:rPr>
            </w:pPr>
            <w:r>
              <w:rPr>
                <w:rFonts w:eastAsia="Calibri"/>
                <w:b/>
                <w:bCs/>
                <w:lang w:val="en-GB"/>
              </w:rPr>
              <w:t>Company</w:t>
            </w:r>
          </w:p>
        </w:tc>
        <w:tc>
          <w:tcPr>
            <w:tcW w:w="7933" w:type="dxa"/>
            <w:shd w:val="clear" w:color="auto" w:fill="E7E6E6" w:themeFill="background2"/>
          </w:tcPr>
          <w:p>
            <w:pPr>
              <w:jc w:val="center"/>
              <w:rPr>
                <w:rFonts w:eastAsia="Calibri"/>
                <w:b/>
                <w:bCs/>
                <w:lang w:val="en-GB"/>
              </w:rPr>
            </w:pPr>
            <w:r>
              <w:rPr>
                <w:rFonts w:eastAsia="Calibri"/>
                <w:b/>
                <w:bCs/>
                <w:lang w:val="en-GB"/>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v</w:t>
            </w:r>
            <w:r>
              <w:rPr>
                <w:rFonts w:eastAsia="等线"/>
                <w:lang w:val="en-GB"/>
              </w:rPr>
              <w:t>ivo</w:t>
            </w:r>
          </w:p>
        </w:tc>
        <w:tc>
          <w:tcPr>
            <w:tcW w:w="7933" w:type="dxa"/>
          </w:tcPr>
          <w:p>
            <w:pPr>
              <w:rPr>
                <w:rFonts w:eastAsia="等线"/>
                <w:lang w:val="en-GB"/>
              </w:rPr>
            </w:pPr>
            <w:r>
              <w:rPr>
                <w:rFonts w:eastAsia="等线"/>
                <w:lang w:val="en-GB"/>
              </w:rPr>
              <w:t>vivo-</w:t>
            </w:r>
            <w:r>
              <w:rPr>
                <w:rFonts w:hint="eastAsia" w:eastAsia="等线"/>
                <w:lang w:val="en-GB"/>
              </w:rPr>
              <w:t>2</w:t>
            </w:r>
            <w:r>
              <w:rPr>
                <w:rFonts w:eastAsia="等线"/>
                <w:lang w:val="en-GB"/>
              </w:rPr>
              <w:t>020/8/24</w:t>
            </w:r>
          </w:p>
          <w:p>
            <w:pPr>
              <w:rPr>
                <w:rFonts w:eastAsia="等线"/>
                <w:lang w:val="en-GB"/>
              </w:rPr>
            </w:pPr>
            <w:r>
              <w:rPr>
                <w:rFonts w:eastAsia="等线"/>
                <w:lang w:val="en-GB"/>
              </w:rPr>
              <w:t>Agree with the TP expect the parameter name.</w:t>
            </w:r>
          </w:p>
          <w:p>
            <w:pPr>
              <w:rPr>
                <w:rFonts w:eastAsia="等线"/>
                <w:lang w:val="en-GB"/>
              </w:rPr>
            </w:pPr>
            <w:r>
              <w:rPr>
                <w:rFonts w:eastAsia="等线"/>
                <w:lang w:val="en-GB"/>
              </w:rPr>
              <w:t>W</w:t>
            </w:r>
            <w:r>
              <w:rPr>
                <w:rFonts w:eastAsia="等线"/>
              </w:rPr>
              <w:t>e noticed that</w:t>
            </w:r>
            <w:r>
              <w:rPr>
                <w:rFonts w:eastAsia="等线"/>
                <w:lang w:val="en-GB"/>
              </w:rPr>
              <w:t xml:space="preserve"> the parameter names need to be updated(</w:t>
            </w:r>
            <w:r>
              <w:rPr>
                <w:rFonts w:eastAsia="Calibri"/>
              </w:rPr>
              <w:t xml:space="preserve">sl-FeedbackToUL-ACK is replaced by </w:t>
            </w:r>
            <w:r>
              <w:rPr>
                <w:rFonts w:eastAsia="Calibri"/>
                <w:color w:val="FF0000"/>
              </w:rPr>
              <w:t>sl-PSFCH-ToPUCCH-r16</w:t>
            </w:r>
            <w:r>
              <w:rPr>
                <w:rFonts w:eastAsia="Calibri"/>
              </w:rPr>
              <w:t xml:space="preserve"> and sl-ACKToUL-ACK is replaced by </w:t>
            </w:r>
            <w:r>
              <w:rPr>
                <w:rFonts w:eastAsia="Calibri"/>
                <w:color w:val="FF0000"/>
              </w:rPr>
              <w:t xml:space="preserve">sl-PSFCH-ToPUCCH-CG-Type1-r16 </w:t>
            </w:r>
            <w:r>
              <w:rPr>
                <w:rFonts w:eastAsia="Calibri"/>
              </w:rPr>
              <w:t>according to TS 38.331 g10</w:t>
            </w:r>
            <w:r>
              <w:rPr>
                <w:rFonts w:eastAsia="等线"/>
                <w:lang w:val="en-GB"/>
              </w:rPr>
              <w:t>) so the parameter names in the TP need to be updated as below:</w:t>
            </w:r>
          </w:p>
          <w:p>
            <w:pPr>
              <w:spacing w:before="120" w:after="120"/>
              <w:rPr>
                <w:rFonts w:eastAsia="等线"/>
                <w:b/>
                <w:szCs w:val="20"/>
              </w:rPr>
            </w:pPr>
            <w:ins w:id="66" w:author="作者">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ins>
            <w:ins w:id="67" w:author="作者">
              <w:r>
                <w:rPr>
                  <w:rFonts w:eastAsia="Calibri"/>
                </w:rPr>
                <w:t xml:space="preserve">a set of slot timing values </w:t>
              </w:r>
            </w:ins>
            <m:oMath>
              <m:sSub>
                <m:sSubPr>
                  <m:ctrlPr>
                    <w:ins w:id="68" w:author="作者">
                      <w:rPr>
                        <w:rFonts w:ascii="Cambria Math" w:hAnsi="Cambria Math" w:eastAsia="Calibri"/>
                        <w:i/>
                        <w:lang w:val="en-GB"/>
                      </w:rPr>
                    </w:ins>
                  </m:ctrlPr>
                </m:sSubPr>
                <m:e>
                  <w:ins w:id="69" w:author="作者">
                    <m:r>
                      <w:rPr>
                        <w:rFonts w:ascii="Cambria Math" w:hAnsi="Cambria Math" w:eastAsia="Calibri"/>
                      </w:rPr>
                      <m:t>K</m:t>
                    </m:r>
                  </w:ins>
                  <m:ctrlPr>
                    <w:ins w:id="70" w:author="作者">
                      <w:rPr>
                        <w:rFonts w:ascii="Cambria Math" w:hAnsi="Cambria Math" w:eastAsia="Calibri"/>
                        <w:i/>
                        <w:lang w:val="en-GB"/>
                      </w:rPr>
                    </w:ins>
                  </m:ctrlPr>
                </m:e>
                <m:sub>
                  <w:ins w:id="71" w:author="作者">
                    <m:r>
                      <w:rPr>
                        <w:rFonts w:ascii="Cambria Math" w:hAnsi="Cambria Math" w:eastAsia="Calibri"/>
                      </w:rPr>
                      <m:t>1</m:t>
                    </m:r>
                  </w:ins>
                  <m:ctrlPr>
                    <w:ins w:id="72" w:author="作者">
                      <w:rPr>
                        <w:rFonts w:ascii="Cambria Math" w:hAnsi="Cambria Math" w:eastAsia="Calibri"/>
                        <w:i/>
                        <w:lang w:val="en-GB"/>
                      </w:rPr>
                    </w:ins>
                  </m:ctrlPr>
                </m:sub>
              </m:sSub>
            </m:oMath>
            <w:ins w:id="73" w:author="作者">
              <w:r>
                <w:rPr>
                  <w:rFonts w:eastAsia="Calibri"/>
                </w:rPr>
                <w:t xml:space="preserve"> associated with the SL BWP where </w:t>
              </w:r>
            </w:ins>
            <m:oMath>
              <m:sSub>
                <m:sSubPr>
                  <m:ctrlPr>
                    <w:ins w:id="74" w:author="作者">
                      <w:rPr>
                        <w:rFonts w:ascii="Cambria Math" w:hAnsi="Cambria Math" w:eastAsia="Calibri"/>
                        <w:i/>
                        <w:lang w:val="en-GB"/>
                      </w:rPr>
                    </w:ins>
                  </m:ctrlPr>
                </m:sSubPr>
                <m:e>
                  <w:ins w:id="75" w:author="作者">
                    <m:r>
                      <w:rPr>
                        <w:rFonts w:ascii="Cambria Math" w:hAnsi="Cambria Math" w:eastAsia="Calibri"/>
                      </w:rPr>
                      <m:t>K</m:t>
                    </m:r>
                  </w:ins>
                  <m:ctrlPr>
                    <w:ins w:id="76" w:author="作者">
                      <w:rPr>
                        <w:rFonts w:ascii="Cambria Math" w:hAnsi="Cambria Math" w:eastAsia="Calibri"/>
                        <w:i/>
                        <w:lang w:val="en-GB"/>
                      </w:rPr>
                    </w:ins>
                  </m:ctrlPr>
                </m:e>
                <m:sub>
                  <w:ins w:id="77" w:author="作者">
                    <m:r>
                      <w:rPr>
                        <w:rFonts w:ascii="Cambria Math" w:hAnsi="Cambria Math" w:eastAsia="Calibri"/>
                      </w:rPr>
                      <m:t>1</m:t>
                    </m:r>
                  </w:ins>
                  <m:ctrlPr>
                    <w:ins w:id="78" w:author="作者">
                      <w:rPr>
                        <w:rFonts w:ascii="Cambria Math" w:hAnsi="Cambria Math" w:eastAsia="Calibri"/>
                        <w:i/>
                        <w:lang w:val="en-GB"/>
                      </w:rPr>
                    </w:ins>
                  </m:ctrlPr>
                </m:sub>
              </m:sSub>
            </m:oMath>
            <w:ins w:id="79" w:author="作者">
              <w:r>
                <w:rPr>
                  <w:rFonts w:eastAsia="Calibri"/>
                </w:rPr>
                <w:t xml:space="preserve"> is provided by </w:t>
              </w:r>
            </w:ins>
            <w:r>
              <w:rPr>
                <w:rFonts w:eastAsia="Calibri"/>
                <w:i/>
                <w:color w:val="FF0000"/>
              </w:rPr>
              <w:t>sl-PSFCH-ToPUCCH</w:t>
            </w:r>
            <w:ins w:id="80" w:author="作者">
              <w:r>
                <w:rPr>
                  <w:rFonts w:eastAsia="Calibri"/>
                  <w:i/>
                </w:rPr>
                <w:t xml:space="preserve"> </w:t>
              </w:r>
            </w:ins>
            <w:ins w:id="81" w:author="作者">
              <w:r>
                <w:rPr>
                  <w:rFonts w:eastAsia="Calibri"/>
                </w:rPr>
                <w:t xml:space="preserve">for DCI format 3_0 </w:t>
              </w:r>
            </w:ins>
            <w:ins w:id="82" w:author="作者">
              <w:r>
                <w:rPr>
                  <w:rFonts w:eastAsia="Calibri"/>
                  <w:lang w:val="en-GB"/>
                </w:rPr>
                <w:t xml:space="preserve">or by </w:t>
              </w:r>
            </w:ins>
            <w:r>
              <w:rPr>
                <w:rFonts w:eastAsia="Calibri"/>
                <w:i/>
                <w:iCs/>
              </w:rPr>
              <w:t>sl-</w:t>
            </w:r>
            <w:r>
              <w:rPr>
                <w:rFonts w:eastAsia="Calibri"/>
                <w:i/>
                <w:iCs/>
                <w:color w:val="FF0000"/>
              </w:rPr>
              <w:t>PSFCH-ToPUCCH -CG-Type1</w:t>
            </w:r>
            <w:ins w:id="83" w:author="作者">
              <w:r>
                <w:rPr>
                  <w:rFonts w:eastAsiaTheme="minorEastAsia"/>
                </w:rPr>
                <w:t xml:space="preserve">, the </w:t>
              </w:r>
            </w:ins>
            <w:r>
              <w:rPr>
                <w:rFonts w:eastAsiaTheme="minorEastAsia"/>
                <w:i/>
                <w:iCs/>
                <w:color w:val="FF0000"/>
              </w:rPr>
              <w:t>sl-PSFCH-ToPUCCH -CG-Type1</w:t>
            </w:r>
            <w:r>
              <w:rPr>
                <w:rFonts w:eastAsiaTheme="minorEastAsia"/>
                <w:i/>
                <w:iCs/>
              </w:rPr>
              <w:t xml:space="preserve"> </w:t>
            </w:r>
            <w:ins w:id="84" w:author="作者">
              <w:r>
                <w:rPr>
                  <w:rFonts w:eastAsiaTheme="minorEastAsia"/>
                </w:rPr>
                <w:t xml:space="preserve">shall be one of </w:t>
              </w:r>
            </w:ins>
            <w:r>
              <w:rPr>
                <w:rFonts w:eastAsiaTheme="minorEastAsia"/>
                <w:i/>
                <w:color w:val="FF0000"/>
              </w:rPr>
              <w:t>sl-PSFCH-ToPUCCH</w:t>
            </w:r>
            <w:ins w:id="85" w:author="作者">
              <w:r>
                <w:rPr>
                  <w:rFonts w:eastAsiaTheme="minorEastAsia"/>
                  <w:color w:val="FF0000"/>
                </w:rPr>
                <w:t>.</w:t>
              </w:r>
            </w:ins>
          </w:p>
          <w:p>
            <w:pPr>
              <w:pStyle w:val="78"/>
              <w:rPr>
                <w:rFonts w:ascii="Arial" w:hAnsi="Arial" w:eastAsia="Calibri" w:cs="Times New Roman"/>
                <w:b/>
                <w:bCs/>
                <w:i/>
                <w:iCs/>
                <w:color w:val="FF0000"/>
                <w:szCs w:val="20"/>
              </w:rPr>
            </w:pPr>
            <w:r>
              <w:rPr>
                <w:rFonts w:eastAsia="Calibri"/>
                <w:b/>
                <w:bCs/>
                <w:i/>
                <w:iCs/>
                <w:color w:val="FF0000"/>
              </w:rPr>
              <w:t>sl-PSFCH-ToPUCCH</w:t>
            </w:r>
          </w:p>
          <w:p>
            <w:pPr>
              <w:rPr>
                <w:rFonts w:eastAsia="Calibri"/>
              </w:rPr>
            </w:pPr>
            <w:r>
              <w:rPr>
                <w:rFonts w:eastAsia="Calibri"/>
              </w:rPr>
              <w:t>For dynamic grant and configured grant type 2, configure the values of the PSFCH to PUCCH gap. The field PSFCH-to-HARQ_feedback timing indicator in DCI format 3_0 selects one of the configured values of the PSFCH to PUCCH gap.</w:t>
            </w:r>
          </w:p>
          <w:p>
            <w:pPr>
              <w:pStyle w:val="78"/>
              <w:rPr>
                <w:rFonts w:ascii="Arial" w:hAnsi="Arial" w:eastAsia="Calibri" w:cs="Times New Roman"/>
                <w:b/>
                <w:bCs/>
                <w:i/>
                <w:iCs/>
                <w:color w:val="FF0000"/>
                <w:szCs w:val="20"/>
                <w:lang w:eastAsia="sv-SE"/>
              </w:rPr>
            </w:pPr>
            <w:r>
              <w:rPr>
                <w:rFonts w:eastAsia="Calibri"/>
                <w:b/>
                <w:bCs/>
                <w:i/>
                <w:iCs/>
                <w:color w:val="FF0000"/>
                <w:lang w:eastAsia="sv-SE"/>
              </w:rPr>
              <w:t>sl-PSFCH-ToPUCCH</w:t>
            </w:r>
            <w:r>
              <w:rPr>
                <w:rFonts w:eastAsia="Calibri" w:cs="Arial"/>
                <w:b/>
                <w:bCs/>
                <w:i/>
                <w:iCs/>
                <w:color w:val="FF0000"/>
              </w:rPr>
              <w:t xml:space="preserve"> -CG-Type1</w:t>
            </w:r>
          </w:p>
          <w:p>
            <w:pPr>
              <w:rPr>
                <w:rFonts w:eastAsia="Calibri"/>
                <w:lang w:eastAsia="sv-SE"/>
              </w:rPr>
            </w:pPr>
            <w:r>
              <w:rPr>
                <w:rFonts w:eastAsia="Calibri"/>
                <w:lang w:eastAsia="sv-SE"/>
              </w:rPr>
              <w:t>This field</w:t>
            </w:r>
            <w:r>
              <w:rPr>
                <w:rFonts w:eastAsia="Calibri" w:cs="Arial"/>
              </w:rPr>
              <w:t>,</w:t>
            </w:r>
            <w:r>
              <w:rPr>
                <w:rFonts w:eastAsia="Calibri"/>
              </w:rPr>
              <w:t xml:space="preserve"> </w:t>
            </w:r>
            <w:r>
              <w:rPr>
                <w:rFonts w:eastAsia="Calibri" w:cs="Arial"/>
              </w:rPr>
              <w:t>for configured grant type 1,</w:t>
            </w:r>
            <w:r>
              <w:rPr>
                <w:rFonts w:eastAsia="Calibri"/>
                <w:lang w:eastAsia="sv-SE"/>
              </w:rPr>
              <w:t xml:space="preserve"> indicates slot offset between the PSFCH associated with the last PSSCH resource of each period and the PUCCH occasion used for reporting sidelink HARQ.</w:t>
            </w:r>
          </w:p>
          <w:p>
            <w:pPr>
              <w:rPr>
                <w:rFonts w:eastAsia="Calibri"/>
                <w:color w:val="FF0000"/>
              </w:rPr>
            </w:pPr>
          </w:p>
          <w:p>
            <w:pPr>
              <w:rPr>
                <w:rFonts w:eastAsiaTheme="minorEastAsia"/>
              </w:rPr>
            </w:pPr>
            <w:r>
              <w:rPr>
                <w:rFonts w:eastAsiaTheme="minorEastAsia"/>
              </w:rPr>
              <w:t xml:space="preserve">According to current spec, the K_1 set associated with a type codebook may include K_1-DG for DG and CG type2, and K_1-CG-type1 for CG </w:t>
            </w:r>
            <w:r>
              <w:rPr>
                <w:rFonts w:hint="eastAsia" w:eastAsiaTheme="minorEastAsia"/>
              </w:rPr>
              <w:t>type</w:t>
            </w:r>
            <w:r>
              <w:rPr>
                <w:rFonts w:eastAsiaTheme="minorEastAsia"/>
              </w:rPr>
              <w:t>1, if both type1 CG and DCI format 3_0 are configured/scheduled.</w:t>
            </w:r>
          </w:p>
          <w:p>
            <w:pPr>
              <w:pStyle w:val="15"/>
              <w:spacing w:before="120"/>
              <w:rPr>
                <w:rFonts w:eastAsiaTheme="minorEastAsia"/>
              </w:rPr>
            </w:pPr>
            <w:r>
              <w:rPr>
                <w:rFonts w:eastAsiaTheme="minorEastAsia"/>
              </w:rPr>
              <w:t xml:space="preserve">If the PUCCH of a CG type1 and a PUCCH for </w:t>
            </w:r>
            <w:r>
              <w:rPr>
                <w:rFonts w:hint="eastAsia" w:eastAsiaTheme="minorEastAsia"/>
              </w:rPr>
              <w:t xml:space="preserve">a </w:t>
            </w:r>
            <w:r>
              <w:rPr>
                <w:rFonts w:eastAsiaTheme="minorEastAsia"/>
              </w:rPr>
              <w:t xml:space="preserve">DG satisfy the multiplex condition, the HARQ-ACKs for CG type-1 and DG will be multiplexed and transmitted on the same PUCCH simultaneously. The K_1 set for codebook construction, in this case, is the union of {K_1-DG, K_1-CG-type1}. If the collision does not happen, then K_1 set for PUCCH on DG includes K_1-DG only. </w:t>
            </w:r>
          </w:p>
          <w:p>
            <w:pPr>
              <w:rPr>
                <w:rFonts w:eastAsiaTheme="minorEastAsia"/>
              </w:rPr>
            </w:pPr>
            <w:r>
              <w:rPr>
                <w:rFonts w:eastAsiaTheme="minorEastAsia"/>
              </w:rPr>
              <w:t>In other words, the K_1 value set associated with a type1 codebook varies with multiplexing between CG type-1 PUCCH and DG PUCCH, in this case, resulted HARQ-ACK codebook size changes dynamically which violates the original intention of using type1 HARQ-ACK codebook. An example is shown below:</w:t>
            </w:r>
          </w:p>
          <w:p>
            <w:pPr>
              <w:rPr>
                <w:rFonts w:eastAsia="等线"/>
              </w:rPr>
            </w:pPr>
            <w:r>
              <w:rPr>
                <w:rFonts w:eastAsia="等线"/>
              </w:rPr>
              <w:t xml:space="preserve">Case1. </w:t>
            </w:r>
            <w:r>
              <w:rPr>
                <w:rFonts w:hint="eastAsia" w:eastAsia="等线"/>
              </w:rPr>
              <w:t>K</w:t>
            </w:r>
            <w:r>
              <w:rPr>
                <w:rFonts w:eastAsia="等线"/>
              </w:rPr>
              <w:t xml:space="preserve">_1 </w:t>
            </w:r>
            <w:r>
              <w:rPr>
                <w:rFonts w:hint="eastAsia" w:eastAsia="等线"/>
              </w:rPr>
              <w:t>set</w:t>
            </w:r>
            <w:r>
              <w:rPr>
                <w:rFonts w:eastAsia="等线"/>
              </w:rPr>
              <w:t xml:space="preserve"> </w:t>
            </w:r>
            <w:r>
              <w:rPr>
                <w:rFonts w:hint="eastAsia" w:eastAsia="等线"/>
              </w:rPr>
              <w:t>r</w:t>
            </w:r>
            <w:r>
              <w:rPr>
                <w:rFonts w:eastAsia="等线"/>
              </w:rPr>
              <w:t xml:space="preserve">elated to type1 codebook is (1,2,3,4) </w:t>
            </w:r>
            <w:r>
              <w:rPr>
                <w:rFonts w:hint="eastAsia" w:eastAsia="等线"/>
              </w:rPr>
              <w:t>due</w:t>
            </w:r>
            <w:r>
              <w:rPr>
                <w:rFonts w:eastAsia="等线"/>
              </w:rPr>
              <w:t xml:space="preserve"> </w:t>
            </w:r>
            <w:r>
              <w:rPr>
                <w:rFonts w:hint="eastAsia" w:eastAsia="等线"/>
              </w:rPr>
              <w:t>to</w:t>
            </w:r>
            <w:r>
              <w:rPr>
                <w:rFonts w:eastAsia="等线"/>
              </w:rPr>
              <w:t xml:space="preserve"> the multiplexing between HARQ-ACK corresponding to CG type1 and HARQ-ACK corresponding to DG </w:t>
            </w:r>
          </w:p>
          <w:p>
            <w:pPr>
              <w:rPr>
                <w:rFonts w:eastAsia="等线"/>
              </w:rPr>
            </w:pPr>
            <w:r>
              <w:rPr>
                <w:rFonts w:eastAsia="等线"/>
              </w:rPr>
              <w:t xml:space="preserve">Case2. </w:t>
            </w:r>
            <w:r>
              <w:rPr>
                <w:rFonts w:hint="eastAsia" w:eastAsia="等线"/>
              </w:rPr>
              <w:t>K</w:t>
            </w:r>
            <w:r>
              <w:rPr>
                <w:rFonts w:eastAsia="等线"/>
              </w:rPr>
              <w:t xml:space="preserve">_1 </w:t>
            </w:r>
            <w:r>
              <w:rPr>
                <w:rFonts w:hint="eastAsia" w:eastAsia="等线"/>
              </w:rPr>
              <w:t>set</w:t>
            </w:r>
            <w:r>
              <w:rPr>
                <w:rFonts w:eastAsia="等线"/>
              </w:rPr>
              <w:t xml:space="preserve"> </w:t>
            </w:r>
            <w:r>
              <w:rPr>
                <w:rFonts w:hint="eastAsia" w:eastAsia="等线"/>
              </w:rPr>
              <w:t>r</w:t>
            </w:r>
            <w:r>
              <w:rPr>
                <w:rFonts w:eastAsia="等线"/>
              </w:rPr>
              <w:t xml:space="preserve">elated to type1 codebook is (1,2,3) for DG only case </w:t>
            </w:r>
          </w:p>
          <w:p>
            <w:pPr>
              <w:rPr>
                <w:rFonts w:eastAsiaTheme="minorEastAsia"/>
              </w:rPr>
            </w:pPr>
            <w:r>
              <w:rPr>
                <w:rFonts w:eastAsiaTheme="minorEastAsia"/>
                <w:sz w:val="20"/>
              </w:rPr>
              <w:object>
                <v:shape id="_x0000_i1025" o:spt="75" type="#_x0000_t75" style="height:217.6pt;width:369.15pt;" o:ole="t" filled="f" o:preferrelative="t" stroked="f" coordsize="21600,21600">
                  <v:path/>
                  <v:fill on="f" focussize="0,0"/>
                  <v:stroke on="f" joinstyle="miter"/>
                  <v:imagedata r:id="rId7" cropright="-66119f" cropbottom="-70230f" o:title=""/>
                  <o:lock v:ext="edit" aspectratio="t"/>
                  <w10:wrap type="none"/>
                  <w10:anchorlock/>
                </v:shape>
                <o:OLEObject Type="Embed" ProgID="Visio.Drawing.15" ShapeID="_x0000_i1025" DrawAspect="Content" ObjectID="_1468075725" r:id="rId6">
                  <o:LockedField>false</o:LockedField>
                </o:OLEObject>
              </w:object>
            </w:r>
          </w:p>
          <w:p>
            <w:pPr>
              <w:rPr>
                <w:rFonts w:eastAsia="等线"/>
              </w:rPr>
            </w:pPr>
            <w:r>
              <w:rPr>
                <w:rFonts w:eastAsiaTheme="minorEastAsia"/>
              </w:rPr>
              <w:t>To avoid a dynamically changed type1 codebook size , K_1-DG for type2 CG and DG should include the K_1 value represented by K_1-CG-type1 for type1 CG if UE is configured with CG type1 as well as monitoring of DCI format 3_0.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Yu Mincho"/>
                <w:lang w:val="en-GB"/>
              </w:rPr>
            </w:pPr>
            <w:r>
              <w:rPr>
                <w:rFonts w:hint="eastAsia" w:eastAsia="Yu Mincho"/>
                <w:lang w:val="en-GB"/>
              </w:rPr>
              <w:t>NTT DOCOMO</w:t>
            </w:r>
          </w:p>
        </w:tc>
        <w:tc>
          <w:tcPr>
            <w:tcW w:w="7933" w:type="dxa"/>
          </w:tcPr>
          <w:p>
            <w:pPr>
              <w:rPr>
                <w:rFonts w:eastAsia="Yu Mincho"/>
                <w:lang w:val="en-GB"/>
              </w:rPr>
            </w:pPr>
            <w:r>
              <w:rPr>
                <w:rFonts w:eastAsia="Yu Mincho"/>
                <w:lang w:val="en-GB"/>
              </w:rPr>
              <w:t>We are not sure why such restriction is necessary.</w:t>
            </w:r>
          </w:p>
          <w:p>
            <w:pPr>
              <w:rPr>
                <w:rFonts w:eastAsia="Yu Mincho"/>
                <w:lang w:val="en-GB"/>
              </w:rPr>
            </w:pPr>
            <w:r>
              <w:rPr>
                <w:rFonts w:eastAsia="Yu Mincho"/>
                <w:lang w:val="en-GB"/>
              </w:rPr>
              <w:t>Uu does not have such restriction. For SL, the same mechanism should be fine. Or, is there any difference between Uu and SL? In this case, rather than such restriction, SL should follow Uu mechanism with some update to remove the difference, which is previous RAN1 agreement.</w:t>
            </w:r>
          </w:p>
          <w:p>
            <w:pPr>
              <w:rPr>
                <w:rFonts w:eastAsia="Yu Mincho"/>
                <w:color w:val="FF0000"/>
                <w:lang w:val="en-GB"/>
              </w:rPr>
            </w:pPr>
            <w:r>
              <w:rPr>
                <w:rFonts w:eastAsia="Yu Mincho"/>
                <w:color w:val="FF0000"/>
                <w:lang w:val="en-GB"/>
              </w:rPr>
              <w:t>FL reply (25/8/2020)</w:t>
            </w:r>
          </w:p>
          <w:p>
            <w:pPr>
              <w:rPr>
                <w:rFonts w:eastAsia="Yu Mincho"/>
                <w:color w:val="FF0000"/>
                <w:lang w:val="en-GB"/>
              </w:rPr>
            </w:pPr>
            <w:r>
              <w:rPr>
                <w:rFonts w:eastAsia="Yu Mincho"/>
                <w:color w:val="FF0000"/>
                <w:lang w:val="en-GB"/>
              </w:rPr>
              <w:t>In Uu we do not have this problem because SPS is not configured with RRC only. I honestly do not think that the restriction is that bad given that it means that CG type-1 and CG type-2 share the same values.</w:t>
            </w:r>
          </w:p>
          <w:p>
            <w:pPr>
              <w:rPr>
                <w:rFonts w:eastAsia="Yu Mincho"/>
                <w:color w:val="FF0000"/>
                <w:lang w:val="en-GB"/>
              </w:rPr>
            </w:pPr>
            <w:r>
              <w:rPr>
                <w:rFonts w:hint="eastAsia" w:eastAsia="Yu Mincho"/>
                <w:color w:val="4472C4" w:themeColor="accent1"/>
                <w:lang w:val="en-GB"/>
                <w14:textFill>
                  <w14:solidFill>
                    <w14:schemeClr w14:val="accent1"/>
                  </w14:solidFill>
                </w14:textFill>
              </w:rPr>
              <w:t xml:space="preserve">[DCM2] </w:t>
            </w:r>
            <w:r>
              <w:rPr>
                <w:rFonts w:eastAsia="Yu Mincho"/>
                <w:color w:val="4472C4" w:themeColor="accent1"/>
                <w:lang w:val="en-GB"/>
                <w14:textFill>
                  <w14:solidFill>
                    <w14:schemeClr w14:val="accent1"/>
                  </w14:solidFill>
                </w14:textFill>
              </w:rPr>
              <w:t>I see the intention. Then we are fine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hint="eastAsia" w:eastAsia="等线"/>
                <w:lang w:val="en-GB"/>
              </w:rPr>
              <w:t>S</w:t>
            </w:r>
            <w:r>
              <w:rPr>
                <w:rFonts w:eastAsia="等线"/>
                <w:lang w:val="en-GB"/>
              </w:rPr>
              <w:t>harp</w:t>
            </w:r>
          </w:p>
        </w:tc>
        <w:tc>
          <w:tcPr>
            <w:tcW w:w="7933" w:type="dxa"/>
          </w:tcPr>
          <w:p>
            <w:pPr>
              <w:rPr>
                <w:rFonts w:eastAsia="等线"/>
                <w:lang w:val="en-GB"/>
              </w:rPr>
            </w:pPr>
            <w:r>
              <w:rPr>
                <w:rFonts w:hint="eastAsia" w:eastAsia="等线"/>
                <w:lang w:val="en-GB"/>
              </w:rPr>
              <w:t>W</w:t>
            </w:r>
            <w:r>
              <w:rPr>
                <w:rFonts w:eastAsia="等线"/>
                <w:lang w:val="en-GB"/>
              </w:rPr>
              <w:t>e agree the definition of the set “K_1” is not fully clear (“</w:t>
            </w:r>
            <m:oMath>
              <m:sSub>
                <m:sSubPr>
                  <m:ctrlPr>
                    <w:rPr>
                      <w:rFonts w:ascii="Cambria Math" w:hAnsi="Cambria Math" w:eastAsia="Calibri"/>
                      <w:i/>
                      <w:lang w:val="en-GB"/>
                    </w:rPr>
                  </m:ctrlPr>
                </m:sSubPr>
                <m:e>
                  <m:r>
                    <w:rPr>
                      <w:rFonts w:ascii="Cambria Math" w:hAnsi="Cambria Math" w:eastAsia="Calibri"/>
                    </w:rPr>
                    <m:t>K</m:t>
                  </m:r>
                  <m:ctrlPr>
                    <w:rPr>
                      <w:rFonts w:ascii="Cambria Math" w:hAnsi="Cambria Math" w:eastAsia="Calibri"/>
                      <w:i/>
                      <w:lang w:val="en-GB"/>
                    </w:rPr>
                  </m:ctrlPr>
                </m:e>
                <m:sub>
                  <m:r>
                    <w:rPr>
                      <w:rFonts w:ascii="Cambria Math" w:hAnsi="Cambria Math" w:eastAsia="Calibri"/>
                    </w:rPr>
                    <m:t>1</m:t>
                  </m:r>
                  <m:ctrlPr>
                    <w:rPr>
                      <w:rFonts w:ascii="Cambria Math" w:hAnsi="Cambria Math" w:eastAsia="Calibri"/>
                      <w:i/>
                      <w:lang w:val="en-GB"/>
                    </w:rPr>
                  </m:ctrlPr>
                </m:sub>
              </m:sSub>
            </m:oMath>
            <w:r>
              <w:rPr>
                <w:rFonts w:eastAsia="Calibri"/>
              </w:rPr>
              <w:t xml:space="preserve"> is provided by </w:t>
            </w:r>
            <w:r>
              <w:rPr>
                <w:rFonts w:eastAsia="Calibri"/>
                <w:i/>
              </w:rPr>
              <w:t xml:space="preserve">sl-FeedbackToUL-ACK </w:t>
            </w:r>
            <w:r>
              <w:rPr>
                <w:rFonts w:eastAsia="Calibri"/>
              </w:rPr>
              <w:t xml:space="preserve">for DCI format 3_0 </w:t>
            </w:r>
            <w:r>
              <w:rPr>
                <w:rFonts w:eastAsia="Calibri"/>
                <w:lang w:val="en-GB"/>
              </w:rPr>
              <w:t xml:space="preserve">or by </w:t>
            </w:r>
            <w:r>
              <w:rPr>
                <w:rFonts w:eastAsia="Calibri"/>
                <w:i/>
                <w:iCs/>
              </w:rPr>
              <w:t>sl-ACKToUL-ACK</w:t>
            </w:r>
            <w:r>
              <w:rPr>
                <w:rFonts w:eastAsia="等线"/>
                <w:lang w:val="en-GB"/>
              </w:rPr>
              <w:t>”) when both DG and CGs are applicable, but the place to fix this should be the place where “K_1”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Huawei, HiSilicon</w:t>
            </w:r>
          </w:p>
        </w:tc>
        <w:tc>
          <w:tcPr>
            <w:tcW w:w="7933" w:type="dxa"/>
          </w:tcPr>
          <w:p>
            <w:pPr>
              <w:rPr>
                <w:rFonts w:eastAsia="Calibri"/>
                <w:lang w:val="en-GB"/>
              </w:rPr>
            </w:pPr>
            <w:r>
              <w:rPr>
                <w:rFonts w:eastAsia="Calibri"/>
                <w:lang w:val="en-GB"/>
              </w:rPr>
              <w:t>We have sympathy with DCM. In our previous agreement, we designed this part using Rel-15 NR Uu Type-1 codebook as the baseline, and we have not seen any adttional issue beyond NR Uu yet. On the other hand, the CG configuration is up to gNB, it may be configured or not, so the codebook size is not always kept unchanged.</w:t>
            </w:r>
          </w:p>
          <w:p>
            <w:pPr>
              <w:rPr>
                <w:rFonts w:eastAsia="Yu Mincho"/>
                <w:color w:val="FF0000"/>
                <w:lang w:val="en-GB"/>
              </w:rPr>
            </w:pPr>
            <w:r>
              <w:rPr>
                <w:rFonts w:eastAsia="Yu Mincho"/>
                <w:color w:val="FF0000"/>
                <w:lang w:val="en-GB"/>
              </w:rPr>
              <w:t>FL reply (25/8/2020):</w:t>
            </w:r>
          </w:p>
          <w:p>
            <w:pPr>
              <w:rPr>
                <w:rFonts w:eastAsia="Calibri"/>
                <w:color w:val="FF0000"/>
                <w:lang w:val="en-GB"/>
              </w:rPr>
            </w:pPr>
            <w:r>
              <w:rPr>
                <w:rFonts w:eastAsia="Calibri"/>
                <w:color w:val="FF0000"/>
                <w:lang w:val="en-GB"/>
              </w:rPr>
              <w:t>See my reply to DCM</w:t>
            </w:r>
          </w:p>
          <w:p>
            <w:pPr>
              <w:rPr>
                <w:rFonts w:eastAsia="Yu Mincho"/>
                <w:color w:val="002060"/>
                <w:lang w:val="en-GB"/>
              </w:rPr>
            </w:pPr>
            <w:r>
              <w:rPr>
                <w:rFonts w:eastAsia="Yu Mincho"/>
                <w:color w:val="002060"/>
                <w:lang w:val="en-GB"/>
              </w:rPr>
              <w:t>[Vivo</w:t>
            </w:r>
            <w:r>
              <w:rPr>
                <w:rFonts w:hint="eastAsia" w:ascii="等线" w:hAnsi="等线" w:eastAsia="等线"/>
                <w:color w:val="002060"/>
                <w:lang w:val="en-GB"/>
              </w:rPr>
              <w:t>-</w:t>
            </w:r>
            <w:r>
              <w:rPr>
                <w:rFonts w:eastAsia="Yu Mincho"/>
                <w:color w:val="002060"/>
                <w:lang w:val="en-GB"/>
              </w:rPr>
              <w:t>25/8/2020]</w:t>
            </w:r>
          </w:p>
          <w:p>
            <w:pPr>
              <w:rPr>
                <w:rFonts w:eastAsia="等线"/>
                <w:color w:val="002060"/>
                <w:lang w:val="en-GB"/>
              </w:rPr>
            </w:pPr>
            <w:r>
              <w:rPr>
                <w:rFonts w:eastAsia="等线"/>
                <w:color w:val="002060"/>
                <w:lang w:val="en-GB"/>
              </w:rPr>
              <w:t>As pointed in our previous comments, the issue is that SL type-1 HARQ-ACK codebook size which is expected to be semi-static overtime changes dynamically according to current spec.</w:t>
            </w:r>
          </w:p>
          <w:p>
            <w:pPr>
              <w:rPr>
                <w:rFonts w:hint="eastAsia" w:eastAsia="等线"/>
                <w:color w:val="002060"/>
                <w:lang w:val="en-US" w:eastAsia="zh-CN"/>
              </w:rPr>
            </w:pPr>
            <w:r>
              <w:rPr>
                <w:rFonts w:eastAsia="等线"/>
                <w:color w:val="002060"/>
                <w:lang w:val="en-GB"/>
              </w:rPr>
              <w:t>For the type1 codebook case, SL DCI does not carry SAI</w:t>
            </w:r>
            <w:r>
              <w:rPr>
                <w:rFonts w:hint="eastAsia" w:eastAsia="等线"/>
                <w:color w:val="002060"/>
                <w:lang w:val="en-GB"/>
              </w:rPr>
              <w:t>,</w:t>
            </w:r>
            <w:r>
              <w:rPr>
                <w:rFonts w:eastAsia="等线"/>
                <w:color w:val="002060"/>
                <w:lang w:val="en-GB"/>
              </w:rPr>
              <w:t xml:space="preserve"> </w:t>
            </w:r>
            <w:r>
              <w:rPr>
                <w:rFonts w:hint="eastAsia" w:eastAsia="等线"/>
                <w:color w:val="002060"/>
                <w:lang w:val="en-GB"/>
              </w:rPr>
              <w:t>which</w:t>
            </w:r>
            <w:r>
              <w:rPr>
                <w:rFonts w:eastAsia="等线"/>
                <w:color w:val="002060"/>
                <w:lang w:val="en-GB"/>
              </w:rPr>
              <w:t xml:space="preserve"> means UE is not able to identify how many DCI have been missed and how many DCI haven been transmitted by gnb in this case. Then, if we do not introduce such restriction and allow a dynamically changing type-1 codebook size, PUCCH reliability will be negatively impacted because when UE missed some SL DCI, it is not able to derive the original codebook size and gnb may fail to decode the PUCCH.</w:t>
            </w:r>
            <w:r>
              <w:rPr>
                <w:rFonts w:hint="eastAsia" w:eastAsia="等线"/>
                <w:color w:val="002060"/>
                <w:lang w:val="en-US" w:eastAsia="zh-CN"/>
              </w:rPr>
              <w:t xml:space="preserve"> </w:t>
            </w:r>
            <w:r>
              <w:rPr>
                <w:rFonts w:hint="eastAsia" w:eastAsia="等线"/>
                <w:color w:val="7030A0"/>
                <w:lang w:val="en-US" w:eastAsia="zh-CN"/>
              </w:rPr>
              <w:t>For example, assuming that PUCCH of a CG type1 and PUCCH of a DG satisfy the multiplexing condition, and the CG and DG have different K1 values. If UE miss the DG, then it will only report HARQ-ACK for the CG while gnb is expecting HARQ-ACK for CG and DG.</w:t>
            </w:r>
          </w:p>
          <w:p>
            <w:pPr>
              <w:rPr>
                <w:rFonts w:eastAsia="等线"/>
                <w:color w:val="002060"/>
                <w:lang w:val="en-GB"/>
              </w:rPr>
            </w:pPr>
            <w:r>
              <w:rPr>
                <w:rFonts w:hint="eastAsia" w:eastAsia="等线"/>
                <w:color w:val="002060"/>
                <w:lang w:val="en-GB"/>
              </w:rPr>
              <w:t>I</w:t>
            </w:r>
            <w:r>
              <w:rPr>
                <w:rFonts w:eastAsia="等线"/>
                <w:color w:val="002060"/>
                <w:lang w:val="en-GB"/>
              </w:rPr>
              <w:t>n R15</w:t>
            </w:r>
            <w:r>
              <w:rPr>
                <w:rFonts w:hint="eastAsia" w:eastAsia="等线"/>
                <w:color w:val="002060"/>
                <w:lang w:val="en-GB"/>
              </w:rPr>
              <w:t>,</w:t>
            </w:r>
            <w:r>
              <w:rPr>
                <w:rFonts w:eastAsia="等线"/>
                <w:color w:val="002060"/>
                <w:lang w:val="en-GB"/>
              </w:rPr>
              <w:t xml:space="preserve"> one of the most important reasons for using the type1 codebook in Uu </w:t>
            </w:r>
            <w:r>
              <w:rPr>
                <w:rFonts w:hint="eastAsia" w:eastAsia="等线"/>
                <w:color w:val="002060"/>
                <w:lang w:val="en-GB"/>
              </w:rPr>
              <w:t>is</w:t>
            </w:r>
            <w:r>
              <w:rPr>
                <w:rFonts w:eastAsia="等线"/>
                <w:color w:val="002060"/>
                <w:lang w:val="en-GB"/>
              </w:rPr>
              <w:t xml:space="preserve"> </w:t>
            </w:r>
            <w:r>
              <w:rPr>
                <w:rFonts w:hint="eastAsia" w:eastAsia="等线"/>
                <w:color w:val="002060"/>
                <w:lang w:val="en-GB"/>
              </w:rPr>
              <w:t>to</w:t>
            </w:r>
            <w:r>
              <w:rPr>
                <w:rFonts w:eastAsia="等线"/>
                <w:color w:val="002060"/>
                <w:lang w:val="en-GB"/>
              </w:rPr>
              <w:t xml:space="preserve"> maintain a semis-static codebook size that will not be impact</w:t>
            </w:r>
            <w:r>
              <w:rPr>
                <w:rFonts w:hint="eastAsia" w:eastAsia="等线"/>
                <w:color w:val="002060"/>
                <w:lang w:val="en-GB"/>
              </w:rPr>
              <w:t>ed</w:t>
            </w:r>
            <w:r>
              <w:rPr>
                <w:rFonts w:eastAsia="等线"/>
                <w:color w:val="002060"/>
                <w:lang w:val="en-GB"/>
              </w:rPr>
              <w:t xml:space="preserve"> by dynamic scheduling or missed DCI. With this principle, even if </w:t>
            </w:r>
            <w:r>
              <w:rPr>
                <w:rFonts w:hint="eastAsia" w:eastAsia="等线"/>
                <w:color w:val="002060"/>
                <w:lang w:val="en-GB"/>
              </w:rPr>
              <w:t>some</w:t>
            </w:r>
            <w:r>
              <w:rPr>
                <w:rFonts w:eastAsia="等线"/>
                <w:color w:val="002060"/>
                <w:lang w:val="en-GB"/>
              </w:rPr>
              <w:t xml:space="preserve"> DCI are missed, UE and gnb still share the same understanding of codebook size in most cases so the HARQ-ACK corresponding to received PDSCH still can be correctly decoded by gnb.</w:t>
            </w:r>
          </w:p>
          <w:p>
            <w:pPr>
              <w:rPr>
                <w:rFonts w:hint="eastAsia" w:eastAsia="等线"/>
                <w:color w:val="002060"/>
                <w:lang w:val="en-GB"/>
              </w:rPr>
            </w:pPr>
            <w:r>
              <w:rPr>
                <w:rFonts w:eastAsia="等线"/>
                <w:color w:val="002060"/>
                <w:lang w:val="en-GB"/>
              </w:rPr>
              <w:t xml:space="preserve">Uu already adopted such principle by using the K1 value indicated in the activating DCI </w:t>
            </w:r>
            <w:bookmarkStart w:id="20" w:name="_GoBack"/>
            <w:bookmarkEnd w:id="20"/>
            <w:r>
              <w:rPr>
                <w:rFonts w:eastAsia="等线"/>
                <w:color w:val="002060"/>
                <w:lang w:val="en-GB"/>
              </w:rPr>
              <w:t xml:space="preserve">to determine the PUCCH of SPS PDSCH </w:t>
            </w:r>
            <w:r>
              <w:rPr>
                <w:rFonts w:hint="eastAsia" w:eastAsia="等线"/>
                <w:color w:val="002060"/>
                <w:lang w:val="en-GB"/>
              </w:rPr>
              <w:t>so</w:t>
            </w:r>
            <w:r>
              <w:rPr>
                <w:rFonts w:eastAsia="等线"/>
                <w:color w:val="002060"/>
                <w:lang w:val="en-GB"/>
              </w:rPr>
              <w:t xml:space="preserve"> </w:t>
            </w:r>
            <w:r>
              <w:rPr>
                <w:rFonts w:hint="eastAsia" w:eastAsia="等线"/>
                <w:color w:val="002060"/>
                <w:lang w:val="en-GB"/>
              </w:rPr>
              <w:t>that</w:t>
            </w:r>
            <w:r>
              <w:rPr>
                <w:rFonts w:eastAsia="等线"/>
                <w:color w:val="002060"/>
                <w:lang w:val="en-GB"/>
              </w:rPr>
              <w:t xml:space="preserve"> the U</w:t>
            </w:r>
            <w:r>
              <w:rPr>
                <w:rFonts w:hint="eastAsia" w:eastAsia="等线"/>
                <w:color w:val="002060"/>
                <w:lang w:val="en-GB"/>
              </w:rPr>
              <w:t>u</w:t>
            </w:r>
            <w:r>
              <w:rPr>
                <w:rFonts w:eastAsia="等线"/>
                <w:color w:val="002060"/>
                <w:lang w:val="en-GB"/>
              </w:rPr>
              <w:t xml:space="preserve"> type 1 codebook size does not change due to dynamic scheduling.</w:t>
            </w:r>
          </w:p>
          <w:p>
            <w:pPr>
              <w:rPr>
                <w:rFonts w:eastAsia="等线"/>
                <w:b/>
                <w:bCs/>
                <w:color w:val="002060"/>
                <w:lang w:val="en-GB"/>
              </w:rPr>
            </w:pPr>
            <w:r>
              <w:rPr>
                <w:rFonts w:hint="eastAsia" w:eastAsia="等线"/>
                <w:b/>
                <w:bCs/>
                <w:color w:val="002060"/>
                <w:lang w:val="en-GB"/>
              </w:rPr>
              <w:t>T</w:t>
            </w:r>
            <w:r>
              <w:rPr>
                <w:rFonts w:eastAsia="等线"/>
                <w:b/>
                <w:bCs/>
                <w:color w:val="002060"/>
                <w:lang w:val="en-GB"/>
              </w:rPr>
              <w:t>S 38.213 9.2.3</w:t>
            </w:r>
          </w:p>
          <w:p>
            <w:pPr>
              <w:rPr>
                <w:rFonts w:ascii="Times New Roman" w:hAnsi="Times New Roman" w:eastAsia="Calibri" w:cs="Times New Roman"/>
                <w:i/>
                <w:iCs/>
                <w:kern w:val="0"/>
                <w:sz w:val="20"/>
                <w:szCs w:val="20"/>
              </w:rPr>
            </w:pPr>
            <w:r>
              <w:rPr>
                <w:rFonts w:eastAsia="Calibri"/>
                <w:i/>
                <w:iCs/>
              </w:rPr>
              <w:t xml:space="preserve">For a SPS PDSCH reception ending in slot </w:t>
            </w:r>
            <w:r>
              <w:rPr>
                <w:rFonts w:eastAsia="Calibri"/>
                <w:i/>
                <w:iCs/>
                <w:position w:val="-6"/>
              </w:rPr>
              <w:drawing>
                <wp:inline distT="0" distB="0" distL="0" distR="0">
                  <wp:extent cx="1047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775" cy="142875"/>
                          </a:xfrm>
                          <a:prstGeom prst="rect">
                            <a:avLst/>
                          </a:prstGeom>
                          <a:noFill/>
                          <a:ln>
                            <a:noFill/>
                          </a:ln>
                        </pic:spPr>
                      </pic:pic>
                    </a:graphicData>
                  </a:graphic>
                </wp:inline>
              </w:drawing>
            </w:r>
            <w:r>
              <w:rPr>
                <w:rFonts w:eastAsia="Calibri"/>
                <w:i/>
                <w:iCs/>
              </w:rPr>
              <w:t xml:space="preserve">, the UE transmits the PUCCH in slot </w:t>
            </w:r>
            <w:r>
              <w:rPr>
                <w:rFonts w:eastAsia="Calibri"/>
                <w:i/>
                <w:iCs/>
                <w:position w:val="-6"/>
              </w:rPr>
              <w:drawing>
                <wp:inline distT="0" distB="0" distL="0" distR="0">
                  <wp:extent cx="2762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Calibri"/>
                <w:i/>
                <w:iCs/>
              </w:rPr>
              <w:t xml:space="preserve"> </w:t>
            </w:r>
            <w:r>
              <w:rPr>
                <w:rFonts w:ascii="Times" w:hAnsi="Times" w:eastAsia="Calibri" w:cs="Times"/>
                <w:i/>
                <w:iCs/>
              </w:rPr>
              <w:t xml:space="preserve">where </w:t>
            </w:r>
            <w:r>
              <w:rPr>
                <w:rFonts w:eastAsia="Calibri"/>
                <w:i/>
                <w:iCs/>
                <w:position w:val="-6"/>
              </w:rPr>
              <w:drawing>
                <wp:inline distT="0" distB="0" distL="0" distR="0">
                  <wp:extent cx="180975"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w:hAnsi="Times" w:eastAsia="Calibri" w:cs="Times"/>
                <w:i/>
                <w:iCs/>
              </w:rPr>
              <w:t xml:space="preserve"> is provided by the PDSCH-to-HARQ</w:t>
            </w:r>
            <w:r>
              <w:rPr>
                <w:rFonts w:eastAsia="Calibri"/>
                <w:i/>
                <w:iCs/>
              </w:rPr>
              <w:t xml:space="preserve">_feedback </w:t>
            </w:r>
            <w:r>
              <w:rPr>
                <w:rFonts w:ascii="Times" w:hAnsi="Times" w:eastAsia="Calibri" w:cs="Times"/>
                <w:i/>
                <w:iCs/>
              </w:rPr>
              <w:t>timing indicator field, if present, in a DCI format activating the SPS PDSCH reception</w:t>
            </w:r>
            <w:r>
              <w:rPr>
                <w:rFonts w:eastAsia="Calibri"/>
                <w:i/>
                <w:iCs/>
              </w:rPr>
              <w:t xml:space="preserve">. </w:t>
            </w:r>
          </w:p>
          <w:p>
            <w:pPr>
              <w:rPr>
                <w:rFonts w:hint="eastAsia" w:eastAsia="等线"/>
                <w:color w:val="002060"/>
                <w:lang w:val="en-GB"/>
              </w:rPr>
            </w:pPr>
            <w:r>
              <w:rPr>
                <w:rFonts w:eastAsia="等线"/>
                <w:color w:val="002060"/>
                <w:lang w:val="en-GB"/>
              </w:rPr>
              <w:t>So basically, the restriction proposed by the TP not only follows the R15 principle but</w:t>
            </w:r>
            <w:r>
              <w:rPr>
                <w:rFonts w:eastAsia="Calibri"/>
              </w:rPr>
              <w:t xml:space="preserve"> </w:t>
            </w:r>
            <w:r>
              <w:rPr>
                <w:rFonts w:eastAsia="等线"/>
                <w:color w:val="002060"/>
                <w:lang w:val="en-GB"/>
              </w:rPr>
              <w:t xml:space="preserve">also ensures that the reliability of the PUCCH is not affected by missed SL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Theme="minorEastAsia"/>
                <w:lang w:val="en-GB"/>
              </w:rPr>
            </w:pPr>
            <w:r>
              <w:rPr>
                <w:rFonts w:hint="eastAsia" w:eastAsiaTheme="minorEastAsia"/>
                <w:lang w:val="en-GB"/>
              </w:rPr>
              <w:t>LG Electroincs</w:t>
            </w:r>
          </w:p>
        </w:tc>
        <w:tc>
          <w:tcPr>
            <w:tcW w:w="7933" w:type="dxa"/>
          </w:tcPr>
          <w:p>
            <w:pPr>
              <w:rPr>
                <w:rFonts w:eastAsiaTheme="minorEastAsia"/>
                <w:lang w:val="en-GB"/>
              </w:rPr>
            </w:pPr>
            <w:r>
              <w:rPr>
                <w:rFonts w:hint="eastAsia" w:eastAsiaTheme="minorEastAsia"/>
                <w:lang w:val="en-GB"/>
              </w:rPr>
              <w:t xml:space="preserve">We are </w:t>
            </w:r>
            <w:r>
              <w:rPr>
                <w:rFonts w:eastAsiaTheme="minorEastAsia"/>
                <w:lang w:val="en-GB"/>
              </w:rPr>
              <w:t>supportive</w:t>
            </w:r>
            <w:r>
              <w:rPr>
                <w:rFonts w:hint="eastAsia" w:eastAsiaTheme="minorEastAsia"/>
                <w:lang w:val="en-GB"/>
              </w:rPr>
              <w:t xml:space="preserve"> </w:t>
            </w:r>
            <w:r>
              <w:rPr>
                <w:rFonts w:eastAsiaTheme="minorEastAsia"/>
                <w:lang w:val="en-GB"/>
              </w:rPr>
              <w:t xml:space="preserve">of this TP. It follows NR Uu link principle. If we do not support this kind of restriction, alternatively, pseudo-code needs to be updated to consider union of K_1 for CG and K_1 for DG.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bl>
    <w:p>
      <w:pPr>
        <w:pStyle w:val="5"/>
      </w:pPr>
      <w:r>
        <w:t>TP 1.3.3-4</w:t>
      </w:r>
    </w:p>
    <w:p>
      <w:pPr>
        <w:spacing w:before="240"/>
        <w:rPr>
          <w:lang w:val="en-GB"/>
        </w:rPr>
      </w:pPr>
      <w:r>
        <w:rPr>
          <w:lang w:val="en-GB"/>
        </w:rPr>
        <w:t>R1-2006694 proposes to clarify that the PUCCH resource used for reporting the multiplexed HARQ-ACKs is determined by the last DCI among all DCIs associated with the reported HARQ-ACKs, and provide the following TP:</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jc w:val="center"/>
              <w:rPr>
                <w:rFonts w:eastAsia="Calibri"/>
                <w:b/>
                <w:color w:val="FF0000"/>
              </w:rPr>
            </w:pPr>
            <w:r>
              <w:rPr>
                <w:rFonts w:eastAsia="Calibri"/>
                <w:b/>
                <w:color w:val="FF0000"/>
              </w:rPr>
              <w:t>-------------------------- Start of Text Proposal for TS 38.213 --------------------------</w:t>
            </w:r>
          </w:p>
          <w:p>
            <w:pPr>
              <w:spacing w:before="240"/>
              <w:jc w:val="center"/>
              <w:rPr>
                <w:rFonts w:eastAsia="Calibri"/>
                <w:b/>
                <w:color w:val="FF0000"/>
              </w:rPr>
            </w:pPr>
            <w:r>
              <w:rPr>
                <w:rFonts w:eastAsia="Calibri"/>
                <w:b/>
                <w:color w:val="FF0000"/>
              </w:rPr>
              <w:t>&lt;Unchanged parts omitted&gt;</w:t>
            </w:r>
          </w:p>
          <w:p>
            <w:pPr>
              <w:pStyle w:val="3"/>
              <w:spacing w:before="0"/>
              <w:ind w:left="1136" w:hanging="1136"/>
              <w:outlineLvl w:val="1"/>
              <w:rPr>
                <w:rFonts w:eastAsia="宋体"/>
                <w:szCs w:val="22"/>
                <w:lang w:val="en-US" w:eastAsia="en-US"/>
              </w:rPr>
            </w:pPr>
            <w:r>
              <w:rPr>
                <w:rFonts w:eastAsia="宋体"/>
                <w:szCs w:val="22"/>
                <w:lang w:val="en-US"/>
              </w:rPr>
              <w:t>16.5</w:t>
            </w:r>
            <w:r>
              <w:rPr>
                <w:rFonts w:eastAsia="宋体"/>
                <w:szCs w:val="22"/>
                <w:lang w:val="en-US"/>
              </w:rPr>
              <w:tab/>
            </w:r>
            <w:r>
              <w:rPr>
                <w:rFonts w:eastAsia="宋体"/>
                <w:szCs w:val="22"/>
                <w:lang w:val="en-US"/>
              </w:rPr>
              <w:t>UE procedure for reporting HARQ-ACK on uplink</w:t>
            </w:r>
          </w:p>
          <w:p>
            <w:pPr>
              <w:jc w:val="center"/>
              <w:rPr>
                <w:rFonts w:eastAsia="Calibri"/>
                <w:b/>
                <w:color w:val="FF0000"/>
              </w:rPr>
            </w:pPr>
            <w:r>
              <w:rPr>
                <w:rFonts w:eastAsia="Calibri"/>
                <w:b/>
                <w:color w:val="FF0000"/>
              </w:rPr>
              <w:t>&lt;Unchanged parts omitted&gt;</w:t>
            </w:r>
          </w:p>
          <w:p>
            <w:pPr>
              <w:rPr>
                <w:rFonts w:eastAsia="Calibri"/>
                <w:iCs/>
              </w:rPr>
            </w:pPr>
            <w:r>
              <w:rPr>
                <w:rFonts w:eastAsia="Calibri"/>
                <w:color w:val="000000"/>
                <w:lang w:eastAsia="zh-CN"/>
              </w:rPr>
              <w:t xml:space="preserve">For a </w:t>
            </w:r>
            <w:r>
              <w:rPr>
                <w:rFonts w:eastAsia="Calibri"/>
                <w:lang w:eastAsia="zh-CN"/>
              </w:rPr>
              <w:t>PSSCH reception by a UE that is scheduled by a DCI format, or</w:t>
            </w:r>
            <w:r>
              <w:rPr>
                <w:rFonts w:eastAsia="Calibri"/>
              </w:rPr>
              <w:t xml:space="preserve"> for a SL configured grant Type 2 PSCCH reception activated by a DCI format,</w:t>
            </w:r>
            <w:r>
              <w:rPr>
                <w:rFonts w:eastAsia="Calibri"/>
                <w:iCs/>
              </w:rPr>
              <w:t xml:space="preserve"> the DCI format indicates to the UE that a PUCCH resource is not provided when a value of the PUCCH resource indicator field is zero and a value of PSFCH-to-HARQ feedback timing indicator field, if present, is zero. For a </w:t>
            </w:r>
            <w:r>
              <w:rPr>
                <w:rFonts w:eastAsia="Calibri"/>
              </w:rPr>
              <w:t xml:space="preserve">SL configured grant Type 1 </w:t>
            </w:r>
            <w:r>
              <w:rPr>
                <w:rFonts w:eastAsia="Calibri"/>
                <w:iCs/>
              </w:rPr>
              <w:t xml:space="preserve">PSSCH reception, a PUCCH resource can be provided </w:t>
            </w:r>
            <w:ins w:id="86" w:author="作者">
              <w:r>
                <w:rPr>
                  <w:rFonts w:eastAsia="Calibri"/>
                  <w:i/>
                  <w:iCs/>
                </w:rPr>
                <w:t>sl-PUCCH-Config</w:t>
              </w:r>
            </w:ins>
            <w:del w:id="87" w:author="作者">
              <w:r>
                <w:rPr>
                  <w:rFonts w:eastAsia="Calibri"/>
                  <w:i/>
                  <w:iCs/>
                </w:rPr>
                <w:delText>PUCCH-SL-Config</w:delText>
              </w:r>
            </w:del>
            <w:r>
              <w:rPr>
                <w:rFonts w:eastAsia="Calibri"/>
                <w:iCs/>
              </w:rPr>
              <w:t xml:space="preserve">. If a PUCCH resource is not provided, the UE does not transmit a PUCCH with generated HARQ-ACK information from PSFCH reception occasions. </w:t>
            </w:r>
          </w:p>
          <w:p>
            <w:pPr>
              <w:rPr>
                <w:ins w:id="88" w:author="作者" w:date=""/>
                <w:rFonts w:eastAsia="Yu Mincho"/>
                <w:sz w:val="20"/>
                <w:u w:val="single"/>
              </w:rPr>
            </w:pPr>
            <w:ins w:id="89" w:author="作者">
              <w:r>
                <w:rPr>
                  <w:rFonts w:eastAsia="Yu Mincho"/>
                  <w:sz w:val="20"/>
                  <w:u w:val="single"/>
                </w:rPr>
                <w:t xml:space="preserve">For a PUCCH transmission with HARQ-ACK information, a UE determines a PUCCH resource after determining a set of PUCCH resources for </w:t>
              </w:r>
            </w:ins>
            <w:ins w:id="90" w:author="作者"/>
            <w:ins w:id="91" w:author="作者"/>
            <w:ins w:id="92" w:author="作者"/>
            <w:ins w:id="93" w:author="作者">
              <w:r>
                <w:rPr>
                  <w:rFonts w:eastAsia="Yu Mincho"/>
                  <w:position w:val="-10"/>
                  <w:sz w:val="20"/>
                  <w:u w:val="single"/>
                </w:rPr>
                <w:object>
                  <v:shape id="_x0000_i1026" o:spt="75" type="#_x0000_t75" style="height:16.65pt;width:21.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ins>
            <w:ins w:id="95" w:author="作者"/>
            <w:ins w:id="96" w:author="作者">
              <w:r>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pPr>
              <w:rPr>
                <w:rFonts w:eastAsia="Calibri"/>
                <w:lang w:eastAsia="zh-CN"/>
              </w:rPr>
            </w:pPr>
            <w:r>
              <w:rPr>
                <w:rFonts w:eastAsia="Calibri"/>
                <w:lang w:eastAsia="zh-CN"/>
              </w:rPr>
              <w:t xml:space="preserve">A UE does not expect to multiplex HARQ-ACK information for more than one SL configured grants in a same PUCCH. </w:t>
            </w:r>
          </w:p>
          <w:p>
            <w:pPr>
              <w:spacing w:before="240"/>
              <w:jc w:val="center"/>
              <w:rPr>
                <w:rFonts w:eastAsia="Calibri"/>
                <w:b/>
                <w:color w:val="FF0000"/>
              </w:rPr>
            </w:pPr>
            <w:r>
              <w:rPr>
                <w:rFonts w:eastAsia="Calibri"/>
                <w:b/>
                <w:color w:val="FF0000"/>
              </w:rPr>
              <w:t>&lt;Unchanged parts omitted&gt;</w:t>
            </w:r>
          </w:p>
          <w:p>
            <w:pPr>
              <w:jc w:val="center"/>
              <w:rPr>
                <w:rFonts w:eastAsia="Calibri"/>
                <w:b/>
                <w:color w:val="FF0000"/>
              </w:rPr>
            </w:pPr>
            <w:r>
              <w:rPr>
                <w:rFonts w:eastAsia="Calibri"/>
                <w:b/>
                <w:color w:val="FF0000"/>
              </w:rPr>
              <w:t>------------------------------------ End of Text Proposal ------------------------------------</w:t>
            </w:r>
          </w:p>
        </w:tc>
      </w:tr>
    </w:tbl>
    <w:p>
      <w:pPr>
        <w:spacing w:before="240"/>
        <w:rPr>
          <w:b/>
          <w:bCs/>
        </w:rPr>
      </w:pPr>
      <w:r>
        <w:rPr>
          <w:b/>
          <w:bCs/>
        </w:rPr>
        <w:t>FL summary (25/8/2020)</w:t>
      </w:r>
    </w:p>
    <w:p>
      <w:pPr>
        <w:pStyle w:val="133"/>
        <w:numPr>
          <w:ilvl w:val="0"/>
          <w:numId w:val="19"/>
        </w:numPr>
        <w:spacing w:before="240"/>
      </w:pPr>
      <w:r>
        <w:t xml:space="preserve">I have replaced </w:t>
      </w:r>
      <w:r>
        <w:rPr>
          <w:i/>
          <w:iCs/>
        </w:rPr>
        <w:t>PUCCH-SL-Config</w:t>
      </w:r>
      <w:r>
        <w:t xml:space="preserve"> with </w:t>
      </w:r>
      <w:r>
        <w:rPr>
          <w:i/>
          <w:iCs/>
        </w:rPr>
        <w:t>sl-PUCCH-Config</w:t>
      </w:r>
      <w:r>
        <w:t>.</w:t>
      </w:r>
    </w:p>
    <w:p>
      <w:pPr>
        <w:spacing w:before="240"/>
        <w:rPr>
          <w:b/>
          <w:bCs/>
        </w:rPr>
      </w:pPr>
      <w:r>
        <w:rPr>
          <w:b/>
          <w:bCs/>
        </w:rPr>
        <w:t>Please provide your views on the TP using the table.</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7E6E6" w:themeFill="background2"/>
          </w:tcPr>
          <w:p>
            <w:pPr>
              <w:jc w:val="center"/>
              <w:rPr>
                <w:rFonts w:eastAsia="Calibri"/>
                <w:b/>
                <w:bCs/>
                <w:lang w:val="en-GB"/>
              </w:rPr>
            </w:pPr>
            <w:r>
              <w:rPr>
                <w:rFonts w:eastAsia="Calibri"/>
                <w:b/>
                <w:bCs/>
                <w:lang w:val="en-GB"/>
              </w:rPr>
              <w:t>Company</w:t>
            </w:r>
          </w:p>
        </w:tc>
        <w:tc>
          <w:tcPr>
            <w:tcW w:w="7933" w:type="dxa"/>
            <w:shd w:val="clear" w:color="auto" w:fill="E7E6E6" w:themeFill="background2"/>
          </w:tcPr>
          <w:p>
            <w:pPr>
              <w:jc w:val="center"/>
              <w:rPr>
                <w:rFonts w:eastAsia="Calibri"/>
                <w:b/>
                <w:bCs/>
                <w:lang w:val="en-GB"/>
              </w:rPr>
            </w:pPr>
            <w:r>
              <w:rPr>
                <w:rFonts w:eastAsia="Calibri"/>
                <w:b/>
                <w:bCs/>
                <w:lang w:val="en-GB"/>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v</w:t>
            </w:r>
            <w:r>
              <w:rPr>
                <w:rFonts w:eastAsia="等线"/>
                <w:lang w:val="en-GB"/>
              </w:rPr>
              <w:t>ivo</w:t>
            </w:r>
          </w:p>
        </w:tc>
        <w:tc>
          <w:tcPr>
            <w:tcW w:w="7933" w:type="dxa"/>
          </w:tcPr>
          <w:p>
            <w:pPr>
              <w:rPr>
                <w:rFonts w:eastAsia="等线"/>
                <w:lang w:val="en-GB"/>
              </w:rPr>
            </w:pPr>
            <w:r>
              <w:rPr>
                <w:rFonts w:hint="eastAsia" w:eastAsia="等线"/>
                <w:lang w:val="en-GB"/>
              </w:rPr>
              <w:t>2</w:t>
            </w:r>
            <w:r>
              <w:rPr>
                <w:rFonts w:eastAsia="等线"/>
                <w:lang w:val="en-GB"/>
              </w:rPr>
              <w:t>020/8/24</w:t>
            </w:r>
          </w:p>
          <w:p>
            <w:pPr>
              <w:rPr>
                <w:rFonts w:eastAsia="Calibri"/>
                <w:lang w:val="en-GB"/>
              </w:rPr>
            </w:pPr>
            <w:r>
              <w:rPr>
                <w:rFonts w:eastAsia="等线"/>
                <w:lang w:val="en-GB"/>
              </w:rPr>
              <w:t>agree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Yu Mincho"/>
                <w:lang w:val="en-GB"/>
              </w:rPr>
            </w:pPr>
            <w:r>
              <w:rPr>
                <w:rFonts w:hint="eastAsia" w:eastAsia="Yu Mincho"/>
                <w:lang w:val="en-GB"/>
              </w:rPr>
              <w:t>NTT DOCOMO</w:t>
            </w:r>
          </w:p>
        </w:tc>
        <w:tc>
          <w:tcPr>
            <w:tcW w:w="7933" w:type="dxa"/>
          </w:tcPr>
          <w:p>
            <w:pPr>
              <w:rPr>
                <w:rFonts w:eastAsia="Yu Mincho"/>
                <w:lang w:val="en-GB"/>
              </w:rPr>
            </w:pPr>
            <w:r>
              <w:rPr>
                <w:rFonts w:hint="eastAsia" w:eastAsia="Yu Mincho"/>
                <w:lang w:val="en-GB"/>
              </w:rPr>
              <w:t>Agree.</w:t>
            </w:r>
          </w:p>
          <w:p>
            <w:pPr>
              <w:rPr>
                <w:rFonts w:eastAsia="Yu Mincho"/>
                <w:lang w:val="en-GB"/>
              </w:rPr>
            </w:pPr>
            <w:r>
              <w:rPr>
                <w:rFonts w:eastAsia="Yu Mincho"/>
                <w:lang w:val="en-GB"/>
              </w:rPr>
              <w:t>This is reuse from text for Uu, in 9.2.3 of 38.213. This aspect was agreed in RAN1#98bis.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Qualcomm</w:t>
            </w:r>
          </w:p>
        </w:tc>
        <w:tc>
          <w:tcPr>
            <w:tcW w:w="7933" w:type="dxa"/>
          </w:tcPr>
          <w:p>
            <w:pPr>
              <w:rPr>
                <w:rFonts w:eastAsia="Calibri"/>
                <w:lang w:val="en-GB"/>
              </w:rPr>
            </w:pPr>
            <w:r>
              <w:rPr>
                <w:rFonts w:eastAsia="Calibri"/>
                <w:lang w:val="en-GB"/>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hint="eastAsia" w:eastAsia="等线"/>
                <w:lang w:val="en-GB"/>
              </w:rPr>
              <w:t>S</w:t>
            </w:r>
            <w:r>
              <w:rPr>
                <w:rFonts w:eastAsia="等线"/>
                <w:lang w:val="en-GB"/>
              </w:rPr>
              <w:t>harp</w:t>
            </w:r>
          </w:p>
        </w:tc>
        <w:tc>
          <w:tcPr>
            <w:tcW w:w="7933" w:type="dxa"/>
          </w:tcPr>
          <w:p>
            <w:pPr>
              <w:rPr>
                <w:rFonts w:eastAsia="等线"/>
                <w:lang w:val="en-GB"/>
              </w:rPr>
            </w:pPr>
            <w:r>
              <w:rPr>
                <w:rFonts w:hint="eastAsia" w:eastAsia="等线"/>
                <w:lang w:val="en-GB"/>
              </w:rPr>
              <w:t>A</w:t>
            </w:r>
            <w:r>
              <w:rPr>
                <w:rFonts w:eastAsia="等线"/>
                <w:lang w:val="en-GB"/>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Huawei, HiSilicon</w:t>
            </w:r>
          </w:p>
        </w:tc>
        <w:tc>
          <w:tcPr>
            <w:tcW w:w="7933" w:type="dxa"/>
          </w:tcPr>
          <w:p>
            <w:pPr>
              <w:rPr>
                <w:rFonts w:eastAsia="Calibri"/>
                <w:lang w:val="en-GB"/>
              </w:rPr>
            </w:pPr>
            <w:r>
              <w:rPr>
                <w:rFonts w:eastAsia="Calibri"/>
                <w:lang w:val="en-GB"/>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Theme="minorEastAsia"/>
                <w:lang w:val="en-GB"/>
              </w:rPr>
            </w:pPr>
            <w:r>
              <w:rPr>
                <w:rFonts w:hint="eastAsia" w:eastAsiaTheme="minorEastAsia"/>
                <w:lang w:val="en-GB"/>
              </w:rPr>
              <w:t xml:space="preserve">LG Electroincs </w:t>
            </w:r>
          </w:p>
        </w:tc>
        <w:tc>
          <w:tcPr>
            <w:tcW w:w="7933" w:type="dxa"/>
          </w:tcPr>
          <w:p>
            <w:pPr>
              <w:rPr>
                <w:rFonts w:eastAsiaTheme="minorEastAsia"/>
                <w:iCs/>
              </w:rPr>
            </w:pPr>
            <w:r>
              <w:rPr>
                <w:rFonts w:hint="eastAsia" w:eastAsiaTheme="minorEastAsia"/>
                <w:iCs/>
              </w:rPr>
              <w:t xml:space="preserve">We are generally fine with the TP. </w:t>
            </w:r>
          </w:p>
          <w:p>
            <w:pPr>
              <w:rPr>
                <w:rFonts w:eastAsia="Calibri"/>
                <w:i/>
                <w:iCs/>
              </w:rPr>
            </w:pPr>
            <w:r>
              <w:rPr>
                <w:rFonts w:eastAsia="Calibri"/>
                <w:i/>
                <w:iCs/>
              </w:rPr>
              <w:t xml:space="preserve">PUCCH-SL-Config </w:t>
            </w:r>
            <w:r>
              <w:rPr>
                <w:rFonts w:eastAsia="Calibri"/>
                <w:iCs/>
              </w:rPr>
              <w:t>needs to be replaced with</w:t>
            </w:r>
            <w:r>
              <w:rPr>
                <w:rFonts w:eastAsia="Calibri"/>
                <w:i/>
                <w:iCs/>
              </w:rPr>
              <w:t xml:space="preserve"> sl-PUCCH-Config. </w:t>
            </w:r>
          </w:p>
          <w:p>
            <w:pPr>
              <w:rPr>
                <w:rFonts w:eastAsiaTheme="minorEastAsia"/>
                <w:lang w:val="en-GB"/>
              </w:rPr>
            </w:pPr>
            <w:r>
              <w:rPr>
                <w:rFonts w:hint="eastAsia" w:eastAsiaTheme="minorEastAsia"/>
                <w:lang w:val="en-GB"/>
              </w:rPr>
              <w:t xml:space="preserve">Additionally, we want to ask </w:t>
            </w:r>
            <w:r>
              <w:rPr>
                <w:rFonts w:eastAsiaTheme="minorEastAsia"/>
                <w:lang w:val="en-GB"/>
              </w:rPr>
              <w:t>companies</w:t>
            </w:r>
            <w:r>
              <w:rPr>
                <w:rFonts w:hint="eastAsia" w:eastAsiaTheme="minorEastAsia"/>
                <w:lang w:val="en-GB"/>
              </w:rPr>
              <w:t xml:space="preserve"> </w:t>
            </w:r>
            <w:r>
              <w:rPr>
                <w:rFonts w:eastAsiaTheme="minorEastAsia"/>
                <w:lang w:val="en-GB"/>
              </w:rPr>
              <w:t xml:space="preserve">whether or how to support multiple PUCCH resource set for NR sidelink. As we know, sl-PUCCH-Config has PUCCH-Config as IE, and in NR Uu link, depending on the HARQ-ACK payload size, different PUCCH resource set could be selected. In other words, for a given PUCCH reousrce indicator value, the final selected PUCCH resource could be different depending on the payload size. If we will support this feature, we needs to capture relevant description which is in 9.2.1. Otherwise, we can simply describe that a UE does not expect to be configured with more than one PUCCH resource set for NR sidelink. </w:t>
            </w:r>
          </w:p>
          <w:p>
            <w:pPr>
              <w:rPr>
                <w:rFonts w:eastAsiaTheme="minorEastAsia"/>
                <w:color w:val="FF0000"/>
                <w:lang w:val="en-GB"/>
              </w:rPr>
            </w:pPr>
            <w:r>
              <w:rPr>
                <w:rFonts w:eastAsiaTheme="minorEastAsia"/>
                <w:color w:val="FF0000"/>
                <w:lang w:val="en-GB"/>
              </w:rPr>
              <w:t>FL reply 25/8/2020:</w:t>
            </w:r>
          </w:p>
          <w:p>
            <w:pPr>
              <w:rPr>
                <w:rFonts w:eastAsiaTheme="minorEastAsia"/>
                <w:color w:val="FF0000"/>
                <w:lang w:val="en-GB"/>
              </w:rPr>
            </w:pPr>
            <w:r>
              <w:rPr>
                <w:rFonts w:eastAsiaTheme="minorEastAsia"/>
                <w:color w:val="FF0000"/>
                <w:lang w:val="en-GB"/>
              </w:rPr>
              <w:t>I updated the name.</w:t>
            </w:r>
          </w:p>
          <w:p>
            <w:pPr>
              <w:rPr>
                <w:rFonts w:eastAsiaTheme="minorEastAsia"/>
                <w:lang w:val="en-GB"/>
              </w:rPr>
            </w:pPr>
            <w:r>
              <w:rPr>
                <w:rFonts w:eastAsiaTheme="minorEastAsia"/>
                <w:color w:val="4472C4" w:themeColor="accent1"/>
                <w:lang w:val="en-GB"/>
                <w14:textFill>
                  <w14:solidFill>
                    <w14:schemeClr w14:val="accent1"/>
                  </w14:solidFill>
                </w14:textFill>
              </w:rPr>
              <w:t>[DCM2] We have same view with LGE, that PUCCH resource set for SL should be described. (Or just referring 9.2.1 with some replacing might be OK.) Only one PUCCH group means that up to two HARQ-ACK bits can be multiplexed on a PUCCH. At least type 1 HARQ-ACK CB does not work in this case. We are OK to address this issue in either this meeting or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bl>
    <w:p>
      <w:pPr>
        <w:spacing w:before="240"/>
        <w:rPr>
          <w:lang w:val="en-GB"/>
        </w:rPr>
      </w:pPr>
      <w:r>
        <w:rPr>
          <w:lang w:val="en-GB"/>
        </w:rPr>
        <w:t xml:space="preserve"> In addition, at least the following issues are discussed in contributions:</w:t>
      </w:r>
    </w:p>
    <w:p>
      <w:pPr>
        <w:pStyle w:val="133"/>
        <w:numPr>
          <w:ilvl w:val="0"/>
          <w:numId w:val="15"/>
        </w:numPr>
        <w:spacing w:before="240"/>
        <w:rPr>
          <w:lang w:val="en-GB"/>
        </w:rPr>
      </w:pPr>
      <w:r>
        <w:rPr>
          <w:lang w:val="en-GB"/>
        </w:rPr>
        <w:t>R1-2005339 proposes a clarification on HARQ reporting for multiple resource pools but no TP is provided.</w:t>
      </w:r>
    </w:p>
    <w:p>
      <w:pPr>
        <w:pStyle w:val="133"/>
        <w:numPr>
          <w:ilvl w:val="0"/>
          <w:numId w:val="15"/>
        </w:numPr>
        <w:spacing w:before="240"/>
        <w:rPr>
          <w:lang w:val="en-GB"/>
        </w:rPr>
      </w:pPr>
      <w:r>
        <w:rPr>
          <w:lang w:val="en-GB"/>
        </w:rPr>
        <w:t xml:space="preserve">R1-2005339 proposes a clarification on HARQ reporting with more than 1 SL CG providing a grant with the same PSFCH reception occasion associated with the same SL HARQ codebook. The FL believes that such clarification is not necessary given that the following agreement made in </w:t>
      </w:r>
      <w:r>
        <w:t>[98b-NR-13]:</w:t>
      </w:r>
    </w:p>
    <w:tbl>
      <w:tblPr>
        <w:tblStyle w:val="61"/>
        <w:tblW w:w="8909"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9" w:type="dxa"/>
          </w:tcPr>
          <w:p>
            <w:pPr>
              <w:rPr>
                <w:rFonts w:ascii="Calibri" w:hAnsi="Calibri" w:eastAsia="Calibri"/>
                <w:b/>
                <w:bCs/>
              </w:rPr>
            </w:pPr>
            <w:r>
              <w:rPr>
                <w:rFonts w:eastAsia="Calibri"/>
                <w:highlight w:val="green"/>
              </w:rPr>
              <w:t>Agreements:</w:t>
            </w:r>
            <w:r>
              <w:rPr>
                <w:rFonts w:eastAsia="Calibri"/>
                <w:b/>
                <w:bCs/>
              </w:rPr>
              <w:t xml:space="preserve"> </w:t>
            </w:r>
            <w:r>
              <w:rPr>
                <w:rFonts w:eastAsia="Calibri"/>
              </w:rPr>
              <w:t>(from [98b-NR-13] SL HARQ-ACK multiplexing)</w:t>
            </w:r>
          </w:p>
          <w:p>
            <w:pPr>
              <w:pStyle w:val="133"/>
              <w:numPr>
                <w:ilvl w:val="0"/>
                <w:numId w:val="21"/>
              </w:numPr>
              <w:contextualSpacing/>
            </w:pPr>
            <w:r>
              <w:t xml:space="preserve">NR supports reporting of multiple SL HARQ-ACKs in a single PUCCH resource. </w:t>
            </w:r>
          </w:p>
          <w:p>
            <w:pPr>
              <w:pStyle w:val="133"/>
              <w:numPr>
                <w:ilvl w:val="1"/>
                <w:numId w:val="21"/>
              </w:numPr>
              <w:contextualSpacing/>
            </w:pPr>
            <w:r>
              <w:t>The Rel-15 procedures for multiplexing DL HARQ-ACKs are reutilized.</w:t>
            </w:r>
          </w:p>
          <w:p>
            <w:pPr>
              <w:pStyle w:val="133"/>
              <w:numPr>
                <w:ilvl w:val="1"/>
                <w:numId w:val="21"/>
              </w:numPr>
              <w:contextualSpacing/>
            </w:pPr>
            <w:r>
              <w:t xml:space="preserve">Reports carry SL HARQ-ACKs for dynamic grants and/or configured grants. </w:t>
            </w:r>
          </w:p>
          <w:p>
            <w:pPr>
              <w:pStyle w:val="133"/>
              <w:numPr>
                <w:ilvl w:val="2"/>
                <w:numId w:val="21"/>
              </w:numPr>
              <w:contextualSpacing/>
            </w:pPr>
            <w:r>
              <w:rPr>
                <w:highlight w:val="yellow"/>
              </w:rPr>
              <w:t>A UE does not expected to be indicated to transmit SL HARQ-ACK information for more than one SL configured grant in a same PUCCH.</w:t>
            </w:r>
          </w:p>
          <w:p>
            <w:pPr>
              <w:pStyle w:val="133"/>
              <w:numPr>
                <w:ilvl w:val="2"/>
                <w:numId w:val="21"/>
              </w:numPr>
              <w:contextualSpacing/>
            </w:pPr>
            <w:r>
              <w:t>Note: A UE can be provided with multiple SL CGs with different (non-overlapping) slots for the corresponding PUCCH transmissions for SL HARQ-ACK reporting.</w:t>
            </w:r>
          </w:p>
          <w:p>
            <w:pPr>
              <w:pStyle w:val="133"/>
              <w:contextualSpacing/>
              <w:jc w:val="center"/>
            </w:pPr>
            <w:r>
              <w:t>[...]</w:t>
            </w:r>
          </w:p>
        </w:tc>
      </w:tr>
    </w:tbl>
    <w:p>
      <w:pPr>
        <w:pStyle w:val="133"/>
        <w:numPr>
          <w:ilvl w:val="0"/>
          <w:numId w:val="15"/>
        </w:numPr>
        <w:spacing w:before="240"/>
        <w:rPr>
          <w:lang w:val="en-GB"/>
        </w:rPr>
      </w:pPr>
      <w:r>
        <w:rPr>
          <w:lang w:val="en-GB"/>
        </w:rPr>
        <w:t>R1-2005339 also discusses HARQ reporting for PSSCH with multiple associated PSFCH. Although the issue may justify a discussion, it cannot be considered an editorial TP. The FL suggests revisiting the issue in a later meeting, if necessary.</w:t>
      </w:r>
    </w:p>
    <w:p>
      <w:pPr>
        <w:pStyle w:val="3"/>
      </w:pPr>
      <w:r>
        <w:t>1.4</w:t>
      </w:r>
      <w:r>
        <w:tab/>
      </w:r>
      <w:r>
        <w:t>Processing times</w:t>
      </w:r>
    </w:p>
    <w:p>
      <w:pPr>
        <w:pStyle w:val="4"/>
        <w:ind w:left="0" w:firstLine="0"/>
      </w:pPr>
      <w:r>
        <w:t>Issue 1.4-1</w:t>
      </w:r>
      <w:r>
        <w:tab/>
      </w:r>
      <w:r>
        <w:t>Processing time for SL CG type-2</w:t>
      </w:r>
    </w:p>
    <w:p>
      <w:pPr>
        <w:rPr>
          <w:b/>
          <w:bCs/>
        </w:rPr>
      </w:pPr>
      <w:r>
        <w:rPr>
          <w:b/>
          <w:bCs/>
        </w:rPr>
        <w:t>The current specification only captures the PSSCH processing time for sidelink dynamic grant (TS 38.214 Clause 8.6) corresponding to the following agreement from RAN1#101-e:</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240"/>
              <w:rPr>
                <w:rFonts w:eastAsia="Calibri"/>
              </w:rPr>
            </w:pPr>
            <w:bookmarkStart w:id="18" w:name="_Hlk42029781"/>
            <w:r>
              <w:rPr>
                <w:rFonts w:eastAsia="Calibri"/>
                <w:highlight w:val="green"/>
              </w:rPr>
              <w:t>Agreements</w:t>
            </w:r>
            <w:r>
              <w:rPr>
                <w:rFonts w:eastAsia="Calibri"/>
              </w:rPr>
              <w:t>:</w:t>
            </w:r>
          </w:p>
          <w:p>
            <w:pPr>
              <w:pStyle w:val="133"/>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ctrlPr>
                    <w:rPr>
                      <w:rFonts w:ascii="Cambria Math" w:hAnsi="Cambria Math"/>
                      <w:i/>
                      <w:color w:val="000000"/>
                    </w:rPr>
                  </m:ctrlPr>
                </m:e>
                <m:sub>
                  <m:r>
                    <w:rPr>
                      <w:rFonts w:ascii="Cambria Math"/>
                      <w:color w:val="000000"/>
                    </w:rPr>
                    <m:t>proc</m:t>
                  </m:r>
                  <m:ctrlPr>
                    <w:rPr>
                      <w:rFonts w:ascii="Cambria Math" w:hAnsi="Cambria Math"/>
                      <w:i/>
                      <w:color w:val="000000"/>
                    </w:rPr>
                  </m:ctrlPr>
                </m:sub>
              </m:sSub>
            </m:oMath>
            <w:r>
              <w:rPr>
                <w:lang w:val="en-GB"/>
              </w:rPr>
              <w:t xml:space="preserve"> after the end of the scheduling PDCCH.</w:t>
            </w:r>
          </w:p>
          <w:p>
            <w:pPr>
              <w:pStyle w:val="133"/>
              <w:numPr>
                <w:ilvl w:val="1"/>
                <w:numId w:val="22"/>
              </w:numPr>
            </w:pPr>
            <m:oMath>
              <m:sSub>
                <m:sSubPr>
                  <m:ctrlPr>
                    <w:rPr>
                      <w:rFonts w:ascii="Cambria Math" w:hAnsi="Cambria Math"/>
                      <w:i/>
                      <w:color w:val="000000"/>
                    </w:rPr>
                  </m:ctrlPr>
                </m:sSubPr>
                <m:e>
                  <m:r>
                    <w:rPr>
                      <w:rFonts w:ascii="Cambria Math"/>
                      <w:color w:val="000000"/>
                    </w:rPr>
                    <m:t>T</m:t>
                  </m:r>
                  <m:ctrlPr>
                    <w:rPr>
                      <w:rFonts w:ascii="Cambria Math" w:hAnsi="Cambria Math"/>
                      <w:i/>
                      <w:color w:val="000000"/>
                    </w:rPr>
                  </m:ctrlPr>
                </m:e>
                <m:sub>
                  <m:r>
                    <w:rPr>
                      <w:rFonts w:ascii="Cambria Math"/>
                      <w:color w:val="000000"/>
                    </w:rPr>
                    <m:t>proc</m:t>
                  </m:r>
                  <m:ctrlPr>
                    <w:rPr>
                      <w:rFonts w:ascii="Cambria Math" w:hAnsi="Cambria Math"/>
                      <w:i/>
                      <w:color w:val="000000"/>
                    </w:rPr>
                  </m:ctrlPr>
                </m:sub>
              </m:sSub>
              <m:r>
                <w:rPr>
                  <w:rFonts w:ascii="Cambria Math"/>
                  <w:color w:val="000000"/>
                </w:rPr>
                <m:t>=(</m:t>
              </m:r>
              <m:sSub>
                <m:sSubPr>
                  <m:ctrlPr>
                    <w:rPr>
                      <w:rFonts w:ascii="Cambria Math" w:hAnsi="Cambria Math"/>
                      <w:i/>
                      <w:color w:val="000000"/>
                    </w:rPr>
                  </m:ctrlPr>
                </m:sSubPr>
                <m:e>
                  <m:r>
                    <w:rPr>
                      <w:rFonts w:ascii="Cambria Math"/>
                      <w:color w:val="000000"/>
                    </w:rPr>
                    <m:t>N</m:t>
                  </m:r>
                  <m:ctrlPr>
                    <w:rPr>
                      <w:rFonts w:ascii="Cambria Math" w:hAnsi="Cambria Math"/>
                      <w:i/>
                      <w:color w:val="000000"/>
                    </w:rPr>
                  </m:ctrlPr>
                </m:e>
                <m:sub>
                  <m:r>
                    <w:rPr>
                      <w:rFonts w:ascii="Cambria Math"/>
                      <w:color w:val="000000"/>
                    </w:rPr>
                    <m:t>2</m:t>
                  </m:r>
                  <m:ctrlPr>
                    <w:rPr>
                      <w:rFonts w:ascii="Cambria Math" w:hAnsi="Cambria Math"/>
                      <w:i/>
                      <w:color w:val="000000"/>
                    </w:rPr>
                  </m:ctrlPr>
                </m:sub>
              </m:sSub>
              <m:r>
                <w:rPr>
                  <w:rFonts w:ascii="Cambria Math"/>
                  <w:color w:val="000000"/>
                </w:rPr>
                <m:t>+</m:t>
              </m:r>
              <m:sSub>
                <m:sSubPr>
                  <m:ctrlPr>
                    <w:rPr>
                      <w:rFonts w:ascii="Cambria Math" w:hAnsi="Cambria Math"/>
                      <w:i/>
                      <w:color w:val="000000"/>
                    </w:rPr>
                  </m:ctrlPr>
                </m:sSubPr>
                <m:e>
                  <m:r>
                    <w:rPr>
                      <w:rFonts w:ascii="Cambria Math"/>
                      <w:color w:val="000000"/>
                    </w:rPr>
                    <m:t>d</m:t>
                  </m:r>
                  <m:ctrlPr>
                    <w:rPr>
                      <w:rFonts w:ascii="Cambria Math" w:hAnsi="Cambria Math"/>
                      <w:i/>
                      <w:color w:val="000000"/>
                    </w:rPr>
                  </m:ctrlPr>
                </m:e>
                <m:sub>
                  <m:r>
                    <w:rPr>
                      <w:rFonts w:ascii="Cambria Math"/>
                      <w:color w:val="000000"/>
                    </w:rPr>
                    <m:t>2,1</m:t>
                  </m:r>
                  <m:ctrlPr>
                    <w:rPr>
                      <w:rFonts w:ascii="Cambria Math" w:hAnsi="Cambria Math"/>
                      <w:i/>
                      <w:color w:val="000000"/>
                    </w:rPr>
                  </m:ctrlP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ctrlPr>
                    <w:rPr>
                      <w:rFonts w:ascii="Cambria Math" w:hAnsi="Cambria Math"/>
                      <w:i/>
                      <w:color w:val="000000"/>
                    </w:rPr>
                  </m:ctrlPr>
                </m:e>
                <m:sup>
                  <m:r>
                    <w:rPr>
                      <w:rFonts w:ascii="Cambria Math"/>
                      <w:color w:val="000000"/>
                    </w:rPr>
                    <m:t>-μ</m:t>
                  </m:r>
                  <m:ctrlPr>
                    <w:rPr>
                      <w:rFonts w:ascii="Cambria Math" w:hAnsi="Cambria Math"/>
                      <w:i/>
                      <w:color w:val="000000"/>
                    </w:rPr>
                  </m:ctrlP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ctrlPr>
                    <w:rPr>
                      <w:rFonts w:ascii="Cambria Math" w:hAnsi="Cambria Math"/>
                      <w:i/>
                      <w:color w:val="000000"/>
                    </w:rPr>
                  </m:ctrlPr>
                </m:e>
                <m:sub>
                  <m:r>
                    <w:rPr>
                      <w:rFonts w:ascii="Cambria Math"/>
                      <w:color w:val="000000"/>
                    </w:rPr>
                    <m:t>C</m:t>
                  </m:r>
                  <m:ctrlPr>
                    <w:rPr>
                      <w:rFonts w:ascii="Cambria Math" w:hAnsi="Cambria Math"/>
                      <w:i/>
                      <w:color w:val="000000"/>
                    </w:rPr>
                  </m:ctrlPr>
                </m:sub>
              </m:sSub>
            </m:oMath>
          </w:p>
          <w:p>
            <w:pPr>
              <w:pStyle w:val="133"/>
              <w:numPr>
                <w:ilvl w:val="2"/>
                <w:numId w:val="22"/>
              </w:numPr>
              <w:rPr>
                <w:lang w:val="en-GB"/>
              </w:rPr>
            </w:pPr>
            <m:oMath>
              <m:sSub>
                <m:sSubPr>
                  <m:ctrlPr>
                    <w:rPr>
                      <w:rFonts w:ascii="Cambria Math" w:hAnsi="Cambria Math"/>
                      <w:i/>
                      <w:color w:val="000000"/>
                    </w:rPr>
                  </m:ctrlPr>
                </m:sSubPr>
                <m:e>
                  <m:r>
                    <w:rPr>
                      <w:rFonts w:ascii="Cambria Math"/>
                      <w:color w:val="000000"/>
                    </w:rPr>
                    <m:t>N</m:t>
                  </m:r>
                  <m:ctrlPr>
                    <w:rPr>
                      <w:rFonts w:ascii="Cambria Math" w:hAnsi="Cambria Math"/>
                      <w:i/>
                      <w:color w:val="000000"/>
                    </w:rPr>
                  </m:ctrlPr>
                </m:e>
                <m:sub>
                  <m:r>
                    <w:rPr>
                      <w:rFonts w:ascii="Cambria Math"/>
                      <w:color w:val="000000"/>
                      <w:lang w:val="en-GB"/>
                    </w:rPr>
                    <m:t>2</m:t>
                  </m:r>
                  <m:ctrlPr>
                    <w:rPr>
                      <w:rFonts w:ascii="Cambria Math" w:hAnsi="Cambria Math"/>
                      <w:i/>
                      <w:color w:val="000000"/>
                    </w:rPr>
                  </m:ctrlPr>
                </m:sub>
              </m:sSub>
            </m:oMath>
            <w:r>
              <w:rPr>
                <w:color w:val="000000"/>
                <w:lang w:val="en-GB"/>
              </w:rPr>
              <w:t xml:space="preserve"> is 10, 12, 23, and 36 for </w:t>
            </w:r>
            <m:oMath>
              <m:r>
                <w:rPr>
                  <w:rFonts w:ascii="Cambria Math" w:hAnsi="Cambria Math"/>
                  <w:color w:val="000000"/>
                </w:rPr>
                <m:t>μ</m:t>
              </m:r>
            </m:oMath>
            <w:r>
              <w:rPr>
                <w:color w:val="000000"/>
                <w:lang w:val="en-GB"/>
              </w:rPr>
              <w:t xml:space="preserve"> equal to 0, 1, 2, and 3, respectively.</w:t>
            </w:r>
          </w:p>
          <w:p>
            <w:pPr>
              <w:pStyle w:val="133"/>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ctrlPr>
                    <w:rPr>
                      <w:rFonts w:ascii="Cambria Math" w:hAnsi="Cambria Math"/>
                      <w:i/>
                      <w:color w:val="000000"/>
                    </w:rPr>
                  </m:ctrlPr>
                </m:e>
                <m:sub>
                  <m:r>
                    <w:rPr>
                      <w:rFonts w:ascii="Cambria Math"/>
                      <w:color w:val="000000"/>
                      <w:lang w:val="en-GB"/>
                    </w:rPr>
                    <m:t>2</m:t>
                  </m:r>
                  <m:ctrlPr>
                    <w:rPr>
                      <w:rFonts w:ascii="Cambria Math" w:hAnsi="Cambria Math"/>
                      <w:i/>
                      <w:color w:val="000000"/>
                    </w:rPr>
                  </m:ctrlPr>
                </m:sub>
              </m:sSub>
            </m:oMath>
            <w:r>
              <w:rPr>
                <w:color w:val="000000"/>
                <w:lang w:val="en-GB"/>
              </w:rPr>
              <w:t xml:space="preserve"> based on the discussion on capabilities (Q5).</w:t>
            </w:r>
          </w:p>
          <w:p>
            <w:pPr>
              <w:numPr>
                <w:ilvl w:val="2"/>
                <w:numId w:val="22"/>
              </w:numPr>
              <w:rPr>
                <w:rFonts w:eastAsia="Calibri"/>
                <w:szCs w:val="20"/>
                <w:lang w:val="en-GB"/>
              </w:rPr>
            </w:pPr>
            <w:r>
              <w:rPr>
                <w:rFonts w:eastAsia="Calibri"/>
                <w:i/>
                <w:lang w:val="en-AU"/>
              </w:rPr>
              <w:t>µ</w:t>
            </w:r>
            <w:r>
              <w:rPr>
                <w:rFonts w:eastAsia="Calibri"/>
                <w:lang w:val="en-AU"/>
              </w:rPr>
              <w:t xml:space="preserve"> corresponds to the one of (</w:t>
            </w:r>
            <w:r>
              <w:rPr>
                <w:rFonts w:eastAsia="Calibri"/>
                <w:i/>
                <w:lang w:val="en-AU"/>
              </w:rPr>
              <w:t>µ</w:t>
            </w:r>
            <w:r>
              <w:rPr>
                <w:rFonts w:eastAsia="Calibri"/>
                <w:i/>
                <w:vertAlign w:val="subscript"/>
                <w:lang w:val="en-AU"/>
              </w:rPr>
              <w:t>DL</w:t>
            </w:r>
            <w:r>
              <w:rPr>
                <w:rFonts w:eastAsia="Calibri"/>
                <w:lang w:val="en-AU"/>
              </w:rPr>
              <w:t xml:space="preserve">, </w:t>
            </w:r>
            <w:r>
              <w:rPr>
                <w:rFonts w:eastAsia="Calibri"/>
                <w:i/>
                <w:lang w:val="en-AU"/>
              </w:rPr>
              <w:t>µ</w:t>
            </w:r>
            <w:r>
              <w:rPr>
                <w:rFonts w:eastAsia="Calibri"/>
                <w:i/>
                <w:vertAlign w:val="subscript"/>
                <w:lang w:val="en-AU"/>
              </w:rPr>
              <w:t>SL</w:t>
            </w:r>
            <w:r>
              <w:rPr>
                <w:rFonts w:eastAsia="Calibri"/>
                <w:lang w:val="en-AU"/>
              </w:rPr>
              <w:t xml:space="preserve">) resulting in the largest </w:t>
            </w:r>
            <w:r>
              <w:rPr>
                <w:rFonts w:eastAsia="Calibri"/>
                <w:i/>
                <w:lang w:val="en-AU"/>
              </w:rPr>
              <w:t>T</w:t>
            </w:r>
            <w:r>
              <w:rPr>
                <w:rFonts w:eastAsia="Calibri"/>
                <w:i/>
                <w:vertAlign w:val="subscript"/>
                <w:lang w:val="en-AU"/>
              </w:rPr>
              <w:t>proc</w:t>
            </w:r>
            <w:r>
              <w:rPr>
                <w:rFonts w:eastAsia="Calibri"/>
                <w:i/>
                <w:lang w:val="en-AU"/>
              </w:rPr>
              <w:t>.</w:t>
            </w:r>
          </w:p>
          <w:p>
            <w:pPr>
              <w:numPr>
                <w:ilvl w:val="2"/>
                <w:numId w:val="22"/>
              </w:numPr>
              <w:rPr>
                <w:rFonts w:eastAsia="Calibri"/>
                <w:szCs w:val="20"/>
              </w:rPr>
            </w:pPr>
            <m:oMath>
              <m:sSub>
                <m:sSubPr>
                  <m:ctrlPr>
                    <w:rPr>
                      <w:rFonts w:ascii="Cambria Math" w:hAnsi="Cambria Math" w:eastAsia="Calibri"/>
                      <w:i/>
                      <w:color w:val="000000"/>
                    </w:rPr>
                  </m:ctrlPr>
                </m:sSubPr>
                <m:e>
                  <m:r>
                    <w:rPr>
                      <w:rFonts w:ascii="Cambria Math" w:eastAsia="Calibri"/>
                      <w:color w:val="000000"/>
                    </w:rPr>
                    <m:t>d</m:t>
                  </m:r>
                  <m:ctrlPr>
                    <w:rPr>
                      <w:rFonts w:ascii="Cambria Math" w:hAnsi="Cambria Math" w:eastAsia="Calibri"/>
                      <w:i/>
                      <w:color w:val="000000"/>
                    </w:rPr>
                  </m:ctrlPr>
                </m:e>
                <m:sub>
                  <m:r>
                    <w:rPr>
                      <w:rFonts w:ascii="Cambria Math" w:eastAsia="Calibri"/>
                      <w:color w:val="000000"/>
                    </w:rPr>
                    <m:t>2,1</m:t>
                  </m:r>
                  <m:ctrlPr>
                    <w:rPr>
                      <w:rFonts w:ascii="Cambria Math" w:hAnsi="Cambria Math" w:eastAsia="Calibri"/>
                      <w:i/>
                      <w:color w:val="000000"/>
                    </w:rPr>
                  </m:ctrlPr>
                </m:sub>
              </m:sSub>
            </m:oMath>
            <w:r>
              <w:rPr>
                <w:rFonts w:eastAsia="Calibri"/>
                <w:color w:val="000000"/>
              </w:rPr>
              <w:t xml:space="preserve"> = 1</w:t>
            </w:r>
          </w:p>
          <w:p>
            <w:pPr>
              <w:pStyle w:val="133"/>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ctrlPr>
                        <w:rPr>
                          <w:rFonts w:ascii="Cambria Math" w:hAnsi="Cambria Math"/>
                          <w:i/>
                          <w:color w:val="000000"/>
                        </w:rPr>
                      </m:ctrlPr>
                    </m:e>
                    <m:sub>
                      <m:r>
                        <w:rPr>
                          <w:rFonts w:ascii="Cambria Math" w:hAnsi="Cambria Math"/>
                          <w:color w:val="000000"/>
                        </w:rPr>
                        <m:t>s</m:t>
                      </m:r>
                      <m:ctrlPr>
                        <w:rPr>
                          <w:rFonts w:ascii="Cambria Math" w:hAnsi="Cambria Math"/>
                          <w:i/>
                          <w:color w:val="000000"/>
                        </w:rPr>
                      </m:ctrlPr>
                    </m:sub>
                  </m:sSub>
                  <m:ctrlPr>
                    <w:rPr>
                      <w:rFonts w:ascii="Cambria Math" w:hAnsi="Cambria Math"/>
                      <w:i/>
                      <w:color w:val="000000"/>
                    </w:rPr>
                  </m:ctrlPr>
                </m:num>
                <m:den>
                  <m:sSub>
                    <m:sSubPr>
                      <m:ctrlPr>
                        <w:rPr>
                          <w:rFonts w:ascii="Cambria Math" w:hAnsi="Cambria Math"/>
                          <w:i/>
                          <w:color w:val="000000"/>
                        </w:rPr>
                      </m:ctrlPr>
                    </m:sSubPr>
                    <m:e>
                      <m:r>
                        <w:rPr>
                          <w:rFonts w:ascii="Cambria Math" w:hAnsi="Cambria Math"/>
                          <w:color w:val="000000"/>
                        </w:rPr>
                        <m:t>T</m:t>
                      </m:r>
                      <m:ctrlPr>
                        <w:rPr>
                          <w:rFonts w:ascii="Cambria Math" w:hAnsi="Cambria Math"/>
                          <w:i/>
                          <w:color w:val="000000"/>
                        </w:rPr>
                      </m:ctrlPr>
                    </m:e>
                    <m:sub>
                      <m:r>
                        <w:rPr>
                          <w:rFonts w:ascii="Cambria Math" w:hAnsi="Cambria Math"/>
                          <w:color w:val="000000"/>
                        </w:rPr>
                        <m:t>c</m:t>
                      </m:r>
                      <m:ctrlPr>
                        <w:rPr>
                          <w:rFonts w:ascii="Cambria Math" w:hAnsi="Cambria Math"/>
                          <w:i/>
                          <w:color w:val="000000"/>
                        </w:rPr>
                      </m:ctrlPr>
                    </m:sub>
                  </m:sSub>
                  <m:ctrlPr>
                    <w:rPr>
                      <w:rFonts w:ascii="Cambria Math" w:hAnsi="Cambria Math"/>
                      <w:i/>
                      <w:color w:val="000000"/>
                    </w:rPr>
                  </m:ctrlPr>
                </m:den>
              </m:f>
            </m:oMath>
            <w:r>
              <w:rPr>
                <w:szCs w:val="20"/>
                <w:lang w:val="en-GB"/>
              </w:rPr>
              <w:t xml:space="preserve"> (parameters as defined in 38.211)</w:t>
            </w:r>
            <w:bookmarkEnd w:id="18"/>
          </w:p>
        </w:tc>
      </w:tr>
    </w:tbl>
    <w:p>
      <w:pPr>
        <w:pStyle w:val="133"/>
        <w:ind w:left="0"/>
        <w:rPr>
          <w:b/>
          <w:bCs/>
        </w:rPr>
      </w:pPr>
      <w:r>
        <w:rPr>
          <w:b/>
          <w:bCs/>
        </w:rPr>
        <w:t>The following agreement was declared on 21/8/2020</w:t>
      </w:r>
    </w:p>
    <w:p>
      <w:pPr>
        <w:pStyle w:val="133"/>
        <w:ind w:left="0"/>
        <w:rPr>
          <w:rFonts w:eastAsia="Gulim" w:cs="Calibri"/>
        </w:rPr>
      </w:pPr>
      <w:r>
        <w:rPr>
          <w:b/>
          <w:bCs/>
          <w:highlight w:val="green"/>
        </w:rPr>
        <w:t>Agreements</w:t>
      </w:r>
      <w:r>
        <w:rPr>
          <w:b/>
          <w:bCs/>
        </w:rPr>
        <w:t>:</w:t>
      </w:r>
    </w:p>
    <w:p>
      <w:pPr>
        <w:pStyle w:val="133"/>
        <w:numPr>
          <w:ilvl w:val="1"/>
          <w:numId w:val="23"/>
        </w:numPr>
        <w:ind w:left="720"/>
      </w:pPr>
      <w:r>
        <w:t>For SL configured grant type-2 activation, the UE processing time is equal to T</w:t>
      </w:r>
      <w:r>
        <w:rPr>
          <w:vertAlign w:val="subscript"/>
        </w:rPr>
        <w:t>proc</w:t>
      </w:r>
      <w:r>
        <w:t xml:space="preserve"> (agreed in RAN1#101-e).</w:t>
      </w:r>
    </w:p>
    <w:p>
      <w:pPr>
        <w:pStyle w:val="5"/>
      </w:pPr>
      <w:r>
        <w:t>TP 1.4.1-1</w:t>
      </w:r>
    </w:p>
    <w:p>
      <w:pPr>
        <w:spacing w:before="240"/>
        <w:rPr>
          <w:b/>
          <w:bCs/>
        </w:rPr>
      </w:pPr>
      <w:r>
        <w:rPr>
          <w:b/>
          <w:bCs/>
        </w:rPr>
        <w:t>The preceding agreement is captured in the following TP for TS 38.214</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jc w:val="center"/>
              <w:rPr>
                <w:rFonts w:eastAsia="Calibri"/>
                <w:b/>
                <w:color w:val="FF0000"/>
              </w:rPr>
            </w:pPr>
            <w:bookmarkStart w:id="19" w:name="_Toc45810678"/>
            <w:r>
              <w:rPr>
                <w:rFonts w:eastAsia="Calibri"/>
                <w:b/>
                <w:color w:val="FF0000"/>
              </w:rPr>
              <w:t>-------------------------- Start of Text Proposal for TS 38.214 --------------------------</w:t>
            </w:r>
          </w:p>
          <w:p>
            <w:pPr>
              <w:spacing w:before="240"/>
              <w:jc w:val="center"/>
              <w:rPr>
                <w:rFonts w:eastAsia="Calibri"/>
                <w:b/>
                <w:color w:val="FF0000"/>
              </w:rPr>
            </w:pPr>
            <w:r>
              <w:rPr>
                <w:rFonts w:eastAsia="Calibri"/>
                <w:b/>
                <w:color w:val="FF0000"/>
              </w:rPr>
              <w:t>&lt;Unchanged parts omitted&gt;</w:t>
            </w:r>
          </w:p>
          <w:p>
            <w:pPr>
              <w:pStyle w:val="3"/>
              <w:outlineLvl w:val="1"/>
              <w:rPr>
                <w:rFonts w:eastAsia="Calibri"/>
                <w:szCs w:val="22"/>
                <w:lang w:val="de-DE"/>
              </w:rPr>
            </w:pPr>
            <w:r>
              <w:rPr>
                <w:rFonts w:eastAsia="Calibri"/>
                <w:szCs w:val="22"/>
                <w:lang w:val="de-DE"/>
              </w:rPr>
              <w:t>8.6</w:t>
            </w:r>
            <w:r>
              <w:rPr>
                <w:rFonts w:eastAsia="Calibri"/>
                <w:szCs w:val="22"/>
                <w:lang w:val="de-DE"/>
              </w:rPr>
              <w:tab/>
            </w:r>
            <w:r>
              <w:rPr>
                <w:rFonts w:eastAsia="Calibri"/>
                <w:szCs w:val="22"/>
                <w:lang w:val="de-DE"/>
              </w:rPr>
              <w:t>UE PSSCH preparation procedure time</w:t>
            </w:r>
            <w:bookmarkEnd w:id="19"/>
          </w:p>
          <w:p>
            <w:pPr>
              <w:rPr>
                <w:rFonts w:eastAsia="Calibri"/>
              </w:rPr>
            </w:pPr>
            <w:r>
              <w:rPr>
                <w:rFonts w:eastAsia="Calibri"/>
              </w:rPr>
              <w:t>For sidelink dynamic grant</w:t>
            </w:r>
            <w:ins w:id="97" w:author="作者">
              <w:r>
                <w:rPr>
                  <w:rFonts w:eastAsia="Calibri"/>
                </w:rPr>
                <w:t xml:space="preserve"> </w:t>
              </w:r>
            </w:ins>
            <w:ins w:id="98" w:author="作者">
              <w:r>
                <w:rPr>
                  <w:rFonts w:eastAsiaTheme="minorEastAsia"/>
                </w:rPr>
                <w:t>and for</w:t>
              </w:r>
            </w:ins>
            <w:ins w:id="99" w:author="作者">
              <w:r>
                <w:rPr>
                  <w:rFonts w:eastAsia="Calibri"/>
                </w:rPr>
                <w:t xml:space="preserve"> SL configured grant type 2 activation</w:t>
              </w:r>
            </w:ins>
            <w:r>
              <w:rPr>
                <w:rFonts w:eastAsia="Calibri"/>
              </w:rPr>
              <w:t xml:space="preserve">, if the first sidelink symbol in the sidelink allocation for a PSSCH for a transport block and the associated PSCCH, including the DM-RS and the duplicated symbol, as defined by the </w:t>
            </w:r>
            <w:r>
              <w:rPr>
                <w:rFonts w:eastAsia="Calibri"/>
                <w:lang w:val="en-AU"/>
              </w:rPr>
              <w:t xml:space="preserve">slot offset </w:t>
            </w:r>
            <m:oMath>
              <m:sSub>
                <m:sSubPr>
                  <m:ctrlPr>
                    <w:rPr>
                      <w:rFonts w:ascii="Cambria Math" w:hAnsi="Cambria Math" w:eastAsia="Calibri"/>
                      <w:i/>
                    </w:rPr>
                  </m:ctrlPr>
                </m:sSubPr>
                <m:e>
                  <m:r>
                    <w:rPr>
                      <w:rFonts w:ascii="Cambria Math" w:hAnsi="Cambria Math" w:eastAsia="Calibri"/>
                    </w:rPr>
                    <m:t>K</m:t>
                  </m:r>
                  <m:ctrlPr>
                    <w:rPr>
                      <w:rFonts w:ascii="Cambria Math" w:hAnsi="Cambria Math" w:eastAsia="Calibri"/>
                    </w:rPr>
                  </m:ctrlPr>
                </m:e>
                <m:sub>
                  <m:r>
                    <w:rPr>
                      <w:rFonts w:ascii="Cambria Math" w:hAnsi="Cambria Math" w:eastAsia="Calibri"/>
                    </w:rPr>
                    <m:t>SL</m:t>
                  </m:r>
                  <m:ctrlPr>
                    <w:rPr>
                      <w:rFonts w:ascii="Cambria Math" w:hAnsi="Cambria Math" w:eastAsia="Calibri"/>
                      <w:i/>
                    </w:rPr>
                  </m:ctrlPr>
                </m:sub>
              </m:sSub>
            </m:oMath>
            <w:r>
              <w:rPr>
                <w:rFonts w:eastAsiaTheme="minorEastAsia"/>
              </w:rPr>
              <w:t xml:space="preserve"> of the scheduling DCI</w:t>
            </w:r>
            <w:ins w:id="100" w:author="作者">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eastAsia="Calibri"/>
                      <w:i/>
                    </w:rPr>
                  </m:ctrlPr>
                </m:sSubPr>
                <m:e>
                  <m:r>
                    <w:rPr>
                      <w:rFonts w:ascii="Cambria Math" w:eastAsia="Calibri"/>
                    </w:rPr>
                    <m:t>T</m:t>
                  </m:r>
                  <m:ctrlPr>
                    <w:rPr>
                      <w:rFonts w:ascii="Cambria Math" w:hAnsi="Cambria Math" w:eastAsia="Calibri"/>
                      <w:i/>
                    </w:rPr>
                  </m:ctrlPr>
                </m:e>
                <m:sub>
                  <m:r>
                    <w:rPr>
                      <w:rFonts w:ascii="Cambria Math" w:eastAsia="Calibri"/>
                    </w:rPr>
                    <m:t>proc</m:t>
                  </m:r>
                  <m:ctrlPr>
                    <w:rPr>
                      <w:rFonts w:ascii="Cambria Math" w:hAnsi="Cambria Math" w:eastAsia="Calibri"/>
                      <w:i/>
                    </w:rPr>
                  </m:ctrlPr>
                </m:sub>
              </m:sSub>
              <m:r>
                <w:rPr>
                  <w:rFonts w:ascii="Cambria Math" w:eastAsia="Calibri"/>
                </w:rPr>
                <m:t>=(</m:t>
              </m:r>
              <m:sSub>
                <m:sSubPr>
                  <m:ctrlPr>
                    <w:rPr>
                      <w:rFonts w:ascii="Cambria Math" w:hAnsi="Cambria Math" w:eastAsia="Calibri"/>
                      <w:i/>
                    </w:rPr>
                  </m:ctrlPr>
                </m:sSubPr>
                <m:e>
                  <m:r>
                    <w:rPr>
                      <w:rFonts w:ascii="Cambria Math" w:eastAsia="Calibri"/>
                    </w:rPr>
                    <m:t>N</m:t>
                  </m:r>
                  <m:ctrlPr>
                    <w:rPr>
                      <w:rFonts w:ascii="Cambria Math" w:hAnsi="Cambria Math" w:eastAsia="Calibri"/>
                      <w:i/>
                    </w:rPr>
                  </m:ctrlPr>
                </m:e>
                <m:sub>
                  <m:r>
                    <w:rPr>
                      <w:rFonts w:ascii="Cambria Math" w:eastAsia="Calibri"/>
                    </w:rPr>
                    <m:t>2</m:t>
                  </m:r>
                  <m:ctrlPr>
                    <w:rPr>
                      <w:rFonts w:ascii="Cambria Math" w:hAnsi="Cambria Math" w:eastAsia="Calibri"/>
                      <w:i/>
                    </w:rPr>
                  </m:ctrlPr>
                </m:sub>
              </m:sSub>
              <m:r>
                <w:rPr>
                  <w:rFonts w:ascii="Cambria Math" w:eastAsia="Calibri"/>
                </w:rPr>
                <m:t>+</m:t>
              </m:r>
              <m:sSub>
                <m:sSubPr>
                  <m:ctrlPr>
                    <w:rPr>
                      <w:rFonts w:ascii="Cambria Math" w:hAnsi="Cambria Math" w:eastAsia="Calibri"/>
                      <w:i/>
                    </w:rPr>
                  </m:ctrlPr>
                </m:sSubPr>
                <m:e>
                  <m:r>
                    <w:rPr>
                      <w:rFonts w:ascii="Cambria Math" w:eastAsia="Calibri"/>
                    </w:rPr>
                    <m:t>d</m:t>
                  </m:r>
                  <m:ctrlPr>
                    <w:rPr>
                      <w:rFonts w:ascii="Cambria Math" w:hAnsi="Cambria Math" w:eastAsia="Calibri"/>
                      <w:i/>
                    </w:rPr>
                  </m:ctrlPr>
                </m:e>
                <m:sub>
                  <m:r>
                    <w:rPr>
                      <w:rFonts w:ascii="Cambria Math" w:eastAsia="Calibri"/>
                    </w:rPr>
                    <m:t>2,1</m:t>
                  </m:r>
                  <m:ctrlPr>
                    <w:rPr>
                      <w:rFonts w:ascii="Cambria Math" w:hAnsi="Cambria Math" w:eastAsia="Calibri"/>
                      <w:i/>
                    </w:rPr>
                  </m:ctrlPr>
                </m:sub>
              </m:sSub>
              <m:r>
                <w:rPr>
                  <w:rFonts w:ascii="Cambria Math" w:eastAsia="Calibri"/>
                </w:rPr>
                <m:t>)(2048+144)</m:t>
              </m:r>
              <m:r>
                <w:rPr>
                  <w:rFonts w:ascii="Cambria Math" w:hAnsi="Cambria Math" w:eastAsia="Calibri" w:cs="Cambria Math"/>
                </w:rPr>
                <m:t>⋅</m:t>
              </m:r>
              <m:r>
                <w:rPr>
                  <w:rFonts w:ascii="Cambria Math" w:eastAsia="Calibri"/>
                </w:rPr>
                <m:t>κ</m:t>
              </m:r>
              <m:sSup>
                <m:sSupPr>
                  <m:ctrlPr>
                    <w:rPr>
                      <w:rFonts w:ascii="Cambria Math" w:hAnsi="Cambria Math" w:eastAsia="Calibri"/>
                      <w:i/>
                    </w:rPr>
                  </m:ctrlPr>
                </m:sSupPr>
                <m:e>
                  <m:r>
                    <w:rPr>
                      <w:rFonts w:ascii="Cambria Math" w:eastAsia="Calibri"/>
                    </w:rPr>
                    <m:t>2</m:t>
                  </m:r>
                  <m:ctrlPr>
                    <w:rPr>
                      <w:rFonts w:ascii="Cambria Math" w:hAnsi="Cambria Math" w:eastAsia="Calibri"/>
                      <w:i/>
                    </w:rPr>
                  </m:ctrlPr>
                </m:e>
                <m:sup>
                  <m:r>
                    <w:rPr>
                      <w:rFonts w:ascii="Cambria Math" w:eastAsia="Calibri"/>
                    </w:rPr>
                    <m:t>-μ</m:t>
                  </m:r>
                  <m:ctrlPr>
                    <w:rPr>
                      <w:rFonts w:ascii="Cambria Math" w:hAnsi="Cambria Math" w:eastAsia="Calibri"/>
                      <w:i/>
                    </w:rPr>
                  </m:ctrlPr>
                </m:sup>
              </m:sSup>
              <m:r>
                <w:rPr>
                  <w:rFonts w:ascii="Cambria Math" w:hAnsi="Cambria Math" w:eastAsia="Calibri" w:cs="Cambria Math"/>
                </w:rPr>
                <m:t>⋅</m:t>
              </m:r>
              <m:sSub>
                <m:sSubPr>
                  <m:ctrlPr>
                    <w:rPr>
                      <w:rFonts w:ascii="Cambria Math" w:hAnsi="Cambria Math" w:eastAsia="Calibri"/>
                      <w:i/>
                    </w:rPr>
                  </m:ctrlPr>
                </m:sSubPr>
                <m:e>
                  <m:r>
                    <w:rPr>
                      <w:rFonts w:ascii="Cambria Math" w:eastAsia="Calibri"/>
                    </w:rPr>
                    <m:t>T</m:t>
                  </m:r>
                  <m:ctrlPr>
                    <w:rPr>
                      <w:rFonts w:ascii="Cambria Math" w:hAnsi="Cambria Math" w:eastAsia="Calibri"/>
                      <w:i/>
                    </w:rPr>
                  </m:ctrlPr>
                </m:e>
                <m:sub>
                  <m:r>
                    <w:rPr>
                      <w:rFonts w:ascii="Cambria Math" w:eastAsia="Calibri"/>
                    </w:rPr>
                    <m:t>C</m:t>
                  </m:r>
                  <m:ctrlPr>
                    <w:rPr>
                      <w:rFonts w:ascii="Cambria Math" w:hAnsi="Cambria Math" w:eastAsia="Calibri"/>
                      <w:i/>
                    </w:rPr>
                  </m:ctrlPr>
                </m:sub>
              </m:sSub>
            </m:oMath>
            <w:r>
              <w:rPr>
                <w:rFonts w:eastAsiaTheme="minorEastAsia"/>
              </w:rPr>
              <w:t xml:space="preserve"> after the end of the reception of the last symbol of the PDCCH carrying the DCI scheduling the sidelink transmissions</w:t>
            </w:r>
            <w:ins w:id="101" w:author="作者">
              <w:r>
                <w:rPr>
                  <w:rFonts w:eastAsiaTheme="minorEastAsia"/>
                </w:rPr>
                <w:t xml:space="preserve"> for dynamic grant or activating the SL configured grant type 2</w:t>
              </w:r>
            </w:ins>
            <w:r>
              <w:rPr>
                <w:rFonts w:eastAsiaTheme="minorEastAsia"/>
              </w:rPr>
              <w:t>, then the UE shall transmit the PSSCH and the associated PSCCH.</w:t>
            </w:r>
          </w:p>
          <w:p>
            <w:pPr>
              <w:pStyle w:val="69"/>
              <w:rPr>
                <w:rFonts w:eastAsia="Calibri"/>
              </w:rPr>
            </w:pPr>
            <w:r>
              <w:rPr>
                <w:rFonts w:eastAsia="Calibri"/>
                <w:i/>
              </w:rPr>
              <w:t>-</w:t>
            </w:r>
            <w:r>
              <w:rPr>
                <w:rFonts w:eastAsia="Calibri"/>
                <w:i/>
              </w:rPr>
              <w:tab/>
            </w:r>
            <w:r>
              <w:rPr>
                <w:rFonts w:eastAsia="Calibri"/>
                <w:i/>
              </w:rPr>
              <w:t>N</w:t>
            </w:r>
            <w:r>
              <w:rPr>
                <w:rFonts w:eastAsia="Calibri"/>
                <w:i/>
                <w:vertAlign w:val="subscript"/>
              </w:rPr>
              <w:t>2</w:t>
            </w:r>
            <w:r>
              <w:rPr>
                <w:rFonts w:eastAsia="Calibri"/>
              </w:rPr>
              <w:t xml:space="preserve"> is based on </w:t>
            </w:r>
            <w:r>
              <w:rPr>
                <w:rFonts w:eastAsia="Calibri"/>
                <w:i/>
              </w:rPr>
              <w:t>µ</w:t>
            </w:r>
            <w:r>
              <w:rPr>
                <w:rFonts w:eastAsia="Calibri"/>
              </w:rPr>
              <w:t xml:space="preserve"> of Table 8.6-1, where </w:t>
            </w:r>
            <w:r>
              <w:rPr>
                <w:rFonts w:eastAsia="Calibri"/>
                <w:i/>
              </w:rPr>
              <w:t>µ</w:t>
            </w:r>
            <w:r>
              <w:rPr>
                <w:rFonts w:eastAsia="Calibri"/>
              </w:rPr>
              <w:t xml:space="preserve"> corresponds to the one of (</w:t>
            </w:r>
            <w:r>
              <w:rPr>
                <w:rFonts w:eastAsia="Calibri"/>
                <w:i/>
              </w:rPr>
              <w:t>µ</w:t>
            </w:r>
            <w:r>
              <w:rPr>
                <w:rFonts w:eastAsia="Calibri"/>
                <w:i/>
                <w:vertAlign w:val="subscript"/>
              </w:rPr>
              <w:t>DL</w:t>
            </w:r>
            <w:r>
              <w:rPr>
                <w:rFonts w:eastAsia="Calibri"/>
              </w:rPr>
              <w:t xml:space="preserve">, </w:t>
            </w:r>
            <w:r>
              <w:rPr>
                <w:rFonts w:eastAsia="Calibri"/>
                <w:i/>
              </w:rPr>
              <w:t>µ</w:t>
            </w:r>
            <w:r>
              <w:rPr>
                <w:rFonts w:eastAsia="Calibri"/>
                <w:i/>
                <w:vertAlign w:val="subscript"/>
              </w:rPr>
              <w:t>SL</w:t>
            </w:r>
            <w:r>
              <w:rPr>
                <w:rFonts w:eastAsia="Calibri"/>
              </w:rPr>
              <w:t xml:space="preserve">) resulting with the largest </w:t>
            </w:r>
            <w:r>
              <w:rPr>
                <w:rFonts w:eastAsia="Calibri"/>
                <w:i/>
              </w:rPr>
              <w:t>T</w:t>
            </w:r>
            <w:r>
              <w:rPr>
                <w:rFonts w:eastAsia="Calibri"/>
                <w:i/>
                <w:vertAlign w:val="subscript"/>
              </w:rPr>
              <w:t>proc</w:t>
            </w:r>
            <w:r>
              <w:rPr>
                <w:rFonts w:eastAsia="Calibri"/>
              </w:rPr>
              <w:t xml:space="preserve">, where the </w:t>
            </w:r>
            <w:r>
              <w:rPr>
                <w:rFonts w:eastAsia="Calibri"/>
                <w:i/>
              </w:rPr>
              <w:t>µ</w:t>
            </w:r>
            <w:r>
              <w:rPr>
                <w:rFonts w:eastAsia="Calibri"/>
                <w:i/>
                <w:vertAlign w:val="subscript"/>
              </w:rPr>
              <w:t>DL</w:t>
            </w:r>
            <w:r>
              <w:rPr>
                <w:rFonts w:eastAsia="Calibri"/>
              </w:rPr>
              <w:t xml:space="preserve"> corresponds to the subcarrier spacing of the downlink with which the PDCCH carrying the DCI scheduling the PSSCH </w:t>
            </w:r>
            <w:ins w:id="102" w:author="作者">
              <w:r>
                <w:rPr>
                  <w:rFonts w:eastAsiaTheme="minorEastAsia"/>
                </w:rPr>
                <w:t xml:space="preserve">for dynamic grant or activating the SL configured grant type 2 </w:t>
              </w:r>
            </w:ins>
            <w:r>
              <w:rPr>
                <w:rFonts w:eastAsia="Calibri"/>
              </w:rPr>
              <w:t xml:space="preserve">was transmitted and </w:t>
            </w:r>
            <w:r>
              <w:rPr>
                <w:rFonts w:eastAsia="Calibri"/>
                <w:i/>
              </w:rPr>
              <w:t>µ</w:t>
            </w:r>
            <w:r>
              <w:rPr>
                <w:rFonts w:eastAsia="Calibri"/>
                <w:i/>
                <w:vertAlign w:val="subscript"/>
              </w:rPr>
              <w:t>SL</w:t>
            </w:r>
            <w:r>
              <w:rPr>
                <w:rFonts w:eastAsia="Calibri"/>
              </w:rPr>
              <w:t xml:space="preserve"> corresponds to the subcarrier spacing of the sidelink channel with which the PSSCH and the associated PSCCH are to be transmitted, and </w:t>
            </w:r>
            <w:r>
              <w:rPr>
                <w:rFonts w:eastAsia="Calibri"/>
                <w:i/>
              </w:rPr>
              <w:t>κ</w:t>
            </w:r>
            <w:r>
              <w:rPr>
                <w:rFonts w:eastAsia="Calibri"/>
              </w:rPr>
              <w:t xml:space="preserve"> is defined in Clause 4.1 of [4, TS 38.211].</w:t>
            </w:r>
          </w:p>
          <w:p>
            <w:pPr>
              <w:pStyle w:val="69"/>
              <w:rPr>
                <w:rFonts w:eastAsia="Calibri"/>
              </w:rPr>
            </w:pPr>
            <w:r>
              <w:rPr>
                <w:rFonts w:eastAsia="Calibri"/>
              </w:rPr>
              <w:t>-</w:t>
            </w:r>
            <w:r>
              <w:rPr>
                <w:rFonts w:eastAsia="Calibri"/>
              </w:rPr>
              <w:tab/>
            </w:r>
            <w:r>
              <w:rPr>
                <w:rFonts w:eastAsia="Calibri"/>
                <w:i/>
              </w:rPr>
              <w:t>d</w:t>
            </w:r>
            <w:r>
              <w:rPr>
                <w:rFonts w:eastAsia="Calibri"/>
                <w:i/>
                <w:vertAlign w:val="subscript"/>
              </w:rPr>
              <w:t xml:space="preserve">2,1 </w:t>
            </w:r>
            <w:r>
              <w:rPr>
                <w:rFonts w:eastAsia="Calibri"/>
              </w:rPr>
              <w:t xml:space="preserve">= 1. </w:t>
            </w:r>
          </w:p>
          <w:p>
            <w:pPr>
              <w:rPr>
                <w:rFonts w:eastAsia="Calibri"/>
                <w:color w:val="000000"/>
                <w:lang w:val="en-AU"/>
              </w:rPr>
            </w:pPr>
            <w:r>
              <w:rPr>
                <w:rFonts w:eastAsia="Calibri"/>
                <w:color w:val="000000"/>
                <w:lang w:val="en-AU"/>
              </w:rPr>
              <w:t>Otherwise the UE may ignore the scheduling DCI</w:t>
            </w:r>
            <w:ins w:id="103" w:author="作者">
              <w:r>
                <w:rPr>
                  <w:rFonts w:eastAsia="Calibri"/>
                  <w:color w:val="000000"/>
                  <w:lang w:val="en-AU"/>
                </w:rPr>
                <w:t xml:space="preserve"> for dynamic grant or the activating DCI for SL configured grant type 2</w:t>
              </w:r>
            </w:ins>
            <w:r>
              <w:rPr>
                <w:rFonts w:eastAsia="Calibri"/>
                <w:color w:val="000000"/>
                <w:lang w:val="en-AU"/>
              </w:rPr>
              <w:t xml:space="preserve">. </w:t>
            </w:r>
          </w:p>
          <w:p>
            <w:pPr>
              <w:spacing w:before="240"/>
              <w:jc w:val="center"/>
              <w:rPr>
                <w:rFonts w:eastAsia="Calibri"/>
                <w:b/>
                <w:color w:val="FF0000"/>
              </w:rPr>
            </w:pPr>
            <w:r>
              <w:rPr>
                <w:rFonts w:eastAsia="Calibri"/>
                <w:b/>
                <w:color w:val="FF0000"/>
              </w:rPr>
              <w:t>&lt;Unchanged parts omitted&gt;</w:t>
            </w:r>
          </w:p>
          <w:p>
            <w:pPr>
              <w:pStyle w:val="69"/>
              <w:jc w:val="center"/>
              <w:rPr>
                <w:rFonts w:eastAsia="Calibri"/>
              </w:rPr>
            </w:pPr>
            <w:r>
              <w:rPr>
                <w:rFonts w:eastAsia="Calibri"/>
                <w:b/>
                <w:color w:val="FF0000"/>
              </w:rPr>
              <w:t>------------------------------------ End of Text Proposal ------------------------------------</w:t>
            </w:r>
          </w:p>
        </w:tc>
      </w:tr>
    </w:tbl>
    <w:p>
      <w:pPr>
        <w:spacing w:before="240"/>
        <w:rPr>
          <w:b/>
          <w:bCs/>
        </w:rPr>
      </w:pPr>
      <w:r>
        <w:rPr>
          <w:b/>
          <w:bCs/>
        </w:rPr>
        <w:t>Please provide your views on the TP using the table.</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7E6E6" w:themeFill="background2"/>
          </w:tcPr>
          <w:p>
            <w:pPr>
              <w:jc w:val="center"/>
              <w:rPr>
                <w:rFonts w:eastAsia="Calibri"/>
                <w:b/>
                <w:bCs/>
                <w:lang w:val="en-GB"/>
              </w:rPr>
            </w:pPr>
            <w:r>
              <w:rPr>
                <w:rFonts w:eastAsia="Calibri"/>
                <w:b/>
                <w:bCs/>
                <w:lang w:val="en-GB"/>
              </w:rPr>
              <w:t>Company</w:t>
            </w:r>
          </w:p>
        </w:tc>
        <w:tc>
          <w:tcPr>
            <w:tcW w:w="7933" w:type="dxa"/>
            <w:shd w:val="clear" w:color="auto" w:fill="E7E6E6" w:themeFill="background2"/>
          </w:tcPr>
          <w:p>
            <w:pPr>
              <w:jc w:val="center"/>
              <w:rPr>
                <w:rFonts w:eastAsia="Calibri"/>
                <w:b/>
                <w:bCs/>
                <w:lang w:val="en-GB"/>
              </w:rPr>
            </w:pPr>
            <w:r>
              <w:rPr>
                <w:rFonts w:eastAsia="Calibri"/>
                <w:b/>
                <w:bCs/>
                <w:lang w:val="en-GB"/>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v</w:t>
            </w:r>
            <w:r>
              <w:rPr>
                <w:rFonts w:eastAsia="等线"/>
                <w:lang w:val="en-GB"/>
              </w:rPr>
              <w:t>ivo</w:t>
            </w:r>
          </w:p>
        </w:tc>
        <w:tc>
          <w:tcPr>
            <w:tcW w:w="7933" w:type="dxa"/>
          </w:tcPr>
          <w:p>
            <w:pPr>
              <w:rPr>
                <w:rFonts w:eastAsia="等线"/>
                <w:lang w:val="en-GB"/>
              </w:rPr>
            </w:pPr>
            <w:r>
              <w:rPr>
                <w:rFonts w:hint="eastAsia" w:eastAsia="等线"/>
                <w:lang w:val="en-GB"/>
              </w:rPr>
              <w:t>2</w:t>
            </w:r>
            <w:r>
              <w:rPr>
                <w:rFonts w:eastAsia="等线"/>
                <w:lang w:val="en-GB"/>
              </w:rPr>
              <w:t>020/8/24</w:t>
            </w:r>
          </w:p>
          <w:p>
            <w:pPr>
              <w:rPr>
                <w:rFonts w:eastAsia="Calibri"/>
                <w:lang w:val="en-GB"/>
              </w:rPr>
            </w:pPr>
            <w:r>
              <w:rPr>
                <w:rFonts w:eastAsia="等线"/>
                <w:lang w:val="en-GB"/>
              </w:rPr>
              <w:t>agree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Yu Mincho"/>
                <w:lang w:val="en-GB"/>
              </w:rPr>
            </w:pPr>
            <w:r>
              <w:rPr>
                <w:rFonts w:hint="eastAsia" w:eastAsia="Yu Mincho"/>
                <w:lang w:val="en-GB"/>
              </w:rPr>
              <w:t>NTT DOCOMO</w:t>
            </w:r>
          </w:p>
        </w:tc>
        <w:tc>
          <w:tcPr>
            <w:tcW w:w="7933" w:type="dxa"/>
          </w:tcPr>
          <w:p>
            <w:pPr>
              <w:rPr>
                <w:rFonts w:eastAsia="Yu Mincho"/>
                <w:lang w:val="en-GB"/>
              </w:rPr>
            </w:pPr>
            <w:r>
              <w:rPr>
                <w:rFonts w:hint="eastAsia" w:eastAsia="Yu Mincho"/>
                <w:lang w:val="en-GB"/>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Qualcomm</w:t>
            </w:r>
          </w:p>
        </w:tc>
        <w:tc>
          <w:tcPr>
            <w:tcW w:w="7933" w:type="dxa"/>
          </w:tcPr>
          <w:p>
            <w:pPr>
              <w:rPr>
                <w:rFonts w:eastAsia="Calibri"/>
                <w:lang w:val="en-GB"/>
              </w:rPr>
            </w:pPr>
            <w:r>
              <w:rPr>
                <w:rFonts w:eastAsia="Calibri"/>
                <w:lang w:val="en-GB"/>
              </w:rPr>
              <w:t>Agree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hint="eastAsia" w:eastAsia="等线"/>
                <w:lang w:val="en-GB"/>
              </w:rPr>
              <w:t>S</w:t>
            </w:r>
            <w:r>
              <w:rPr>
                <w:rFonts w:eastAsia="等线"/>
                <w:lang w:val="en-GB"/>
              </w:rPr>
              <w:t>harp</w:t>
            </w:r>
          </w:p>
        </w:tc>
        <w:tc>
          <w:tcPr>
            <w:tcW w:w="7933" w:type="dxa"/>
          </w:tcPr>
          <w:p>
            <w:pPr>
              <w:rPr>
                <w:rFonts w:eastAsia="等线"/>
                <w:lang w:val="en-GB"/>
              </w:rPr>
            </w:pPr>
            <w:r>
              <w:rPr>
                <w:rFonts w:hint="eastAsia" w:eastAsia="等线"/>
                <w:lang w:val="en-GB"/>
              </w:rPr>
              <w:t>A</w:t>
            </w:r>
            <w:r>
              <w:rPr>
                <w:rFonts w:eastAsia="等线"/>
                <w:lang w:val="en-GB"/>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Huawei, HiSilicon</w:t>
            </w:r>
          </w:p>
        </w:tc>
        <w:tc>
          <w:tcPr>
            <w:tcW w:w="7933" w:type="dxa"/>
          </w:tcPr>
          <w:p>
            <w:pPr>
              <w:rPr>
                <w:rFonts w:eastAsia="Calibri"/>
                <w:lang w:val="en-GB"/>
              </w:rPr>
            </w:pPr>
            <w:r>
              <w:rPr>
                <w:rFonts w:eastAsia="Calibri"/>
                <w:lang w:val="en-GB"/>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Theme="minorEastAsia"/>
                <w:lang w:val="en-GB"/>
              </w:rPr>
            </w:pPr>
            <w:r>
              <w:rPr>
                <w:rFonts w:hint="eastAsia" w:eastAsiaTheme="minorEastAsia"/>
                <w:lang w:val="en-GB"/>
              </w:rPr>
              <w:t>L</w:t>
            </w:r>
            <w:r>
              <w:rPr>
                <w:rFonts w:eastAsiaTheme="minorEastAsia"/>
                <w:lang w:val="en-GB"/>
              </w:rPr>
              <w:t>GE</w:t>
            </w:r>
          </w:p>
        </w:tc>
        <w:tc>
          <w:tcPr>
            <w:tcW w:w="7933" w:type="dxa"/>
          </w:tcPr>
          <w:p>
            <w:pPr>
              <w:rPr>
                <w:rFonts w:eastAsia="Calibri"/>
                <w:lang w:val="en-GB"/>
              </w:rPr>
            </w:pPr>
            <w:r>
              <w:rPr>
                <w:rFonts w:eastAsia="Calibri"/>
                <w:lang w:val="en-GB"/>
              </w:rPr>
              <w:t>Agree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bl>
    <w:p>
      <w:pPr>
        <w:pStyle w:val="4"/>
        <w:ind w:left="0" w:firstLine="0"/>
      </w:pPr>
      <w:r>
        <w:t>Issue 1.4-2</w:t>
      </w:r>
      <w:r>
        <w:tab/>
      </w:r>
      <w:r>
        <w:t>Whether the gNB needs to be aware of SL HARQ RTT (Z = a + b) or alternative assumptions or behaviour, if necessary</w:t>
      </w:r>
    </w:p>
    <w:p>
      <w:pPr>
        <w:rPr>
          <w:b/>
          <w:bCs/>
        </w:rPr>
      </w:pPr>
      <w:r>
        <w:rPr>
          <w:b/>
          <w:bCs/>
        </w:rPr>
        <w:t>A few contributions (e.g., R1-2005741, R1-2005847) discuss whether it is necessary for the gNB to know the SL HARQ RTT (i.e., Z = a + b in the agreements) for being able to schedule the SL Mode 1 transmissions and to schedule the PUCCH transmissions with SL HARQ reports.</w:t>
      </w:r>
    </w:p>
    <w:p>
      <w:pPr>
        <w:pStyle w:val="133"/>
        <w:numPr>
          <w:ilvl w:val="0"/>
          <w:numId w:val="24"/>
        </w:numPr>
        <w:rPr>
          <w:b/>
          <w:bCs/>
        </w:rPr>
      </w:pPr>
      <w:r>
        <w:rPr>
          <w:b/>
          <w:bCs/>
        </w:rPr>
        <w:t xml:space="preserve">It is necessary to agree on an assumption on the HARQ RTT. </w:t>
      </w:r>
    </w:p>
    <w:p>
      <w:pPr>
        <w:pStyle w:val="133"/>
        <w:numPr>
          <w:ilvl w:val="0"/>
          <w:numId w:val="24"/>
        </w:numPr>
        <w:rPr>
          <w:b/>
          <w:bCs/>
        </w:rPr>
      </w:pPr>
      <w:r>
        <w:rPr>
          <w:b/>
          <w:bCs/>
        </w:rPr>
        <w:t>It is not necessary to agree on an assumption on the HARQ RTT. In that case,</w:t>
      </w:r>
    </w:p>
    <w:p>
      <w:pPr>
        <w:pStyle w:val="133"/>
        <w:numPr>
          <w:ilvl w:val="1"/>
          <w:numId w:val="24"/>
        </w:numPr>
        <w:rPr>
          <w:b/>
          <w:bCs/>
        </w:rPr>
      </w:pPr>
      <w:r>
        <w:rPr>
          <w:b/>
          <w:bCs/>
        </w:rPr>
        <w:t>How should the UE proceed if the time between two SL transmissions (for the same TB) is shorter than the HARQ RTT?</w:t>
      </w:r>
    </w:p>
    <w:p>
      <w:pPr>
        <w:pStyle w:val="133"/>
        <w:numPr>
          <w:ilvl w:val="1"/>
          <w:numId w:val="24"/>
        </w:numPr>
        <w:rPr>
          <w:b/>
          <w:bCs/>
        </w:rPr>
      </w:pPr>
      <w:r>
        <w:rPr>
          <w:b/>
          <w:bCs/>
        </w:rPr>
        <w:t xml:space="preserve">How should the UE proceed if the time between the last PSFCH reception and the SL HARQ report to the gNB is smaller than the processing time at the UE? </w:t>
      </w:r>
    </w:p>
    <w:p>
      <w:pPr>
        <w:rPr>
          <w:b/>
          <w:bCs/>
        </w:rPr>
      </w:pPr>
      <w:r>
        <w:rPr>
          <w:b/>
          <w:bCs/>
        </w:rPr>
        <w:t>(For other answers, please explain)</w:t>
      </w:r>
    </w:p>
    <w:p>
      <w:pPr>
        <w:rPr>
          <w:b/>
          <w:bCs/>
        </w:rPr>
      </w:pPr>
      <w:r>
        <w:rPr>
          <w:b/>
          <w:bCs/>
        </w:rPr>
        <w:t>FL summary (19/8/2020)</w:t>
      </w:r>
    </w:p>
    <w:p>
      <w:pPr>
        <w:pStyle w:val="133"/>
        <w:numPr>
          <w:ilvl w:val="0"/>
          <w:numId w:val="25"/>
        </w:numPr>
      </w:pPr>
      <w:r>
        <w:t>There is a very clear majority of companies that think that an upper bound on ’b’ should be defined, while leaving the actual value up to UE implementation, as agreed. We can discuss the value but the agreed value for T</w:t>
      </w:r>
      <w:r>
        <w:rPr>
          <w:vertAlign w:val="subscript"/>
        </w:rPr>
        <w:t>proc</w:t>
      </w:r>
      <w:r>
        <w:t xml:space="preserve"> seems a reasonable starting point.</w:t>
      </w:r>
    </w:p>
    <w:p>
      <w:pPr>
        <w:pStyle w:val="133"/>
        <w:numPr>
          <w:ilvl w:val="0"/>
          <w:numId w:val="25"/>
        </w:numPr>
      </w:pPr>
      <w:r>
        <w:t>For the case that ”the time between the last PSFCH reception and the SL HARQ report to the gNB is smaller than the processing time at the UE”, two companies have expressed the position that this should be left up to UE/NW implementation, while one company proposes to specify some behavior.</w:t>
      </w:r>
    </w:p>
    <w:p>
      <w:pPr>
        <w:pStyle w:val="133"/>
        <w:numPr>
          <w:ilvl w:val="0"/>
          <w:numId w:val="25"/>
        </w:numPr>
      </w:pPr>
      <w:r>
        <w:t>Based on this, my proposal is the following:</w:t>
      </w:r>
    </w:p>
    <w:p>
      <w:pPr>
        <w:rPr>
          <w:b/>
          <w:bCs/>
        </w:rPr>
      </w:pPr>
      <w:r>
        <w:rPr>
          <w:b/>
          <w:bCs/>
        </w:rPr>
        <w:t>FL summary (20/8/2020)</w:t>
      </w:r>
    </w:p>
    <w:p>
      <w:pPr>
        <w:pStyle w:val="133"/>
        <w:numPr>
          <w:ilvl w:val="0"/>
          <w:numId w:val="26"/>
        </w:numPr>
      </w:pPr>
      <w:r>
        <w:t>Multiple companies have expressed a preference for using T</w:t>
      </w:r>
      <w:r>
        <w:rPr>
          <w:vertAlign w:val="subscript"/>
        </w:rPr>
        <w:t>prep</w:t>
      </w:r>
      <w:r>
        <w:t xml:space="preserve"> isntead of T</w:t>
      </w:r>
      <w:r>
        <w:rPr>
          <w:vertAlign w:val="subscript"/>
        </w:rPr>
        <w:t>proc</w:t>
      </w:r>
      <w:r>
        <w:t>.</w:t>
      </w:r>
    </w:p>
    <w:p>
      <w:pPr>
        <w:pStyle w:val="133"/>
        <w:numPr>
          <w:ilvl w:val="0"/>
          <w:numId w:val="26"/>
        </w:numPr>
      </w:pPr>
      <w:r>
        <w:t>Based on this, I have updated the proposal as follows:</w:t>
      </w:r>
    </w:p>
    <w:p>
      <w:pPr>
        <w:rPr>
          <w:b/>
          <w:bCs/>
          <w:highlight w:val="yellow"/>
        </w:rPr>
      </w:pPr>
    </w:p>
    <w:p>
      <w:pPr>
        <w:rPr>
          <w:b/>
          <w:bCs/>
        </w:rPr>
      </w:pPr>
      <w:r>
        <w:rPr>
          <w:b/>
          <w:bCs/>
          <w:highlight w:val="yellow"/>
        </w:rPr>
        <w:t>Proposal</w:t>
      </w:r>
      <w:r>
        <w:rPr>
          <w:b/>
          <w:bCs/>
        </w:rPr>
        <w:t>:</w:t>
      </w:r>
    </w:p>
    <w:p>
      <w:pPr>
        <w:pStyle w:val="133"/>
        <w:numPr>
          <w:ilvl w:val="0"/>
          <w:numId w:val="27"/>
        </w:numPr>
      </w:pPr>
      <w:r>
        <w:t xml:space="preserve">The time between PSFCH reception and next PSCCH/PSSCH retransmission (i.e., ’b’) does not exceed </w:t>
      </w:r>
      <w:ins w:id="104" w:author="作者">
        <w:r>
          <w:rPr/>
          <w:t>T</w:t>
        </w:r>
      </w:ins>
      <w:ins w:id="105" w:author="作者">
        <w:r>
          <w:rPr>
            <w:vertAlign w:val="subscript"/>
          </w:rPr>
          <w:t>prep</w:t>
        </w:r>
      </w:ins>
      <w:del w:id="106" w:author="作者">
        <w:r>
          <w:rPr/>
          <w:delText>T</w:delText>
        </w:r>
      </w:del>
      <w:del w:id="107" w:author="作者">
        <w:r>
          <w:rPr>
            <w:vertAlign w:val="subscript"/>
          </w:rPr>
          <w:delText>proc</w:delText>
        </w:r>
      </w:del>
      <w:r>
        <w:t>.</w:t>
      </w:r>
    </w:p>
    <w:p>
      <w:pPr>
        <w:pStyle w:val="133"/>
        <w:numPr>
          <w:ilvl w:val="0"/>
          <w:numId w:val="27"/>
        </w:numPr>
      </w:pPr>
      <w:r>
        <w:t>No additional specification is introduced for the case that the time between the last PSFCH reception and the SL HARQ report to the gNB is smaller than the processing time at the UE.</w:t>
      </w:r>
    </w:p>
    <w:p>
      <w:pPr>
        <w:rPr>
          <w:b/>
          <w:bCs/>
        </w:rPr>
      </w:pPr>
      <w:r>
        <w:rPr>
          <w:b/>
          <w:bCs/>
        </w:rPr>
        <w:t>During the GTW session on 20/8/20, the following was agreed:</w:t>
      </w:r>
    </w:p>
    <w:p>
      <w:pPr>
        <w:rPr>
          <w:szCs w:val="20"/>
        </w:rPr>
      </w:pPr>
      <w:r>
        <w:rPr>
          <w:szCs w:val="20"/>
          <w:highlight w:val="green"/>
        </w:rPr>
        <w:t>Agreements</w:t>
      </w:r>
      <w:r>
        <w:rPr>
          <w:szCs w:val="20"/>
        </w:rPr>
        <w:t>:</w:t>
      </w:r>
    </w:p>
    <w:p>
      <w:pPr>
        <w:rPr>
          <w:szCs w:val="20"/>
        </w:rPr>
      </w:pPr>
      <w:r>
        <w:rPr>
          <w:szCs w:val="20"/>
        </w:rPr>
        <w:t>For Mode 1 when applicable:</w:t>
      </w:r>
    </w:p>
    <w:p>
      <w:pPr>
        <w:pStyle w:val="133"/>
        <w:numPr>
          <w:ilvl w:val="0"/>
          <w:numId w:val="27"/>
        </w:numPr>
        <w:spacing w:line="252" w:lineRule="auto"/>
        <w:rPr>
          <w:szCs w:val="20"/>
        </w:rPr>
      </w:pP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szCs w:val="20"/>
        </w:rPr>
        <w:t xml:space="preserve"> </w:t>
      </w:r>
    </w:p>
    <w:p>
      <w:pPr>
        <w:pStyle w:val="133"/>
        <w:numPr>
          <w:ilvl w:val="1"/>
          <w:numId w:val="27"/>
        </w:numPr>
        <w:spacing w:line="252" w:lineRule="auto"/>
        <w:rPr>
          <w:szCs w:val="20"/>
        </w:rPr>
      </w:pPr>
      <w:r>
        <w:rPr>
          <w:szCs w:val="20"/>
        </w:rPr>
        <w:t>To conclude the value of delta&gt;=0 during the e-Meeting</w:t>
      </w:r>
    </w:p>
    <w:p>
      <w:pPr>
        <w:pStyle w:val="133"/>
        <w:numPr>
          <w:ilvl w:val="1"/>
          <w:numId w:val="27"/>
        </w:numPr>
        <w:spacing w:line="252" w:lineRule="auto"/>
        <w:rPr>
          <w:szCs w:val="20"/>
        </w:rPr>
      </w:pPr>
      <w:r>
        <w:rPr>
          <w:szCs w:val="20"/>
        </w:rPr>
        <w:t>A UE is not expected to be scheduled consecutive SL transmisions for the same TB such that the minimum time between PSFCH reception and next PSCCH/PSSCH retransmission can not be guaranteed</w:t>
      </w:r>
    </w:p>
    <w:p>
      <w:pPr>
        <w:pStyle w:val="133"/>
        <w:numPr>
          <w:ilvl w:val="0"/>
          <w:numId w:val="27"/>
        </w:numPr>
        <w:spacing w:line="252" w:lineRule="auto"/>
        <w:rPr>
          <w:szCs w:val="20"/>
        </w:rPr>
      </w:pPr>
      <w:r>
        <w:rPr>
          <w:szCs w:val="20"/>
        </w:rPr>
        <w:t xml:space="preserve">FFS the detailed conditions of the applicability </w:t>
      </w:r>
    </w:p>
    <w:p>
      <w:pPr>
        <w:spacing w:before="240"/>
        <w:rPr>
          <w:b/>
          <w:bCs/>
        </w:rPr>
      </w:pPr>
      <w:r>
        <w:rPr>
          <w:b/>
          <w:bCs/>
        </w:rPr>
        <w:t>Regarding applicability:</w:t>
      </w:r>
    </w:p>
    <w:p>
      <w:pPr>
        <w:spacing w:before="240"/>
      </w:pPr>
      <w:r>
        <w:t>The following two options were discussed during the meeting:</w:t>
      </w:r>
    </w:p>
    <w:p>
      <w:pPr>
        <w:pStyle w:val="133"/>
        <w:numPr>
          <w:ilvl w:val="0"/>
          <w:numId w:val="28"/>
        </w:numPr>
        <w:spacing w:before="240"/>
      </w:pPr>
      <w:r>
        <w:t>Option A. The gNB provides a grant for transmission in a pool with PSFCH resources.</w:t>
      </w:r>
    </w:p>
    <w:p>
      <w:pPr>
        <w:pStyle w:val="133"/>
        <w:numPr>
          <w:ilvl w:val="0"/>
          <w:numId w:val="28"/>
        </w:numPr>
        <w:spacing w:before="240"/>
      </w:pPr>
      <w:r>
        <w:t>Option B. SL HARQ feedback is used (my understanding is that this is the same as TB with HARQ-enabled is transmitted)</w:t>
      </w:r>
    </w:p>
    <w:p>
      <w:pPr>
        <w:spacing w:before="240"/>
      </w:pPr>
      <w:r>
        <w:t>My understanding is that the gNB cannot know whether the condition in option B is met or not. The gNB provides resources but the UE is in charge of assembling the TB. Situations like the following may happen:</w:t>
      </w:r>
    </w:p>
    <w:p>
      <w:pPr>
        <w:pStyle w:val="133"/>
        <w:numPr>
          <w:ilvl w:val="0"/>
          <w:numId w:val="29"/>
        </w:numPr>
        <w:spacing w:before="240"/>
      </w:pPr>
      <w:r>
        <w:t>The UE sends a BSR which indicates that it has data belonging to LCH for which SL HARQ FB is not enabled.</w:t>
      </w:r>
    </w:p>
    <w:p>
      <w:pPr>
        <w:pStyle w:val="133"/>
        <w:numPr>
          <w:ilvl w:val="0"/>
          <w:numId w:val="29"/>
        </w:numPr>
        <w:spacing w:before="240"/>
      </w:pPr>
      <w:r>
        <w:t>After the BSR is sent but before the grant is received, a new packet with high priority arrives at the TX buffer.</w:t>
      </w:r>
    </w:p>
    <w:p>
      <w:pPr>
        <w:pStyle w:val="133"/>
        <w:numPr>
          <w:ilvl w:val="0"/>
          <w:numId w:val="29"/>
        </w:numPr>
        <w:spacing w:before="240"/>
      </w:pPr>
      <w:r>
        <w:t>Although the pool contains PSFCH resources, the gNB provides a grant (based on the BSR) with PSFCH-to-PSCCH/PSSCH time smaller than T</w:t>
      </w:r>
      <w:r>
        <w:rPr>
          <w:vertAlign w:val="subscript"/>
        </w:rPr>
        <w:t>prep</w:t>
      </w:r>
      <w:r>
        <w:t xml:space="preserve"> + delta.</w:t>
      </w:r>
    </w:p>
    <w:p>
      <w:pPr>
        <w:pStyle w:val="133"/>
        <w:numPr>
          <w:ilvl w:val="0"/>
          <w:numId w:val="29"/>
        </w:numPr>
        <w:spacing w:before="240"/>
      </w:pPr>
      <w:r>
        <w:t>The UE finds itself in a situation that it has a packet that requires HARQ feedback but the grant cannot work. This would require that RAN2 introduces new LCP rules, which is highly undesirable at this stage.</w:t>
      </w:r>
    </w:p>
    <w:p>
      <w:pPr>
        <w:spacing w:before="240"/>
      </w:pPr>
      <w:r>
        <w:t>For this reason, my proposal would be to go with the first option</w:t>
      </w:r>
    </w:p>
    <w:p>
      <w:pPr>
        <w:spacing w:before="240"/>
      </w:pPr>
      <w:r>
        <w:t>Regarding delta, I would appreciate if companies would share views. So far, we have only seen two values: 0 and 0.5 ms. Among these, 0ms seems to have widest support.</w:t>
      </w:r>
    </w:p>
    <w:p>
      <w:pPr>
        <w:spacing w:before="240"/>
        <w:rPr>
          <w:b/>
          <w:bCs/>
        </w:rPr>
      </w:pPr>
      <w:r>
        <w:rPr>
          <w:b/>
          <w:bCs/>
          <w:highlight w:val="yellow"/>
        </w:rPr>
        <w:t>Proposal</w:t>
      </w:r>
      <w:r>
        <w:rPr>
          <w:b/>
          <w:bCs/>
        </w:rPr>
        <w:t>:</w:t>
      </w:r>
    </w:p>
    <w:p>
      <w:pPr>
        <w:pStyle w:val="133"/>
        <w:numPr>
          <w:ilvl w:val="0"/>
          <w:numId w:val="30"/>
        </w:numPr>
        <w:spacing w:before="240"/>
      </w:pPr>
      <w:r>
        <w:t xml:space="preserve">Change the first line in the above agreement so that it reads: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p>
    <w:p>
      <w:pPr>
        <w:pStyle w:val="133"/>
        <w:numPr>
          <w:ilvl w:val="0"/>
          <w:numId w:val="30"/>
        </w:numPr>
        <w:spacing w:before="240"/>
      </w:pPr>
      <w:ins w:id="108" w:author="作者">
        <w:r>
          <w:rPr>
            <w:szCs w:val="20"/>
          </w:rPr>
          <w:t>delta = 0.</w:t>
        </w:r>
      </w:ins>
    </w:p>
    <w:p>
      <w:pPr>
        <w:spacing w:before="240"/>
      </w:pPr>
      <w:r>
        <w:t>Please share your views for the proposal and the value for delta using the new table (the old table can be found in the appendix, for reference).</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7E6E6" w:themeFill="background2"/>
          </w:tcPr>
          <w:p>
            <w:pPr>
              <w:jc w:val="center"/>
              <w:rPr>
                <w:rFonts w:eastAsia="Calibri"/>
                <w:b/>
                <w:bCs/>
                <w:lang w:val="en-GB"/>
              </w:rPr>
            </w:pPr>
            <w:r>
              <w:rPr>
                <w:rFonts w:eastAsia="Calibri"/>
                <w:b/>
                <w:bCs/>
                <w:lang w:val="en-GB"/>
              </w:rPr>
              <w:t>Company</w:t>
            </w:r>
          </w:p>
        </w:tc>
        <w:tc>
          <w:tcPr>
            <w:tcW w:w="7933" w:type="dxa"/>
            <w:shd w:val="clear" w:color="auto" w:fill="E7E6E6" w:themeFill="background2"/>
          </w:tcPr>
          <w:p>
            <w:pPr>
              <w:jc w:val="center"/>
              <w:rPr>
                <w:rFonts w:eastAsia="Calibri"/>
                <w:b/>
                <w:bCs/>
                <w:lang w:val="en-GB"/>
              </w:rPr>
            </w:pPr>
            <w:r>
              <w:rPr>
                <w:rFonts w:eastAsia="Calibri"/>
                <w:b/>
                <w:bCs/>
                <w:lang w:val="en-GB"/>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ZTE, Sanechips</w:t>
            </w:r>
          </w:p>
        </w:tc>
        <w:tc>
          <w:tcPr>
            <w:tcW w:w="7933" w:type="dxa"/>
          </w:tcPr>
          <w:p>
            <w:pPr>
              <w:rPr>
                <w:rFonts w:eastAsia="Calibri"/>
                <w:lang w:val="en-GB"/>
              </w:rPr>
            </w:pPr>
            <w:r>
              <w:rPr>
                <w:rFonts w:eastAsia="Calibri"/>
                <w:lang w:val="en-GB"/>
              </w:rPr>
              <w:t>We agree FL’s proposal on “</w:t>
            </w:r>
            <w:r>
              <w:rPr>
                <w:rFonts w:eastAsia="Calibri"/>
                <w:szCs w:val="20"/>
              </w:rPr>
              <w:t xml:space="preserve">For Mode 1 </w:t>
            </w:r>
            <w:r>
              <w:rPr>
                <w:rFonts w:eastAsia="Calibri"/>
                <w:strike/>
                <w:color w:val="FF0000"/>
                <w:szCs w:val="20"/>
              </w:rPr>
              <w:t>when applicable</w:t>
            </w:r>
            <w:r>
              <w:rPr>
                <w:rFonts w:eastAsia="Calibri"/>
                <w:color w:val="FF0000"/>
                <w:szCs w:val="20"/>
              </w:rPr>
              <w:t xml:space="preserve"> when using a pool with PSFCH resources</w:t>
            </w:r>
            <w:r>
              <w:rPr>
                <w:rFonts w:eastAsia="Calibri"/>
                <w:szCs w:val="20"/>
              </w:rPr>
              <w:t>:</w:t>
            </w:r>
            <w:r>
              <w:rPr>
                <w:rFonts w:eastAsia="Calibri"/>
                <w:lang w:val="en-GB"/>
              </w:rPr>
              <w:t>”</w:t>
            </w:r>
          </w:p>
          <w:p>
            <w:pPr>
              <w:rPr>
                <w:rFonts w:eastAsia="Calibri"/>
                <w:lang w:val="en-GB"/>
              </w:rPr>
            </w:pPr>
            <w:r>
              <w:rPr>
                <w:rFonts w:eastAsia="Calibri"/>
                <w:lang w:val="en-GB"/>
              </w:rPr>
              <w:t>Regarding to value of delta, we would like to firstly ask for a clarification of the main bullet in the agreement made in the most recent conference call, i.e. “</w:t>
            </w:r>
            <w:r>
              <w:rPr>
                <w:rFonts w:eastAsia="Calibri"/>
                <w:szCs w:val="20"/>
              </w:rPr>
              <w:t xml:space="preserve">For the same TB, the minimum time between PSFCH reception and next scheduled PSCCH/PSSCH retransmission is </w:t>
            </w:r>
            <w:r>
              <w:rPr>
                <w:rFonts w:eastAsia="Calibri"/>
                <w:szCs w:val="20"/>
                <w:u w:val="single"/>
              </w:rPr>
              <w:t>T</w:t>
            </w:r>
            <w:r>
              <w:rPr>
                <w:rFonts w:eastAsia="Calibri"/>
                <w:szCs w:val="20"/>
                <w:u w:val="single"/>
                <w:vertAlign w:val="subscript"/>
              </w:rPr>
              <w:t xml:space="preserve">prep </w:t>
            </w:r>
            <w:r>
              <w:rPr>
                <w:rFonts w:eastAsia="Calibri"/>
                <w:szCs w:val="20"/>
                <w:u w:val="single"/>
              </w:rPr>
              <w:t>+delta (ms)</w:t>
            </w:r>
            <w:r>
              <w:rPr>
                <w:rFonts w:eastAsia="Calibri"/>
                <w:lang w:val="en-GB"/>
              </w:rPr>
              <w:t>”. To our understanding on the original intention of this topic,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of the whole agreement 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understanding:</w:t>
            </w:r>
          </w:p>
          <w:p>
            <w:pPr>
              <w:pStyle w:val="133"/>
              <w:numPr>
                <w:ilvl w:val="0"/>
                <w:numId w:val="31"/>
              </w:numPr>
              <w:rPr>
                <w:lang w:val="en-GB"/>
              </w:rPr>
            </w:pPr>
            <w:r>
              <w:rPr>
                <w:lang w:val="en-GB"/>
              </w:rPr>
              <w:t xml:space="preserve">If the main bullet in agreement is a restriction to gNB behaviour, delta should be a value knowable to gNB. </w:t>
            </w:r>
          </w:p>
          <w:p>
            <w:pPr>
              <w:pStyle w:val="133"/>
              <w:numPr>
                <w:ilvl w:val="0"/>
                <w:numId w:val="31"/>
              </w:numPr>
              <w:rPr>
                <w:lang w:val="en-GB"/>
              </w:rPr>
            </w:pPr>
            <w:r>
              <w:rPr>
                <w:lang w:val="en-GB"/>
              </w:rPr>
              <w:t xml:space="preserve">If the main bullet in agreement is a UE behaviour, there seems no strong requirement for gNB to know delta, although having the knowledge in gNB is beneficial.  </w:t>
            </w:r>
          </w:p>
          <w:p>
            <w:pPr>
              <w:rPr>
                <w:rFonts w:eastAsia="Calibri"/>
                <w:lang w:val="en-GB"/>
              </w:rPr>
            </w:pPr>
            <w:r>
              <w:rPr>
                <w:rFonts w:eastAsia="Calibri"/>
                <w:lang w:val="en-GB"/>
              </w:rPr>
              <w:t xml:space="preserve">Further, whether the main bullet intends to describe the gNB behavior or UE behavior also impacts how to capture the agreement in TP. </w:t>
            </w:r>
          </w:p>
          <w:p>
            <w:pPr>
              <w:rPr>
                <w:rFonts w:eastAsia="Calibri"/>
                <w:lang w:val="en-GB"/>
              </w:rPr>
            </w:pPr>
            <w:r>
              <w:rPr>
                <w:rFonts w:eastAsia="Calibri"/>
                <w:lang w:val="en-GB"/>
              </w:rPr>
              <w:t xml:space="preserve">It is not our intention to re-open the agreement. Just need a clarification. </w:t>
            </w:r>
          </w:p>
          <w:p>
            <w:pPr>
              <w:rPr>
                <w:rFonts w:eastAsia="Calibri"/>
                <w:color w:val="FF0000"/>
                <w:lang w:val="en-GB"/>
              </w:rPr>
            </w:pPr>
            <w:r>
              <w:rPr>
                <w:rFonts w:eastAsia="Calibri"/>
                <w:color w:val="FF0000"/>
                <w:lang w:val="en-GB"/>
              </w:rPr>
              <w:t>FL reply (21/8/20)</w:t>
            </w:r>
          </w:p>
          <w:p>
            <w:pPr>
              <w:rPr>
                <w:rFonts w:eastAsia="Calibri"/>
                <w:color w:val="FF0000"/>
                <w:lang w:val="en-GB"/>
              </w:rPr>
            </w:pPr>
            <w:r>
              <w:rPr>
                <w:rFonts w:eastAsia="Calibri"/>
                <w:color w:val="FF0000"/>
                <w:lang w:val="en-GB"/>
              </w:rPr>
              <w:t>My understanding is that this agreement</w:t>
            </w:r>
          </w:p>
          <w:p>
            <w:pPr>
              <w:pStyle w:val="133"/>
              <w:numPr>
                <w:ilvl w:val="0"/>
                <w:numId w:val="30"/>
              </w:numPr>
              <w:rPr>
                <w:color w:val="FF0000"/>
                <w:lang w:val="en-GB"/>
              </w:rPr>
            </w:pPr>
            <w:r>
              <w:rPr>
                <w:color w:val="FF0000"/>
                <w:lang w:val="en-GB"/>
              </w:rPr>
              <w:t xml:space="preserve">Implies that any UE does the required processing (i.e., process PSFCH, prepare a new PSCCH/PSSCH transmission, etc.) in a time that will not be larger than </w:t>
            </w:r>
            <w:r>
              <w:rPr>
                <w:color w:val="FF0000"/>
                <w:szCs w:val="20"/>
              </w:rPr>
              <w:t>T</w:t>
            </w:r>
            <w:r>
              <w:rPr>
                <w:color w:val="FF0000"/>
                <w:szCs w:val="20"/>
                <w:vertAlign w:val="subscript"/>
              </w:rPr>
              <w:t xml:space="preserve">prep </w:t>
            </w:r>
            <w:r>
              <w:rPr>
                <w:color w:val="FF0000"/>
                <w:szCs w:val="20"/>
              </w:rPr>
              <w:t>+ delta (but the UE could do faster than that)</w:t>
            </w:r>
            <w:r>
              <w:rPr>
                <w:color w:val="FF0000"/>
              </w:rPr>
              <w:t>.</w:t>
            </w:r>
          </w:p>
          <w:p>
            <w:pPr>
              <w:pStyle w:val="133"/>
              <w:numPr>
                <w:ilvl w:val="0"/>
                <w:numId w:val="30"/>
              </w:numPr>
              <w:rPr>
                <w:color w:val="FF0000"/>
                <w:lang w:val="en-GB"/>
              </w:rPr>
            </w:pPr>
            <w:r>
              <w:rPr>
                <w:color w:val="FF0000"/>
              </w:rPr>
              <w:t xml:space="preserve">Implies that the UE will not expect the gNB to be scheduled consecutive transmissions of the same TB that are spaced by less than </w:t>
            </w:r>
            <w:r>
              <w:rPr>
                <w:color w:val="FF0000"/>
                <w:szCs w:val="20"/>
              </w:rPr>
              <w:t>T</w:t>
            </w:r>
            <w:r>
              <w:rPr>
                <w:color w:val="FF0000"/>
                <w:szCs w:val="20"/>
                <w:vertAlign w:val="subscript"/>
              </w:rPr>
              <w:t xml:space="preserve">prep </w:t>
            </w:r>
            <w:r>
              <w:rPr>
                <w:color w:val="FF0000"/>
                <w:szCs w:val="20"/>
              </w:rPr>
              <w:t>+ delta.</w:t>
            </w:r>
          </w:p>
          <w:p>
            <w:pPr>
              <w:pStyle w:val="133"/>
              <w:numPr>
                <w:ilvl w:val="0"/>
                <w:numId w:val="30"/>
              </w:numPr>
              <w:rPr>
                <w:color w:val="FF0000"/>
                <w:lang w:val="en-GB"/>
              </w:rPr>
            </w:pPr>
            <w:r>
              <w:rPr>
                <w:color w:val="FF0000"/>
              </w:rPr>
              <w:t>(The conditions when these applies and the exact value of delta are being discussed in this thread and will be part of the spec text.)</w:t>
            </w:r>
          </w:p>
          <w:p>
            <w:pPr>
              <w:rPr>
                <w:rFonts w:eastAsia="Calibri"/>
                <w:color w:val="FF0000"/>
                <w:lang w:val="en-GB"/>
              </w:rPr>
            </w:pPr>
            <w:r>
              <w:rPr>
                <w:rFonts w:eastAsia="Calibri"/>
                <w:color w:val="FF0000"/>
                <w:lang w:val="en-GB"/>
              </w:rPr>
              <w:t>I don’t think this is conceptually any different from the following agreement made in RAN1#100bis-e</w:t>
            </w:r>
          </w:p>
          <w:p>
            <w:pPr>
              <w:rPr>
                <w:rFonts w:ascii="Calibri" w:hAnsi="Calibri" w:eastAsia="Calibri"/>
                <w:szCs w:val="20"/>
                <w:highlight w:val="green"/>
              </w:rPr>
            </w:pPr>
            <w:r>
              <w:rPr>
                <w:rFonts w:eastAsia="Calibri"/>
                <w:szCs w:val="20"/>
                <w:highlight w:val="green"/>
              </w:rPr>
              <w:t>Agreements:</w:t>
            </w:r>
          </w:p>
          <w:p>
            <w:pPr>
              <w:numPr>
                <w:ilvl w:val="0"/>
                <w:numId w:val="32"/>
              </w:numPr>
              <w:rPr>
                <w:rFonts w:eastAsia="Calibri"/>
                <w:szCs w:val="20"/>
              </w:rPr>
            </w:pPr>
            <w:r>
              <w:rPr>
                <w:rFonts w:eastAsia="Calibri"/>
                <w:szCs w:val="20"/>
              </w:rPr>
              <w:t>A UE does not expect to be scheduled to transmit the UL report corresponding to a PSFCH reception earlier than T</w:t>
            </w:r>
            <w:r>
              <w:rPr>
                <w:rFonts w:eastAsia="Calibri"/>
                <w:szCs w:val="20"/>
                <w:vertAlign w:val="subscript"/>
              </w:rPr>
              <w:t>prep</w:t>
            </w:r>
            <w:r>
              <w:rPr>
                <w:rFonts w:eastAsia="Calibri"/>
                <w:szCs w:val="20"/>
              </w:rPr>
              <w:t xml:space="preserve"> after the end of the PSFCH. </w:t>
            </w:r>
          </w:p>
          <w:p>
            <w:pPr>
              <w:numPr>
                <w:ilvl w:val="1"/>
                <w:numId w:val="32"/>
              </w:numPr>
              <w:rPr>
                <w:rFonts w:eastAsia="Calibri"/>
                <w:szCs w:val="20"/>
              </w:rPr>
            </w:pPr>
            <w:r>
              <w:rPr>
                <w:rFonts w:eastAsia="Calibri"/>
                <w:szCs w:val="20"/>
              </w:rPr>
              <w:t>This includes the effect of time advance.</w:t>
            </w:r>
          </w:p>
          <w:p>
            <w:pPr>
              <w:numPr>
                <w:ilvl w:val="1"/>
                <w:numId w:val="32"/>
              </w:numPr>
              <w:rPr>
                <w:rFonts w:eastAsia="Calibri"/>
                <w:szCs w:val="20"/>
              </w:rPr>
            </w:pPr>
            <w:r>
              <w:rPr>
                <w:rFonts w:eastAsia="Calibri"/>
                <w:szCs w:val="20"/>
              </w:rPr>
              <w:t>T</w:t>
            </w:r>
            <w:r>
              <w:rPr>
                <w:rFonts w:eastAsia="Calibri"/>
                <w:szCs w:val="20"/>
                <w:vertAlign w:val="subscript"/>
              </w:rPr>
              <w:t>prep</w:t>
            </w:r>
            <w:r>
              <w:rPr>
                <w:rFonts w:eastAsia="Calibri"/>
                <w:szCs w:val="20"/>
              </w:rPr>
              <w:t xml:space="preserve"> = (N+X) ∙ (2048+144) ∙ k ∙ 2</w:t>
            </w:r>
            <w:r>
              <w:rPr>
                <w:rFonts w:eastAsia="Calibri"/>
                <w:szCs w:val="20"/>
                <w:vertAlign w:val="superscript"/>
              </w:rPr>
              <w:t xml:space="preserve"> –μ</w:t>
            </w:r>
            <w:r>
              <w:rPr>
                <w:rFonts w:eastAsia="Calibri"/>
                <w:szCs w:val="20"/>
              </w:rPr>
              <w:t xml:space="preserve"> ∙ T_c where: </w:t>
            </w:r>
          </w:p>
          <w:p>
            <w:pPr>
              <w:numPr>
                <w:ilvl w:val="2"/>
                <w:numId w:val="32"/>
              </w:numPr>
              <w:rPr>
                <w:rFonts w:eastAsia="Calibri"/>
                <w:szCs w:val="20"/>
              </w:rPr>
            </w:pPr>
            <w:r>
              <w:rPr>
                <w:rFonts w:eastAsia="Calibri"/>
                <w:szCs w:val="20"/>
                <w:highlight w:val="darkYellow"/>
              </w:rPr>
              <w:t>Working assumption</w:t>
            </w:r>
            <w:r>
              <w:rPr>
                <w:rFonts w:eastAsia="Calibri"/>
                <w:szCs w:val="20"/>
              </w:rPr>
              <w:t>: N is 14, 18, 28 and 32 corresponds to the SCS configuration μ of 0, 1, 2 and 3, μ = min(μ_SL, μ_UL)</w:t>
            </w:r>
          </w:p>
          <w:p>
            <w:pPr>
              <w:numPr>
                <w:ilvl w:val="2"/>
                <w:numId w:val="32"/>
              </w:numPr>
              <w:rPr>
                <w:rFonts w:eastAsia="Calibri"/>
                <w:szCs w:val="20"/>
              </w:rPr>
            </w:pPr>
            <w:r>
              <w:rPr>
                <w:rFonts w:eastAsia="Calibri"/>
                <w:szCs w:val="20"/>
              </w:rPr>
              <w:t>k = T_s / T_c (parameters as defined in 38.211)</w:t>
            </w:r>
          </w:p>
          <w:p>
            <w:pPr>
              <w:numPr>
                <w:ilvl w:val="2"/>
                <w:numId w:val="32"/>
              </w:numPr>
              <w:rPr>
                <w:rFonts w:eastAsia="Calibri"/>
                <w:strike/>
                <w:szCs w:val="20"/>
              </w:rPr>
            </w:pPr>
            <w:r>
              <w:rPr>
                <w:rFonts w:eastAsia="Calibri"/>
                <w:szCs w:val="20"/>
              </w:rPr>
              <w:t>FFS X (including the possibility of value 0)</w:t>
            </w:r>
          </w:p>
          <w:p>
            <w:pPr>
              <w:rPr>
                <w:rFonts w:eastAsia="Calibri"/>
              </w:rPr>
            </w:pPr>
            <w:r>
              <w:rPr>
                <w:rFonts w:eastAsia="Calibri"/>
                <w:color w:val="FF0000"/>
                <w:lang w:val="en-GB"/>
              </w:rPr>
              <w:t>(Of course we are talking about a SL PSCCH/PSSCH transmission instead of PUCCH in UL, but conceptually the situation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Ericsson</w:t>
            </w:r>
          </w:p>
        </w:tc>
        <w:tc>
          <w:tcPr>
            <w:tcW w:w="7933" w:type="dxa"/>
          </w:tcPr>
          <w:p>
            <w:pPr>
              <w:rPr>
                <w:rFonts w:eastAsia="Calibri"/>
                <w:lang w:val="en-GB"/>
              </w:rPr>
            </w:pPr>
            <w:r>
              <w:rPr>
                <w:rFonts w:eastAsia="Calibri"/>
                <w:lang w:val="en-GB"/>
              </w:rPr>
              <w:t>The proposal looks fine.</w:t>
            </w:r>
          </w:p>
          <w:p>
            <w:pPr>
              <w:rPr>
                <w:rFonts w:eastAsia="Calibri"/>
                <w:lang w:val="en-GB"/>
              </w:rPr>
            </w:pPr>
            <w:r>
              <w:rPr>
                <w:rFonts w:eastAsia="Calibri"/>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Qualcomm</w:t>
            </w:r>
          </w:p>
        </w:tc>
        <w:tc>
          <w:tcPr>
            <w:tcW w:w="7933" w:type="dxa"/>
          </w:tcPr>
          <w:p>
            <w:pPr>
              <w:rPr>
                <w:rFonts w:eastAsia="Calibri"/>
                <w:lang w:val="en-GB"/>
              </w:rPr>
            </w:pPr>
            <w:r>
              <w:rPr>
                <w:rFonts w:eastAsia="Calibri"/>
                <w:lang w:val="en-GB"/>
              </w:rPr>
              <w:t>In my understanding of the agreement, the value (Tprep + delta) is a processing timeline, which is defined as a minimum scheduling restriction.</w:t>
            </w:r>
          </w:p>
          <w:p>
            <w:pPr>
              <w:rPr>
                <w:rFonts w:eastAsia="Calibri"/>
                <w:lang w:val="en-GB"/>
              </w:rPr>
            </w:pPr>
            <w:r>
              <w:rPr>
                <w:rFonts w:eastAsia="Calibri"/>
                <w:lang w:val="en-GB"/>
              </w:rPr>
              <w:t>Tprep (PSFCH to PUCCH) = 18 symbols and Tproc (PDCCH to PSCCH/PSSCH) = 12 symbols with 30 kHz SCS. For this proposal, we’re discussing PSFCH to PSCCH/PSSCH, which is more closely related to Tprep because both have the same starting point. I agree with Ericsson that the time to prepare PSCCH/PSSCH is greater than the time to prepare PUCCH and that’s why I think delta should be greater than 0 and proposed 0.5 ms during the call.</w:t>
            </w:r>
          </w:p>
          <w:p>
            <w:pPr>
              <w:rPr>
                <w:rFonts w:eastAsia="Calibri"/>
                <w:lang w:val="en-GB"/>
              </w:rPr>
            </w:pPr>
            <w:r>
              <w:rPr>
                <w:rFonts w:eastAsia="Calibri"/>
                <w:lang w:val="en-GB"/>
              </w:rPr>
              <w:t xml:space="preserve">I agree with the feature-lead’s assessment that the gNB cannot know when the UE will request feedback. </w:t>
            </w:r>
          </w:p>
          <w:p>
            <w:pPr>
              <w:rPr>
                <w:rFonts w:eastAsia="Calibri"/>
                <w:color w:val="FF0000"/>
                <w:lang w:val="en-GB"/>
              </w:rPr>
            </w:pPr>
            <w:r>
              <w:rPr>
                <w:rFonts w:eastAsia="Calibri"/>
                <w:color w:val="FF0000"/>
                <w:lang w:val="en-GB"/>
              </w:rPr>
              <w:t>FL reply 24/8/2020</w:t>
            </w:r>
          </w:p>
          <w:p>
            <w:pPr>
              <w:rPr>
                <w:rFonts w:eastAsia="Calibri"/>
                <w:color w:val="FF0000"/>
                <w:lang w:val="en-GB"/>
              </w:rPr>
            </w:pPr>
            <w:r>
              <w:rPr>
                <w:rFonts w:eastAsia="Calibri"/>
                <w:color w:val="FF0000"/>
                <w:lang w:val="en-GB"/>
              </w:rPr>
              <w:t>Given that Tprep &gt; Tproc, it does not seem to be a problem to encode PSCCH/PSSCH, right? If so, delta=0 should work.</w:t>
            </w:r>
          </w:p>
          <w:p>
            <w:pPr>
              <w:rPr>
                <w:rFonts w:eastAsia="Calibri"/>
              </w:rPr>
            </w:pPr>
            <w:r>
              <w:rPr>
                <w:rFonts w:eastAsia="Calibri"/>
                <w:color w:val="4472C4" w:themeColor="accent1"/>
                <w14:textFill>
                  <w14:solidFill>
                    <w14:schemeClr w14:val="accent1"/>
                  </w14:solidFill>
                </w14:textFill>
              </w:rPr>
              <w:t>[QC2] PDCCH decoding time is different from PSFCH reception time. I don’t think we can make this comparison with Tproc because we need to now see why Tprep was larger than Tproc and assign weights to each of PDCCH decoding, PSFCH decoding, PUCCH transmission, and PSCCH/PSSCH transmission and then combine the pieces together. It is much easier to start from Tprep since it also beings at PSFCH reception. Then the point raised is that PSCCH/PSSCH preparation takes more time than PUCCH preparation, therefore this operation takes longer than Tprep and delta should be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NTT DOCOMO</w:t>
            </w:r>
          </w:p>
        </w:tc>
        <w:tc>
          <w:tcPr>
            <w:tcW w:w="7933" w:type="dxa"/>
          </w:tcPr>
          <w:p>
            <w:pPr>
              <w:rPr>
                <w:rFonts w:eastAsia="Yu Mincho"/>
                <w:lang w:val="en-GB"/>
              </w:rPr>
            </w:pPr>
            <w:r>
              <w:rPr>
                <w:rFonts w:hint="eastAsia" w:eastAsia="Yu Mincho"/>
                <w:lang w:val="en-GB"/>
              </w:rPr>
              <w:t>My understanding is a bit different.</w:t>
            </w:r>
          </w:p>
          <w:p>
            <w:pPr>
              <w:rPr>
                <w:rFonts w:eastAsia="Yu Mincho"/>
                <w:lang w:val="en-GB"/>
              </w:rPr>
            </w:pPr>
            <w:r>
              <w:rPr>
                <w:rFonts w:hint="eastAsia" w:eastAsia="Yu Mincho"/>
                <w:lang w:val="en-GB"/>
              </w:rPr>
              <w:t xml:space="preserve">I agree that gNB cannot know whether the condition in option B is met or not. But it does not mean that gNB shall guarantee the time </w:t>
            </w:r>
            <w:r>
              <w:rPr>
                <w:rFonts w:eastAsia="Yu Mincho"/>
                <w:lang w:val="en-GB"/>
              </w:rPr>
              <w:t>restriction. It is too restrictive that gNB always guarantee the minimum time for any grant, e.g. blind retransmissions of a TB with HARQ feedback disabled. It leads to larger latency of such stransmissions with HARQ feedback disabled.</w:t>
            </w:r>
          </w:p>
          <w:p>
            <w:pPr>
              <w:rPr>
                <w:rFonts w:eastAsia="Yu Mincho"/>
                <w:lang w:val="en-GB"/>
              </w:rPr>
            </w:pPr>
            <w:r>
              <w:rPr>
                <w:rFonts w:eastAsia="Yu Mincho"/>
                <w:lang w:val="en-GB"/>
              </w:rPr>
              <w:t>My suggestion is the following:</w:t>
            </w:r>
          </w:p>
          <w:p>
            <w:pPr>
              <w:pStyle w:val="133"/>
              <w:numPr>
                <w:ilvl w:val="0"/>
                <w:numId w:val="28"/>
              </w:numPr>
              <w:rPr>
                <w:rFonts w:eastAsia="Yu Mincho"/>
                <w:lang w:val="en-GB"/>
              </w:rPr>
            </w:pPr>
            <w:r>
              <w:rPr>
                <w:rFonts w:eastAsia="Yu Mincho"/>
                <w:lang w:val="en-GB"/>
              </w:rPr>
              <w:t>When SL grant provided by gNB does not guarantee the minimum time, UE can transmit data which does not require HARQ feedback on SL (e.g. broadcast), if any; otherwise, UE skips the transmission.</w:t>
            </w:r>
          </w:p>
          <w:p>
            <w:pPr>
              <w:pStyle w:val="133"/>
              <w:numPr>
                <w:ilvl w:val="0"/>
                <w:numId w:val="28"/>
              </w:numPr>
              <w:rPr>
                <w:rFonts w:eastAsia="Yu Mincho"/>
                <w:lang w:val="en-GB"/>
              </w:rPr>
            </w:pPr>
            <w:r>
              <w:rPr>
                <w:rFonts w:eastAsia="Yu Mincho"/>
                <w:lang w:val="en-GB"/>
              </w:rPr>
              <w:t>When SL grant provided by gNB guarantee the minimum time, UE can transmit data which either requires or does not require HARQ feedback on SL.</w:t>
            </w:r>
          </w:p>
          <w:p>
            <w:pPr>
              <w:rPr>
                <w:rFonts w:eastAsia="Yu Mincho"/>
                <w:lang w:val="en-GB"/>
              </w:rPr>
            </w:pPr>
            <w:r>
              <w:rPr>
                <w:rFonts w:hint="eastAsia" w:eastAsia="Yu Mincho"/>
                <w:lang w:val="en-GB"/>
              </w:rPr>
              <w:t>Note that RAN2 agreed the following in RAN2</w:t>
            </w:r>
            <w:r>
              <w:rPr>
                <w:rFonts w:eastAsia="Yu Mincho"/>
                <w:lang w:val="en-GB"/>
              </w:rPr>
              <w:t>#109-bis</w:t>
            </w:r>
            <w:r>
              <w:rPr>
                <w:rFonts w:hint="eastAsia" w:eastAsia="Yu Mincho"/>
                <w:lang w:val="en-GB"/>
              </w:rPr>
              <w:t>:</w:t>
            </w:r>
          </w:p>
          <w:tbl>
            <w:tblPr>
              <w:tblStyle w:val="61"/>
              <w:tblW w:w="7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7" w:type="dxa"/>
                </w:tcPr>
                <w:p>
                  <w:pPr>
                    <w:rPr>
                      <w:rFonts w:eastAsia="Calibri"/>
                    </w:rPr>
                  </w:pPr>
                  <w:r>
                    <w:rPr>
                      <w:rFonts w:eastAsia="Calibri"/>
                    </w:rPr>
                    <w:t xml:space="preserve">Agreements on MAC: </w:t>
                  </w:r>
                </w:p>
                <w:p>
                  <w:pPr>
                    <w:rPr>
                      <w:rFonts w:eastAsia="Calibri"/>
                    </w:rPr>
                  </w:pPr>
                  <w:r>
                    <w:rPr>
                      <w:rFonts w:eastAsia="Calibri"/>
                    </w:rPr>
                    <w:t>...</w:t>
                  </w:r>
                </w:p>
                <w:p>
                  <w:pPr>
                    <w:rPr>
                      <w:rFonts w:eastAsia="Yu Mincho"/>
                      <w:lang w:val="en-GB"/>
                    </w:rPr>
                  </w:pPr>
                  <w:r>
                    <w:rPr>
                      <w:rFonts w:eastAsia="Calibri"/>
                    </w:rPr>
                    <w:t>9:</w:t>
                  </w:r>
                  <w:r>
                    <w:rPr>
                      <w:rFonts w:eastAsia="Calibri"/>
                    </w:rPr>
                    <w:tab/>
                  </w:r>
                  <w:r>
                    <w:rPr>
                      <w:rFonts w:eastAsia="Calibri"/>
                    </w:rPr>
                    <w:t xml:space="preserve">For mode1, if UE only has SL data on LCHs with FB enabled for a SL grant configured </w:t>
                  </w:r>
                  <w:r>
                    <w:rPr>
                      <w:rFonts w:eastAsia="Calibri"/>
                    </w:rPr>
                    <w:tab/>
                  </w:r>
                  <w:r>
                    <w:rPr>
                      <w:rFonts w:eastAsia="Calibri"/>
                    </w:rPr>
                    <w:t>without PSFCH, the SL grant is skipped and so not used for transmission.</w:t>
                  </w:r>
                </w:p>
              </w:tc>
            </w:tr>
          </w:tbl>
          <w:p>
            <w:pPr>
              <w:rPr>
                <w:rFonts w:eastAsia="Yu Mincho"/>
                <w:lang w:val="en-GB"/>
              </w:rPr>
            </w:pPr>
          </w:p>
          <w:p>
            <w:pPr>
              <w:rPr>
                <w:rFonts w:eastAsia="Calibri"/>
                <w:color w:val="FF0000"/>
                <w:lang w:val="en-GB"/>
              </w:rPr>
            </w:pPr>
            <w:r>
              <w:rPr>
                <w:rFonts w:eastAsia="Calibri"/>
                <w:color w:val="FF0000"/>
                <w:lang w:val="en-GB"/>
              </w:rPr>
              <w:t>FL reply (21/8/20)</w:t>
            </w:r>
          </w:p>
          <w:p>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pPr>
              <w:rPr>
                <w:rFonts w:eastAsia="Yu Mincho"/>
                <w:color w:val="FF0000"/>
                <w:lang w:val="en-GB"/>
              </w:rPr>
            </w:pPr>
            <w:r>
              <w:rPr>
                <w:rFonts w:eastAsia="Yu Mincho"/>
                <w:color w:val="FF0000"/>
                <w:lang w:val="en-GB"/>
              </w:rPr>
              <w:t>My view is that, unless it is essential, we should avoid any impact to RAN2 spec.</w:t>
            </w:r>
          </w:p>
          <w:p>
            <w:pPr>
              <w:rPr>
                <w:rFonts w:eastAsia="Yu Mincho"/>
                <w:color w:val="FF0000"/>
                <w:lang w:val="en-GB"/>
              </w:rPr>
            </w:pPr>
          </w:p>
          <w:p>
            <w:pPr>
              <w:rPr>
                <w:rFonts w:eastAsia="Yu Mincho"/>
                <w:color w:val="FF0000"/>
                <w:lang w:val="en-GB"/>
              </w:rPr>
            </w:pPr>
            <w:r>
              <w:rPr>
                <w:rFonts w:hint="eastAsia" w:eastAsia="Yu Mincho"/>
                <w:color w:val="0070C0"/>
                <w:lang w:val="en-GB"/>
              </w:rPr>
              <w:t xml:space="preserve">[DCM2] Thank you for kind clarification. OK, </w:t>
            </w:r>
            <w:r>
              <w:rPr>
                <w:rFonts w:eastAsia="Yu Mincho"/>
                <w:color w:val="0070C0"/>
                <w:lang w:val="en-GB"/>
              </w:rPr>
              <w:t>you assume that ‘SL grant configured without PSFCH’ means grant for resource pool without PSFCH. I thought the quoted sentence includes our discussing case, i.es. insufficient gap between PSFCH and the next PSSCH. But I checked 321 again and it seems your assumption is valid. We also think that further RAN2 work is not preferable. In that sense, now we are fine with your update above.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Huawei, HiSilicon</w:t>
            </w:r>
          </w:p>
        </w:tc>
        <w:tc>
          <w:tcPr>
            <w:tcW w:w="7933" w:type="dxa"/>
          </w:tcPr>
          <w:p>
            <w:pPr>
              <w:rPr>
                <w:rFonts w:eastAsia="Calibri"/>
                <w:lang w:val="en-GB"/>
              </w:rPr>
            </w:pPr>
            <w:r>
              <w:rPr>
                <w:rFonts w:eastAsia="Calibri"/>
                <w:lang w:val="en-GB"/>
              </w:rPr>
              <w:t>We are generally fine with the FL’s update, but we are curious about the applicability of this proposal.</w:t>
            </w:r>
          </w:p>
          <w:p>
            <w:pPr>
              <w:rPr>
                <w:rFonts w:eastAsia="Calibri"/>
                <w:lang w:val="en-GB"/>
              </w:rPr>
            </w:pPr>
            <w:r>
              <w:rPr>
                <w:rFonts w:eastAsia="Calibri"/>
                <w:lang w:val="en-GB"/>
              </w:rPr>
              <w:t>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PUCCH resource cannot be configured without PSFCH resource. So we think in addition the change update by FL, another condition for applicability can be added for the subbullet:</w:t>
            </w:r>
          </w:p>
          <w:p>
            <w:pPr>
              <w:pStyle w:val="133"/>
              <w:numPr>
                <w:ilvl w:val="1"/>
                <w:numId w:val="27"/>
              </w:numPr>
              <w:spacing w:line="252" w:lineRule="auto"/>
              <w:rPr>
                <w:i/>
                <w:color w:val="00B050"/>
                <w:szCs w:val="20"/>
              </w:rPr>
            </w:pPr>
            <w:r>
              <w:rPr>
                <w:i/>
                <w:szCs w:val="20"/>
              </w:rPr>
              <w:t xml:space="preserve">A UE is not expected to be scheduled consecutive SL transmisions for the same TB such that the minimum time between PSFCH reception and next PSCCH/PSSCH retransmission can not be guaranteed </w:t>
            </w:r>
            <w:r>
              <w:rPr>
                <w:i/>
                <w:color w:val="00B050"/>
                <w:szCs w:val="20"/>
              </w:rPr>
              <w:t>at least the PUCCH resources are configured.</w:t>
            </w:r>
          </w:p>
          <w:p>
            <w:pPr>
              <w:rPr>
                <w:rFonts w:eastAsia="Calibri"/>
                <w:lang w:val="en-GB"/>
              </w:rPr>
            </w:pPr>
            <w:r>
              <w:rPr>
                <w:rFonts w:eastAsia="Calibri"/>
                <w:lang w:val="en-GB"/>
              </w:rPr>
              <w:t>As the delta value, we do not have strong views on this point, but think the T</w:t>
            </w:r>
            <w:r>
              <w:rPr>
                <w:rFonts w:eastAsia="Calibri"/>
                <w:vertAlign w:val="subscript"/>
                <w:lang w:val="en-GB"/>
              </w:rPr>
              <w:t xml:space="preserve">prep </w:t>
            </w:r>
            <w:r>
              <w:rPr>
                <w:rFonts w:eastAsia="Calibri"/>
                <w:lang w:val="en-GB"/>
              </w:rPr>
              <w:t>seems fine due to it is already larger than T</w:t>
            </w:r>
            <w:r>
              <w:rPr>
                <w:rFonts w:eastAsia="Calibri"/>
                <w:vertAlign w:val="subscript"/>
                <w:lang w:val="en-GB"/>
              </w:rPr>
              <w:t>proc</w:t>
            </w:r>
            <w:r>
              <w:rPr>
                <w:rFonts w:eastAsia="Calibri"/>
                <w:lang w:val="en-GB"/>
              </w:rPr>
              <w:t>.</w:t>
            </w:r>
          </w:p>
          <w:p>
            <w:pPr>
              <w:rPr>
                <w:rFonts w:eastAsia="Calibri"/>
                <w:color w:val="FF0000"/>
                <w:lang w:val="en-GB"/>
              </w:rPr>
            </w:pPr>
            <w:r>
              <w:rPr>
                <w:rFonts w:eastAsia="Calibri"/>
                <w:color w:val="FF0000"/>
                <w:lang w:val="en-GB"/>
              </w:rPr>
              <w:t>FL reply 24/8/2020:</w:t>
            </w:r>
          </w:p>
          <w:p>
            <w:pPr>
              <w:rPr>
                <w:rFonts w:eastAsia="Calibri"/>
                <w:color w:val="FF0000"/>
                <w:lang w:val="en-GB"/>
              </w:rPr>
            </w:pPr>
            <w:r>
              <w:rPr>
                <w:rFonts w:eastAsia="Calibri"/>
                <w:color w:val="FF0000"/>
                <w:lang w:val="en-GB"/>
              </w:rPr>
              <w:t>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granted).</w:t>
            </w:r>
          </w:p>
          <w:p>
            <w:pPr>
              <w:rPr>
                <w:rFonts w:eastAsia="Calibri"/>
                <w:color w:val="FF0000"/>
                <w:lang w:val="en-GB"/>
              </w:rPr>
            </w:pPr>
          </w:p>
          <w:p>
            <w:pPr>
              <w:rPr>
                <w:rFonts w:eastAsia="Calibri"/>
                <w:color w:val="00B050"/>
                <w:lang w:val="en-GB"/>
              </w:rPr>
            </w:pPr>
            <w:r>
              <w:rPr>
                <w:rFonts w:eastAsia="Calibri"/>
                <w:color w:val="00B050"/>
                <w:lang w:val="en-GB"/>
              </w:rPr>
              <w:t>[HWHiSi_2] (25/08/2020)</w:t>
            </w:r>
          </w:p>
          <w:p>
            <w:pPr>
              <w:rPr>
                <w:rFonts w:eastAsia="Calibri"/>
                <w:color w:val="00B050"/>
                <w:lang w:val="en-GB"/>
              </w:rPr>
            </w:pPr>
            <w:r>
              <w:rPr>
                <w:rFonts w:eastAsia="Calibri"/>
                <w:color w:val="00B050"/>
                <w:lang w:val="en-GB"/>
              </w:rPr>
              <w:t>Yes, but somehow having PSFCH resources in a resource pool does not mean SL HARQ-ACK is enabled. It is noted HARQ-ACK function is switched on/off by Tx UE and gNB does not have this switching information, so gNB has no idea the whether the time condition should be guaranteed definitely either. On the contrary, if the PUCCH resource for SL HARQ is configured, at least two conditions are satisfied:</w:t>
            </w:r>
          </w:p>
          <w:p>
            <w:pPr>
              <w:pStyle w:val="133"/>
              <w:numPr>
                <w:ilvl w:val="0"/>
                <w:numId w:val="33"/>
              </w:numPr>
              <w:rPr>
                <w:color w:val="00B050"/>
                <w:lang w:val="en-GB"/>
              </w:rPr>
            </w:pPr>
            <w:r>
              <w:rPr>
                <w:color w:val="00B050"/>
                <w:lang w:val="en-GB"/>
              </w:rPr>
              <w:t>PSFCH reosurces are configured: based on RAN2 agreement, the PUCCH reosurces cannot be configured without PSFCH;</w:t>
            </w:r>
          </w:p>
          <w:p>
            <w:pPr>
              <w:pStyle w:val="133"/>
              <w:numPr>
                <w:ilvl w:val="0"/>
                <w:numId w:val="33"/>
              </w:numPr>
              <w:rPr>
                <w:color w:val="00B050"/>
                <w:lang w:val="en-GB"/>
              </w:rPr>
            </w:pPr>
            <w:r>
              <w:rPr>
                <w:color w:val="00B050"/>
                <w:lang w:val="en-GB"/>
              </w:rPr>
              <w:t>SL HARQ is enabled: UE needs to report SL HARQ information tp gNB, so the Tx UE should enable the SL HARQ and obtain SL information from Rx UE.</w:t>
            </w:r>
          </w:p>
          <w:p>
            <w:pPr>
              <w:rPr>
                <w:rFonts w:eastAsia="Calibri"/>
                <w:lang w:val="en-GB"/>
              </w:rPr>
            </w:pPr>
            <w:r>
              <w:rPr>
                <w:rFonts w:eastAsia="Calibri"/>
                <w:color w:val="00B050"/>
                <w:lang w:val="en-GB"/>
              </w:rPr>
              <w:t xml:space="preserve">Therefore, we think at least in the case PUCCH resource is indicated/configured, the timeline should be guaranteed by gNB, otherwise, it is better to give some flexibilities for gNB scheduling. For the case the PUCCH resource is not configured, PSFCH resources are configured and the SL HARQ is enabled but the time requirement is not met, UE can handle it by implementation. That is why we think whether PUCCH resource is configured can be as a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v</w:t>
            </w:r>
            <w:r>
              <w:rPr>
                <w:rFonts w:eastAsia="等线"/>
                <w:lang w:val="en-GB"/>
              </w:rPr>
              <w:t>ivo</w:t>
            </w:r>
          </w:p>
        </w:tc>
        <w:tc>
          <w:tcPr>
            <w:tcW w:w="7933" w:type="dxa"/>
          </w:tcPr>
          <w:p>
            <w:pPr>
              <w:rPr>
                <w:rFonts w:eastAsia="等线"/>
                <w:lang w:val="en-GB"/>
              </w:rPr>
            </w:pPr>
            <w:r>
              <w:rPr>
                <w:rFonts w:eastAsia="等线"/>
                <w:lang w:val="en-GB"/>
              </w:rPr>
              <w:t xml:space="preserve">Agree with FL that gnb has no idea of whether option B is satisfied. </w:t>
            </w:r>
          </w:p>
          <w:p>
            <w:pPr>
              <w:rPr>
                <w:rFonts w:eastAsia="等线"/>
                <w:lang w:val="en-GB"/>
              </w:rPr>
            </w:pPr>
            <w:r>
              <w:rPr>
                <w:rFonts w:eastAsia="等线"/>
                <w:lang w:val="en-GB"/>
              </w:rPr>
              <w:t xml:space="preserve">From the </w:t>
            </w:r>
            <w:r>
              <w:rPr>
                <w:rFonts w:hint="eastAsia" w:eastAsia="等线"/>
                <w:lang w:val="en-GB"/>
              </w:rPr>
              <w:t>perspective</w:t>
            </w:r>
            <w:r>
              <w:rPr>
                <w:rFonts w:eastAsia="等线"/>
                <w:lang w:val="en-GB"/>
              </w:rPr>
              <w:t xml:space="preserve"> of </w:t>
            </w:r>
            <w:r>
              <w:rPr>
                <w:rFonts w:hint="eastAsia" w:eastAsia="等线"/>
                <w:lang w:val="en-GB"/>
              </w:rPr>
              <w:t>gnb</w:t>
            </w:r>
            <w:r>
              <w:rPr>
                <w:rFonts w:eastAsia="等线"/>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Pr>
                <w:rFonts w:eastAsia="Yu Mincho"/>
                <w:lang w:val="en-GB"/>
              </w:rPr>
              <w:t>feedback</w:t>
            </w:r>
            <w:r>
              <w:rPr>
                <w:rFonts w:eastAsia="等线"/>
                <w:lang w:val="en-GB"/>
              </w:rPr>
              <w:t xml:space="preserve"> on the scheduled resources and then provides an efficetive HARQ-ACK reporting based on the PSFCH reception.</w:t>
            </w:r>
            <w:r>
              <w:rPr>
                <w:rFonts w:eastAsia="Calibri"/>
              </w:rPr>
              <w:t xml:space="preserve"> (</w:t>
            </w:r>
            <w:r>
              <w:rPr>
                <w:rFonts w:eastAsia="等线"/>
                <w:lang w:val="en-GB"/>
              </w:rPr>
              <w:t xml:space="preserve">Of course UE still can choose </w:t>
            </w:r>
            <w:r>
              <w:rPr>
                <w:rFonts w:hint="eastAsia" w:eastAsia="等线"/>
                <w:lang w:val="en-GB"/>
              </w:rPr>
              <w:t>trans</w:t>
            </w:r>
            <w:r>
              <w:rPr>
                <w:rFonts w:eastAsia="等线"/>
                <w:lang w:val="en-GB"/>
              </w:rPr>
              <w:t>mit a PDU which does not require HARQ feedback on the granted resources. But since it is the gnb who wants to get some SL information, it is natural for gnb to ensure the minimum gap if it provides PUCCH. Otherwise UE has to do blind retransmission, which is against the intention of providing a PUCCH.</w:t>
            </w:r>
          </w:p>
          <w:p>
            <w:pPr>
              <w:rPr>
                <w:rFonts w:eastAsia="等线"/>
                <w:lang w:val="en-GB"/>
              </w:rPr>
            </w:pPr>
          </w:p>
          <w:p>
            <w:pPr>
              <w:rPr>
                <w:rFonts w:eastAsia="等线"/>
                <w:lang w:val="en-GB"/>
              </w:rPr>
            </w:pPr>
            <w:r>
              <w:rPr>
                <w:rFonts w:eastAsia="等线"/>
                <w:lang w:val="en-GB"/>
              </w:rPr>
              <w:t>If PUCCH is not provided and resources in a pool with PSFCH are scheduled by the CG or DG, it can be to UE to decide whether to map MAC PDU which requires HARQ</w:t>
            </w:r>
            <w:r>
              <w:rPr>
                <w:rFonts w:eastAsia="Yu Mincho"/>
                <w:lang w:val="en-GB"/>
              </w:rPr>
              <w:t xml:space="preserve"> feedback</w:t>
            </w:r>
            <w:r>
              <w:rPr>
                <w:rFonts w:eastAsia="等线"/>
                <w:lang w:val="en-GB"/>
              </w:rPr>
              <w:t xml:space="preserve"> on the granted resources. There can be two cases</w:t>
            </w:r>
            <w:r>
              <w:rPr>
                <w:rFonts w:hint="eastAsia" w:eastAsia="等线"/>
                <w:lang w:val="en-GB"/>
              </w:rPr>
              <w:t>:</w:t>
            </w:r>
          </w:p>
          <w:p>
            <w:pPr>
              <w:pStyle w:val="133"/>
              <w:numPr>
                <w:ilvl w:val="0"/>
                <w:numId w:val="34"/>
              </w:numPr>
              <w:rPr>
                <w:rFonts w:eastAsia="Yu Mincho"/>
                <w:lang w:val="en-GB"/>
              </w:rPr>
            </w:pPr>
            <w:r>
              <w:rPr>
                <w:rFonts w:eastAsia="Yu Mincho"/>
                <w:lang w:val="en-GB"/>
              </w:rPr>
              <w:t xml:space="preserve">When resources provided by gNB does not guarantee the minimum time, UE can transmit MAC PDU which does not require HARQ feedback </w:t>
            </w:r>
          </w:p>
          <w:p>
            <w:pPr>
              <w:pStyle w:val="133"/>
              <w:numPr>
                <w:ilvl w:val="0"/>
                <w:numId w:val="34"/>
              </w:numPr>
              <w:rPr>
                <w:rFonts w:eastAsia="等线"/>
                <w:lang w:val="en-GB"/>
              </w:rPr>
            </w:pPr>
            <w:r>
              <w:rPr>
                <w:rFonts w:eastAsia="等线"/>
                <w:lang w:val="en-GB"/>
              </w:rPr>
              <w:t>W</w:t>
            </w:r>
            <w:r>
              <w:rPr>
                <w:rFonts w:hint="eastAsia" w:eastAsia="等线"/>
                <w:lang w:val="en-GB"/>
              </w:rPr>
              <w:t>hen</w:t>
            </w:r>
            <w:r>
              <w:rPr>
                <w:rFonts w:eastAsia="等线"/>
                <w:lang w:val="en-GB"/>
              </w:rPr>
              <w:t xml:space="preserve"> </w:t>
            </w:r>
            <w:r>
              <w:rPr>
                <w:rFonts w:hint="eastAsia" w:eastAsia="等线"/>
                <w:lang w:val="en-GB"/>
              </w:rPr>
              <w:t>resource</w:t>
            </w:r>
            <w:r>
              <w:rPr>
                <w:rFonts w:eastAsia="等线"/>
                <w:lang w:val="en-GB"/>
              </w:rPr>
              <w:t xml:space="preserve">s provided by gnb is no less the minimum time, UE can transmit MAC PDU requiring HARQ </w:t>
            </w:r>
            <w:r>
              <w:rPr>
                <w:rFonts w:eastAsia="Yu Mincho"/>
                <w:lang w:val="en-GB"/>
              </w:rPr>
              <w:t>feedback</w:t>
            </w:r>
            <w:r>
              <w:rPr>
                <w:rFonts w:eastAsia="等线"/>
                <w:lang w:val="en-GB"/>
              </w:rPr>
              <w:t xml:space="preserve"> or not requiring HARQ </w:t>
            </w:r>
            <w:r>
              <w:rPr>
                <w:rFonts w:eastAsia="Yu Mincho"/>
                <w:lang w:val="en-GB"/>
              </w:rPr>
              <w:t>feedback</w:t>
            </w:r>
            <w:r>
              <w:rPr>
                <w:rFonts w:eastAsia="等线"/>
                <w:lang w:val="en-GB"/>
              </w:rPr>
              <w:t>.</w:t>
            </w:r>
          </w:p>
          <w:p>
            <w:pPr>
              <w:rPr>
                <w:rFonts w:eastAsia="等线"/>
                <w:lang w:val="en-GB"/>
              </w:rPr>
            </w:pPr>
            <w:r>
              <w:rPr>
                <w:rFonts w:eastAsia="等线"/>
                <w:lang w:val="en-GB"/>
              </w:rPr>
              <w:t>If we follow option A, as DOCOMO said, the latency of blind transmission in a pool with PSFCH would unnecessarily increase. So the condition could be changed in a way that ‘</w:t>
            </w:r>
            <w:r>
              <w:rPr>
                <w:rFonts w:eastAsia="Calibri"/>
                <w:color w:val="FF0000"/>
                <w:szCs w:val="20"/>
              </w:rPr>
              <w:t>when PUCCH is provided with a grant</w:t>
            </w:r>
            <w:r>
              <w:rPr>
                <w:rFonts w:eastAsia="等线"/>
                <w:lang w:val="en-GB"/>
              </w:rPr>
              <w:t>’</w:t>
            </w:r>
          </w:p>
          <w:p>
            <w:pPr>
              <w:rPr>
                <w:rFonts w:eastAsia="Calibri"/>
                <w:color w:val="FF0000"/>
                <w:lang w:val="en-GB"/>
              </w:rPr>
            </w:pPr>
            <w:r>
              <w:rPr>
                <w:rFonts w:eastAsia="Calibri"/>
                <w:color w:val="FF0000"/>
                <w:lang w:val="en-GB"/>
              </w:rPr>
              <w:t>FL reply 24/8/2020:</w:t>
            </w:r>
          </w:p>
          <w:p>
            <w:pPr>
              <w:rPr>
                <w:rFonts w:eastAsia="等线"/>
                <w:color w:val="FF0000"/>
                <w:lang w:val="en-GB"/>
              </w:rPr>
            </w:pPr>
            <w:r>
              <w:rPr>
                <w:rFonts w:eastAsia="Calibri"/>
                <w:color w:val="FF0000"/>
                <w:lang w:val="en-GB"/>
              </w:rPr>
              <w:t>Se my replies to DCM and Huawei. Your solution is in principle valid. The problem is that it would need further changes by RAN2 to the LCP procedures. I think that is undesirable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Intel</w:t>
            </w:r>
          </w:p>
        </w:tc>
        <w:tc>
          <w:tcPr>
            <w:tcW w:w="7933" w:type="dxa"/>
          </w:tcPr>
          <w:p>
            <w:pPr>
              <w:rPr>
                <w:rFonts w:eastAsia="Calibri"/>
                <w:lang w:val="en-GB"/>
              </w:rPr>
            </w:pPr>
            <w:r>
              <w:rPr>
                <w:rFonts w:eastAsia="Calibri"/>
                <w:lang w:val="en-GB"/>
              </w:rPr>
              <w:t>Regarding the applicability,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and associated efficiency of blind retransmissions.</w:t>
            </w:r>
          </w:p>
          <w:p>
            <w:pPr>
              <w:rPr>
                <w:rFonts w:eastAsia="Calibri"/>
                <w:lang w:val="en-GB"/>
              </w:rPr>
            </w:pPr>
            <w:r>
              <w:rPr>
                <w:rFonts w:eastAsia="Calibri"/>
                <w:lang w:val="en-GB"/>
              </w:rPr>
              <w:t>If the applicability is not confirmed, then RAN1 &amp; RAN2 need to work out the conditions when a UE can enable or disable feedback even if the LCH is feedback-based.</w:t>
            </w:r>
          </w:p>
          <w:p>
            <w:pPr>
              <w:rPr>
                <w:rFonts w:eastAsia="Calibri"/>
                <w:lang w:val="en-GB"/>
              </w:rPr>
            </w:pPr>
            <w:r>
              <w:rPr>
                <w:rFonts w:eastAsia="Calibri"/>
                <w:lang w:val="en-GB"/>
              </w:rPr>
              <w:t>We are not sure if adding PUCCH resource condition is appropriate. In our assessment, SL HARQ feedback reporting to gNB may not be always enabled since may not bring much benefits.</w:t>
            </w:r>
          </w:p>
          <w:p>
            <w:pPr>
              <w:rPr>
                <w:rFonts w:eastAsia="Calibri"/>
                <w:lang w:val="en-GB"/>
              </w:rPr>
            </w:pPr>
            <w:r>
              <w:rPr>
                <w:rFonts w:eastAsia="Calibri"/>
                <w:lang w:val="en-GB"/>
              </w:rPr>
              <w:t>Regarding the delta, we are fine either way:</w:t>
            </w:r>
          </w:p>
          <w:p>
            <w:pPr>
              <w:pStyle w:val="133"/>
              <w:numPr>
                <w:ilvl w:val="0"/>
                <w:numId w:val="35"/>
              </w:numPr>
              <w:rPr>
                <w:lang w:val="en-GB"/>
              </w:rPr>
            </w:pPr>
            <w:r>
              <w:rPr>
                <w:lang w:val="en-GB"/>
              </w:rPr>
              <w:t>0 ms</w:t>
            </w:r>
          </w:p>
          <w:p>
            <w:pPr>
              <w:pStyle w:val="133"/>
              <w:numPr>
                <w:ilvl w:val="0"/>
                <w:numId w:val="35"/>
              </w:numPr>
              <w:rPr>
                <w:lang w:val="en-GB"/>
              </w:rPr>
            </w:pPr>
            <w:r>
              <w:rPr>
                <w:lang w:val="en-GB"/>
              </w:rPr>
              <w:t>0.5 ms</w:t>
            </w:r>
          </w:p>
          <w:p>
            <w:pPr>
              <w:pStyle w:val="133"/>
              <w:numPr>
                <w:ilvl w:val="0"/>
                <w:numId w:val="35"/>
              </w:numPr>
              <w:rPr>
                <w:lang w:val="en-GB"/>
              </w:rPr>
            </w:pPr>
            <w:r>
              <w:rPr>
                <w:lang w:val="en-GB"/>
              </w:rPr>
              <w:t>0.5 / 2</w:t>
            </w:r>
            <w:r>
              <w:rPr>
                <w:rFonts w:cs="Calibri"/>
                <w:vertAlign w:val="superscript"/>
                <w:lang w:val="en-GB"/>
              </w:rPr>
              <w:t>µ</w:t>
            </w:r>
            <w:r>
              <w:rPr>
                <w:rFonts w:cs="Calibri"/>
                <w:lang w:val="en-GB"/>
              </w:rPr>
              <w:t>, where µ = 0,1,2,3 for 15,30,60,120 kHz – 7 symbols regardless of numerology</w:t>
            </w:r>
          </w:p>
          <w:p>
            <w:pPr>
              <w:rPr>
                <w:rFonts w:eastAsia="Calibri"/>
                <w:lang w:val="en-GB"/>
              </w:rPr>
            </w:pPr>
            <w:r>
              <w:rPr>
                <w:rFonts w:eastAsia="Calibri"/>
                <w:lang w:val="en-GB"/>
              </w:rPr>
              <w:t>Note, that PSCCH/PSSCH preparation could be done before finishing PSFCH detection,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Apple</w:t>
            </w:r>
          </w:p>
        </w:tc>
        <w:tc>
          <w:tcPr>
            <w:tcW w:w="7933" w:type="dxa"/>
          </w:tcPr>
          <w:p>
            <w:pPr>
              <w:rPr>
                <w:rFonts w:eastAsia="Calibri"/>
                <w:lang w:val="en-GB"/>
              </w:rPr>
            </w:pPr>
            <w:r>
              <w:rPr>
                <w:rFonts w:eastAsia="Calibri"/>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pPr>
              <w:rPr>
                <w:rFonts w:eastAsia="Calibri"/>
                <w:lang w:val="en-GB"/>
              </w:rPr>
            </w:pPr>
          </w:p>
          <w:p>
            <w:pPr>
              <w:rPr>
                <w:rFonts w:eastAsia="Calibri"/>
                <w:lang w:val="en-GB"/>
              </w:rPr>
            </w:pPr>
            <w:r>
              <w:rPr>
                <w:rFonts w:eastAsia="Calibri"/>
                <w:lang w:val="en-GB"/>
              </w:rPr>
              <w:t xml:space="preserve">As per the value of delta, we do not have strong position. Considering T_prep (PSFCH to PUCCH gap) is already larger than T_proc (PDCCH to PSCCH/PSSCH gap), we think it is probably fine to set delta = 0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ascii="Calibri" w:hAnsi="Calibri" w:eastAsia="Calibri" w:cs="Calibri"/>
                <w:lang w:val="en-GB"/>
              </w:rPr>
              <w:t>LG Electronics</w:t>
            </w:r>
          </w:p>
        </w:tc>
        <w:tc>
          <w:tcPr>
            <w:tcW w:w="7933" w:type="dxa"/>
          </w:tcPr>
          <w:p>
            <w:pPr>
              <w:rPr>
                <w:rFonts w:eastAsiaTheme="minorEastAsia"/>
                <w:lang w:val="en-GB"/>
              </w:rPr>
            </w:pPr>
            <w:r>
              <w:rPr>
                <w:rFonts w:eastAsiaTheme="minorEastAsia"/>
                <w:lang w:val="en-GB"/>
              </w:rPr>
              <w:t>We disagee with FL’s proposal of adding “</w:t>
            </w:r>
            <w:r>
              <w:rPr>
                <w:rFonts w:eastAsiaTheme="minorEastAsia"/>
                <w:color w:val="FF0000"/>
                <w:lang w:val="en-GB"/>
              </w:rPr>
              <w:t>when using a pool with PSFCH resources</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minimum time between PSFCH reception and next scheduled PSCCH/PSSCH 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pPr>
              <w:numPr>
                <w:ilvl w:val="0"/>
                <w:numId w:val="36"/>
              </w:numPr>
              <w:ind w:hanging="403"/>
              <w:rPr>
                <w:rFonts w:eastAsia="Calibri"/>
                <w:lang w:val="en-GB"/>
              </w:rPr>
            </w:pPr>
            <w:r>
              <w:rPr>
                <w:rFonts w:eastAsiaTheme="minorEastAsia"/>
                <w:i/>
                <w:color w:val="0000FF"/>
                <w:lang w:val="en-GB"/>
              </w:rPr>
              <w:t>For a TB with HARQ feedback enabled, a UE doesn’t expect to receive Mode 1 SL grant such that the minimum time between PSFCH reception and next PSCCH/PSSCH retransmission can not be guaranteed for the same TB.</w:t>
            </w:r>
          </w:p>
          <w:p>
            <w:pPr>
              <w:rPr>
                <w:rFonts w:eastAsia="Calibri"/>
                <w:color w:val="FF0000"/>
                <w:lang w:val="en-GB"/>
              </w:rPr>
            </w:pPr>
            <w:r>
              <w:rPr>
                <w:rFonts w:eastAsia="Calibri"/>
                <w:color w:val="FF0000"/>
                <w:lang w:val="en-GB"/>
              </w:rPr>
              <w:t>FL reply 25/8/2020:</w:t>
            </w:r>
          </w:p>
          <w:p>
            <w:pPr>
              <w:rPr>
                <w:rFonts w:eastAsia="Calibri"/>
                <w:lang w:val="en-GB"/>
              </w:rPr>
            </w:pPr>
            <w:r>
              <w:rPr>
                <w:rFonts w:eastAsia="Calibri"/>
                <w:color w:val="FF0000"/>
                <w:lang w:val="en-GB"/>
              </w:rPr>
              <w:t>This applies to DG and CG. In general, the gNB cannot know which LCHs will be multiplexed in a TB. Without changes to LCP, I do not see how this can be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bl>
    <w:p>
      <w:pPr>
        <w:pStyle w:val="3"/>
      </w:pPr>
      <w:r>
        <w:t>Other comments</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7E6E6" w:themeFill="background2"/>
          </w:tcPr>
          <w:p>
            <w:pPr>
              <w:jc w:val="center"/>
              <w:rPr>
                <w:rFonts w:eastAsia="Calibri"/>
                <w:b/>
                <w:bCs/>
                <w:lang w:val="en-GB"/>
              </w:rPr>
            </w:pPr>
            <w:r>
              <w:rPr>
                <w:rFonts w:eastAsia="Calibri"/>
                <w:b/>
                <w:bCs/>
                <w:lang w:val="en-GB"/>
              </w:rPr>
              <w:t>Company</w:t>
            </w:r>
          </w:p>
        </w:tc>
        <w:tc>
          <w:tcPr>
            <w:tcW w:w="7933" w:type="dxa"/>
            <w:shd w:val="clear" w:color="auto" w:fill="E7E6E6" w:themeFill="background2"/>
          </w:tcPr>
          <w:p>
            <w:pPr>
              <w:jc w:val="center"/>
              <w:rPr>
                <w:rFonts w:eastAsia="Calibri"/>
                <w:b/>
                <w:bCs/>
                <w:lang w:val="en-GB"/>
              </w:rPr>
            </w:pPr>
            <w:r>
              <w:rPr>
                <w:rFonts w:eastAsia="Calibri"/>
                <w:b/>
                <w:bCs/>
                <w:lang w:val="en-GB"/>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v</w:t>
            </w:r>
            <w:r>
              <w:rPr>
                <w:rFonts w:eastAsia="等线"/>
                <w:lang w:val="en-GB"/>
              </w:rPr>
              <w:t>ivo</w:t>
            </w:r>
          </w:p>
        </w:tc>
        <w:tc>
          <w:tcPr>
            <w:tcW w:w="7933" w:type="dxa"/>
          </w:tcPr>
          <w:p>
            <w:pPr>
              <w:rPr>
                <w:rFonts w:eastAsia="等线"/>
                <w:lang w:val="en-GB"/>
              </w:rPr>
            </w:pPr>
            <w:r>
              <w:rPr>
                <w:rFonts w:hint="eastAsia" w:eastAsia="等线"/>
                <w:lang w:val="en-GB"/>
              </w:rPr>
              <w:t>2</w:t>
            </w:r>
            <w:r>
              <w:rPr>
                <w:rFonts w:eastAsia="等线"/>
                <w:lang w:val="en-GB"/>
              </w:rPr>
              <w:t>020/8/24</w:t>
            </w:r>
          </w:p>
          <w:p>
            <w:pPr>
              <w:rPr>
                <w:rFonts w:ascii="Times New Roman" w:hAnsi="Times New Roman" w:eastAsia="Calibri" w:cs="Times New Roman"/>
                <w:sz w:val="20"/>
                <w:szCs w:val="20"/>
                <w:lang w:eastAsia="zh-CN"/>
              </w:rPr>
            </w:pPr>
            <w:r>
              <w:rPr>
                <w:rFonts w:eastAsia="等线"/>
                <w:lang w:val="en-GB"/>
              </w:rPr>
              <w:t xml:space="preserve">Regarding the multiple CG issue mentioned in 1.3, I am afraid if we can not derive that ‘there is only </w:t>
            </w:r>
            <w:r>
              <w:rPr>
                <w:rFonts w:eastAsia="Calibri"/>
                <w:lang w:val="en-GB"/>
              </w:rPr>
              <w:t xml:space="preserve">1 SL CG providing a grant with the same PSFCH reception occasion associated with the same SL HARQ codebook’, from our side the </w:t>
            </w:r>
            <w:r>
              <w:rPr>
                <w:rFonts w:eastAsia="Calibri"/>
                <w:highlight w:val="yellow"/>
                <w:lang w:val="en-GB"/>
              </w:rPr>
              <w:t>highlighted part</w:t>
            </w:r>
            <w:r>
              <w:rPr>
                <w:rFonts w:eastAsia="Calibri"/>
                <w:lang w:val="en-GB"/>
              </w:rPr>
              <w:t xml:space="preserve"> in the agreement showed by FL just implies that UE reports HARQ-ACK for up to 1 SL CG in a codebook, it is not expected to report HARQ-ACK for more than 1 SL CG. 38.213 implemented the highlighted part in this way: </w:t>
            </w:r>
            <w:r>
              <w:rPr>
                <w:rFonts w:eastAsia="Calibri"/>
                <w:b/>
                <w:bCs/>
                <w:i/>
                <w:iCs/>
                <w:u w:val="single"/>
                <w:lang w:eastAsia="zh-CN"/>
              </w:rPr>
              <w:t>A UE does not expect to multiplex HARQ-ACK information for more than one SL configured grants in a same PUCCH</w:t>
            </w:r>
            <w:r>
              <w:rPr>
                <w:rFonts w:eastAsia="Calibri"/>
                <w:lang w:eastAsia="zh-CN"/>
              </w:rPr>
              <w:t xml:space="preserve">. </w:t>
            </w:r>
            <w:r>
              <w:rPr>
                <w:rFonts w:eastAsia="Calibri"/>
                <w:lang w:val="en-GB"/>
              </w:rPr>
              <w:t xml:space="preserve">Both the agreement and spec have not prevented gnb from configuring multiple SL CG providing grants associated with the same PSFCH occasion targeting the same codebook. </w:t>
            </w:r>
          </w:p>
          <w:p>
            <w:pPr>
              <w:rPr>
                <w:rFonts w:eastAsia="Yu Mincho"/>
                <w:lang w:val="en-GB"/>
              </w:rPr>
            </w:pPr>
            <w:r>
              <w:rPr>
                <w:rFonts w:eastAsia="等线"/>
              </w:rPr>
              <w:t xml:space="preserve">From our understanding, it seems that gnb is still allowed to provide more than 1 SL CG </w:t>
            </w:r>
            <w:r>
              <w:rPr>
                <w:rFonts w:eastAsia="Calibri"/>
                <w:lang w:val="en-GB"/>
              </w:rPr>
              <w:t xml:space="preserve">providing a grant with the same PSFCH reception occasion associated with the same SL HARQ codebook, but how to meet the </w:t>
            </w:r>
            <w:r>
              <w:rPr>
                <w:rFonts w:eastAsia="Calibri"/>
                <w:highlight w:val="yellow"/>
                <w:lang w:val="en-GB"/>
              </w:rPr>
              <w:t>highlighted restriction</w:t>
            </w:r>
            <w:r>
              <w:rPr>
                <w:rFonts w:eastAsia="Calibri"/>
                <w:lang w:val="en-GB"/>
              </w:rPr>
              <w:t xml:space="preserve"> is not still clear and some rules need to be specified. E.g. only report HARQ-ACK corresponding to SL CG with the lowest index among the SL CG providing a grant associated with the PSFCH occasion. </w:t>
            </w:r>
            <w:r>
              <w:rPr>
                <w:rFonts w:eastAsia="等线"/>
                <w:lang w:val="en-GB"/>
              </w:rPr>
              <w:t>(</w:t>
            </w:r>
            <w:r>
              <w:rPr>
                <w:rFonts w:eastAsia="Calibri"/>
                <w:lang w:val="en-GB"/>
              </w:rPr>
              <w:t>I also noticed that there is a note mentioned that the restriction can be achieved by assigning different PUCCH slots for different SL CG. However, it may be difficult for gnb to avoid the collision between semi-static PUCCH associated with different SL CG.)</w:t>
            </w:r>
          </w:p>
          <w:p>
            <w:pPr>
              <w:rPr>
                <w:rFonts w:eastAsia="Calibri"/>
                <w:lang w:val="en-GB"/>
              </w:rPr>
            </w:pPr>
            <w:r>
              <w:rPr>
                <w:rFonts w:eastAsia="等线"/>
                <w:lang w:val="en-GB"/>
              </w:rPr>
              <w:t xml:space="preserve">I am not sure how the group understands the agreement. If it is the common understanding in the group that gnb must avoid providing more than 1 </w:t>
            </w:r>
            <w:r>
              <w:rPr>
                <w:rFonts w:eastAsia="Calibri"/>
                <w:lang w:val="en-GB"/>
              </w:rPr>
              <w:t>SL CG providing a grant with the same PSFCH reception occasion associated with the same SL HARQ codebook, then I think we still need another agreement or conclusion for further clarification.</w:t>
            </w:r>
          </w:p>
          <w:p>
            <w:pPr>
              <w:rPr>
                <w:rFonts w:eastAsia="Calibri"/>
                <w:lang w:val="en-GB"/>
              </w:rPr>
            </w:pPr>
          </w:p>
          <w:p>
            <w:pPr>
              <w:rPr>
                <w:rFonts w:ascii="Calibri" w:hAnsi="Calibri" w:eastAsia="Calibri"/>
                <w:b/>
                <w:bCs/>
              </w:rPr>
            </w:pPr>
            <w:r>
              <w:rPr>
                <w:rFonts w:eastAsia="Calibri"/>
                <w:highlight w:val="green"/>
              </w:rPr>
              <w:t>Agreements:</w:t>
            </w:r>
            <w:r>
              <w:rPr>
                <w:rFonts w:eastAsia="Calibri"/>
                <w:b/>
                <w:bCs/>
              </w:rPr>
              <w:t xml:space="preserve"> </w:t>
            </w:r>
            <w:r>
              <w:rPr>
                <w:rFonts w:eastAsia="Calibri"/>
              </w:rPr>
              <w:t>(from [98b-NR-13] SL HARQ-ACK multiplexing)</w:t>
            </w:r>
          </w:p>
          <w:p>
            <w:pPr>
              <w:pStyle w:val="133"/>
              <w:numPr>
                <w:ilvl w:val="0"/>
                <w:numId w:val="21"/>
              </w:numPr>
              <w:contextualSpacing/>
            </w:pPr>
            <w:r>
              <w:t xml:space="preserve">NR supports reporting of multiple SL HARQ-ACKs in a single PUCCH resource. </w:t>
            </w:r>
          </w:p>
          <w:p>
            <w:pPr>
              <w:pStyle w:val="133"/>
              <w:numPr>
                <w:ilvl w:val="1"/>
                <w:numId w:val="21"/>
              </w:numPr>
              <w:contextualSpacing/>
            </w:pPr>
            <w:r>
              <w:t>The Rel-15 procedures for multiplexing DL HARQ-ACKs are reutilized.</w:t>
            </w:r>
          </w:p>
          <w:p>
            <w:pPr>
              <w:pStyle w:val="133"/>
              <w:numPr>
                <w:ilvl w:val="1"/>
                <w:numId w:val="21"/>
              </w:numPr>
              <w:contextualSpacing/>
            </w:pPr>
            <w:r>
              <w:t xml:space="preserve">Reports carry SL HARQ-ACKs for dynamic grants and/or configured grants. </w:t>
            </w:r>
          </w:p>
          <w:p>
            <w:pPr>
              <w:pStyle w:val="133"/>
              <w:numPr>
                <w:ilvl w:val="2"/>
                <w:numId w:val="21"/>
              </w:numPr>
              <w:contextualSpacing/>
            </w:pPr>
            <w:r>
              <w:rPr>
                <w:highlight w:val="yellow"/>
              </w:rPr>
              <w:t>A UE does not expected to be indicated to transmit SL HARQ-ACK information for more than one SL configured grant in a same PUCCH.</w:t>
            </w:r>
          </w:p>
          <w:p>
            <w:pPr>
              <w:pStyle w:val="133"/>
              <w:numPr>
                <w:ilvl w:val="2"/>
                <w:numId w:val="21"/>
              </w:numPr>
              <w:contextualSpacing/>
            </w:pPr>
            <w:r>
              <w:t>Note: A UE can be provided with multiple SL CGs with different (non-overlapping) slots for the corresponding PUCCH transmissions for SL HARQ-ACK reporting.</w:t>
            </w:r>
          </w:p>
          <w:p>
            <w:pPr>
              <w:rPr>
                <w:rFonts w:eastAsia="Calibri"/>
                <w:color w:val="FF0000"/>
                <w:lang w:val="en-GB"/>
              </w:rPr>
            </w:pPr>
            <w:r>
              <w:rPr>
                <w:rFonts w:eastAsia="Calibri"/>
                <w:color w:val="FF0000"/>
                <w:lang w:val="en-GB"/>
              </w:rPr>
              <w:t>FL reply (25/8/2020):</w:t>
            </w:r>
          </w:p>
          <w:p>
            <w:pPr>
              <w:rPr>
                <w:rFonts w:eastAsia="Calibri"/>
                <w:lang w:val="en-GB"/>
              </w:rPr>
            </w:pPr>
            <w:r>
              <w:rPr>
                <w:rFonts w:eastAsia="Calibri"/>
                <w:color w:val="FF0000"/>
                <w:lang w:val="en-GB"/>
              </w:rPr>
              <w:t>In my view, it is quite clear that if a UE is provided with two different CGs that require the UE to report SL HARQ-ACK to the gNB in the same PUCCH would imply that “the UE has been indicated to transmit SL HARQ-ACK information for more than one SL configured grant in a same PUCCH”. This would be against the highlighted part of the agreement in [98b-NR-13]. It is responsibility of the gNB to avoid it. Note that the spec already states (TS 38.213 Clause 16.5) that “A UE does not expect to multiplex HARQ-ACK information for more than one SL configured grants in a same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p>
        </w:tc>
        <w:tc>
          <w:tcPr>
            <w:tcW w:w="7933" w:type="dxa"/>
          </w:tcPr>
          <w:p>
            <w:pPr>
              <w:rPr>
                <w:rFonts w:eastAsia="Calibri"/>
                <w:lang w:val="en-GB"/>
              </w:rPr>
            </w:pPr>
          </w:p>
        </w:tc>
      </w:tr>
    </w:tbl>
    <w:p>
      <w:pPr>
        <w:rPr>
          <w:b/>
          <w:bCs/>
        </w:rPr>
      </w:pPr>
    </w:p>
    <w:p>
      <w:pPr>
        <w:rPr>
          <w:b/>
          <w:bCs/>
        </w:rPr>
      </w:pPr>
    </w:p>
    <w:p>
      <w:pPr>
        <w:pStyle w:val="2"/>
        <w:jc w:val="both"/>
      </w:pPr>
      <w:r>
        <w:t>Appendix: Previous dicussions</w:t>
      </w:r>
    </w:p>
    <w:p>
      <w:pPr>
        <w:pStyle w:val="3"/>
      </w:pPr>
      <w:r>
        <w:t>1.3</w:t>
      </w:r>
      <w:r>
        <w:tab/>
      </w:r>
      <w:r>
        <w:t>HARQ reporting to gNB</w:t>
      </w:r>
    </w:p>
    <w:p>
      <w:pPr>
        <w:pStyle w:val="4"/>
        <w:ind w:left="0" w:firstLine="0"/>
      </w:pPr>
      <w:r>
        <w:t>Issue 1.3-1</w:t>
      </w:r>
      <w:r>
        <w:tab/>
      </w:r>
      <w:r>
        <w:t>Details in the WA from RAN#100-e for the case of reaching the maximum number of HARQ re-transmissions for a TB.</w:t>
      </w:r>
    </w:p>
    <w:p>
      <w:pPr>
        <w:rPr>
          <w:b/>
          <w:bCs/>
        </w:rPr>
      </w:pPr>
      <w:r>
        <w:rPr>
          <w:b/>
          <w:bCs/>
        </w:rPr>
        <w:t>Regarding the following working assumption made in RAN#100-e:</w:t>
      </w:r>
    </w:p>
    <w:p>
      <w:pPr>
        <w:pStyle w:val="133"/>
        <w:numPr>
          <w:ilvl w:val="0"/>
          <w:numId w:val="37"/>
        </w:numPr>
        <w:rPr>
          <w:b/>
          <w:bCs/>
        </w:rPr>
      </w:pPr>
      <w:r>
        <w:rPr>
          <w:b/>
          <w:bCs/>
        </w:rPr>
        <w:t>When the maximum number of HARQ retransmissions for a TB is reached, the UE reports ACK/NACK based on the contents of PSFCH (i.e., the same behaviour as if the maximum number of retransmissions had not been reached).</w:t>
      </w:r>
    </w:p>
    <w:p>
      <w:pPr>
        <w:pStyle w:val="133"/>
        <w:numPr>
          <w:ilvl w:val="0"/>
          <w:numId w:val="37"/>
        </w:numPr>
        <w:rPr>
          <w:b/>
          <w:bCs/>
        </w:rPr>
      </w:pPr>
      <w:r>
        <w:rPr>
          <w:b/>
          <w:bCs/>
        </w:rPr>
        <w:t>When the maximum number of HARQ retransmissions for a TB is reached, the UE reports ACK.</w:t>
      </w:r>
    </w:p>
    <w:p>
      <w:pPr>
        <w:rPr>
          <w:b/>
          <w:bCs/>
        </w:rPr>
      </w:pPr>
      <w:r>
        <w:rPr>
          <w:b/>
          <w:bCs/>
        </w:rPr>
        <w:t xml:space="preserve"> (For other answers, please explain)</w:t>
      </w:r>
    </w:p>
    <w:p>
      <w:pPr>
        <w:spacing w:before="240"/>
        <w:rPr>
          <w:b/>
          <w:bCs/>
        </w:rPr>
      </w:pPr>
      <w:r>
        <w:rPr>
          <w:b/>
          <w:bCs/>
        </w:rPr>
        <w:t>FL summary (19/8/2020):</w:t>
      </w:r>
    </w:p>
    <w:p>
      <w:pPr>
        <w:pStyle w:val="133"/>
        <w:numPr>
          <w:ilvl w:val="0"/>
          <w:numId w:val="15"/>
        </w:numPr>
        <w:spacing w:before="240"/>
      </w:pPr>
      <w:r>
        <w:t>There is a majority of companies supporting option A.</w:t>
      </w:r>
    </w:p>
    <w:p>
      <w:pPr>
        <w:pStyle w:val="133"/>
        <w:numPr>
          <w:ilvl w:val="0"/>
          <w:numId w:val="15"/>
        </w:numPr>
        <w:spacing w:before="240"/>
      </w:pPr>
      <w:r>
        <w:t>Some further companies propose not having any additional specification. My understanding is that this is aligned with option A too.</w:t>
      </w:r>
    </w:p>
    <w:p>
      <w:pPr>
        <w:spacing w:before="240"/>
        <w:rPr>
          <w:b/>
          <w:bCs/>
        </w:rPr>
      </w:pPr>
      <w:r>
        <w:rPr>
          <w:b/>
          <w:bCs/>
        </w:rPr>
        <w:t>FL reply (20/8/2020):</w:t>
      </w:r>
    </w:p>
    <w:p>
      <w:pPr>
        <w:pStyle w:val="133"/>
        <w:numPr>
          <w:ilvl w:val="0"/>
          <w:numId w:val="38"/>
        </w:numPr>
        <w:spacing w:before="240"/>
      </w:pPr>
      <w:r>
        <w:t>There is a comment by Nokia on whther there is some misalignment in the RAN2 specs.</w:t>
      </w:r>
    </w:p>
    <w:p>
      <w:pPr>
        <w:spacing w:before="240"/>
        <w:rPr>
          <w:b/>
          <w:bCs/>
        </w:rPr>
      </w:pPr>
      <w:r>
        <w:rPr>
          <w:b/>
          <w:bCs/>
          <w:highlight w:val="yellow"/>
        </w:rPr>
        <w:t>Proposal</w:t>
      </w:r>
      <w:r>
        <w:rPr>
          <w:b/>
          <w:bCs/>
        </w:rPr>
        <w:t>:</w:t>
      </w:r>
    </w:p>
    <w:p>
      <w:pPr>
        <w:pStyle w:val="133"/>
        <w:numPr>
          <w:ilvl w:val="0"/>
          <w:numId w:val="15"/>
        </w:numPr>
        <w:spacing w:before="240"/>
      </w:pPr>
      <w:r>
        <w:t>When the maximum number of HARQ retransmissions for a TB is reached, the UE reports ACK/NACK based on the contents of PSFCH (i.e., the same behaviour as if the maximum number of retransmissions had not been reached).</w:t>
      </w:r>
    </w:p>
    <w:p>
      <w:pPr>
        <w:pStyle w:val="133"/>
        <w:numPr>
          <w:ilvl w:val="0"/>
          <w:numId w:val="15"/>
        </w:numPr>
        <w:spacing w:before="240"/>
      </w:pPr>
      <w:r>
        <w:t>No spec impact is expected.</w:t>
      </w:r>
    </w:p>
    <w:p>
      <w:pPr>
        <w:rPr>
          <w:b/>
          <w:bCs/>
        </w:rPr>
      </w:pPr>
      <w:r>
        <w:rPr>
          <w:b/>
          <w:bCs/>
        </w:rPr>
        <w:t>During the GTW session on 20/8/20, the following was agreed:</w:t>
      </w:r>
    </w:p>
    <w:p>
      <w:pPr>
        <w:rPr>
          <w:szCs w:val="20"/>
        </w:rPr>
      </w:pPr>
      <w:r>
        <w:rPr>
          <w:szCs w:val="20"/>
          <w:highlight w:val="green"/>
        </w:rPr>
        <w:t>Agreements</w:t>
      </w:r>
      <w:r>
        <w:rPr>
          <w:szCs w:val="20"/>
        </w:rPr>
        <w:t>:</w:t>
      </w:r>
    </w:p>
    <w:p>
      <w:pPr>
        <w:pStyle w:val="133"/>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8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shd w:val="clear" w:color="auto" w:fill="E7E6E6" w:themeFill="background2"/>
          </w:tcPr>
          <w:p>
            <w:pPr>
              <w:jc w:val="center"/>
              <w:rPr>
                <w:rFonts w:eastAsia="Calibri"/>
                <w:b/>
                <w:bCs/>
                <w:lang w:val="en-GB"/>
              </w:rPr>
            </w:pPr>
            <w:r>
              <w:rPr>
                <w:rFonts w:eastAsia="Calibri"/>
                <w:b/>
                <w:bCs/>
                <w:lang w:val="en-GB"/>
              </w:rPr>
              <w:t>Company</w:t>
            </w:r>
          </w:p>
        </w:tc>
        <w:tc>
          <w:tcPr>
            <w:tcW w:w="8293" w:type="dxa"/>
            <w:shd w:val="clear" w:color="auto" w:fill="E7E6E6" w:themeFill="background2"/>
          </w:tcPr>
          <w:p>
            <w:pPr>
              <w:jc w:val="center"/>
              <w:rPr>
                <w:rFonts w:eastAsia="Calibri"/>
                <w:b/>
                <w:bCs/>
                <w:lang w:val="en-GB"/>
              </w:rPr>
            </w:pPr>
            <w:r>
              <w:rPr>
                <w:rFonts w:eastAsia="Calibri"/>
                <w:b/>
                <w:bCs/>
                <w:lang w:val="en-GB"/>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Yu Mincho"/>
                <w:lang w:val="en-GB"/>
              </w:rPr>
            </w:pPr>
            <w:r>
              <w:rPr>
                <w:rFonts w:hint="eastAsia" w:eastAsia="Yu Mincho"/>
                <w:lang w:val="en-GB"/>
              </w:rPr>
              <w:t>NTT DOCOMO</w:t>
            </w:r>
          </w:p>
        </w:tc>
        <w:tc>
          <w:tcPr>
            <w:tcW w:w="8293" w:type="dxa"/>
          </w:tcPr>
          <w:p>
            <w:pPr>
              <w:rPr>
                <w:rFonts w:eastAsia="Yu Mincho"/>
                <w:lang w:val="en-GB"/>
              </w:rPr>
            </w:pPr>
            <w:r>
              <w:rPr>
                <w:rFonts w:hint="eastAsia" w:eastAsia="Yu Mincho"/>
                <w:lang w:val="en-GB"/>
              </w:rPr>
              <w:t>Option A.</w:t>
            </w:r>
          </w:p>
          <w:p>
            <w:pPr>
              <w:rPr>
                <w:rFonts w:eastAsia="Yu Mincho"/>
                <w:lang w:val="en-GB"/>
              </w:rPr>
            </w:pPr>
            <w:r>
              <w:rPr>
                <w:rFonts w:eastAsia="Yu Mincho"/>
                <w:color w:val="0070C0"/>
                <w:lang w:val="en-GB"/>
              </w:rPr>
              <w:t>[DCM2]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36" w:type="dxa"/>
          </w:tcPr>
          <w:p>
            <w:pPr>
              <w:rPr>
                <w:rFonts w:eastAsia="Calibri"/>
                <w:lang w:val="en-GB"/>
              </w:rPr>
            </w:pPr>
            <w:r>
              <w:rPr>
                <w:rFonts w:eastAsia="Calibri"/>
                <w:lang w:val="en-GB"/>
              </w:rPr>
              <w:t>Intel</w:t>
            </w:r>
          </w:p>
        </w:tc>
        <w:tc>
          <w:tcPr>
            <w:tcW w:w="8293" w:type="dxa"/>
          </w:tcPr>
          <w:p>
            <w:pPr>
              <w:rPr>
                <w:rFonts w:eastAsia="Calibri"/>
                <w:lang w:val="en-GB"/>
              </w:rPr>
            </w:pPr>
            <w:r>
              <w:rPr>
                <w:rFonts w:eastAsia="Calibri"/>
                <w:lang w:val="en-GB"/>
              </w:rPr>
              <w:t>Option A</w:t>
            </w:r>
          </w:p>
          <w:p>
            <w:pPr>
              <w:rPr>
                <w:rFonts w:eastAsia="Calibri"/>
                <w:lang w:val="en-GB"/>
              </w:rPr>
            </w:pPr>
            <w:r>
              <w:rPr>
                <w:rFonts w:eastAsia="Calibri"/>
                <w:color w:val="4472C4" w:themeColor="accent1"/>
                <w:lang w:val="en-GB"/>
                <w14:textFill>
                  <w14:solidFill>
                    <w14:schemeClr w14:val="accent1"/>
                  </w14:solidFill>
                </w14:textFill>
              </w:rPr>
              <w:t>[Intel2]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36" w:type="dxa"/>
          </w:tcPr>
          <w:p>
            <w:pPr>
              <w:rPr>
                <w:rFonts w:eastAsia="Calibri"/>
                <w:lang w:val="en-GB"/>
              </w:rPr>
            </w:pPr>
            <w:r>
              <w:rPr>
                <w:rFonts w:hint="eastAsia" w:eastAsia="等线"/>
                <w:lang w:val="en-GB"/>
              </w:rPr>
              <w:t>v</w:t>
            </w:r>
            <w:r>
              <w:rPr>
                <w:rFonts w:eastAsia="等线"/>
                <w:lang w:val="en-GB"/>
              </w:rPr>
              <w:t>ivo</w:t>
            </w:r>
          </w:p>
        </w:tc>
        <w:tc>
          <w:tcPr>
            <w:tcW w:w="8293" w:type="dxa"/>
          </w:tcPr>
          <w:p>
            <w:pPr>
              <w:rPr>
                <w:rFonts w:eastAsia="等线"/>
                <w:lang w:val="en-GB"/>
              </w:rPr>
            </w:pPr>
            <w:r>
              <w:rPr>
                <w:rFonts w:eastAsia="等线"/>
                <w:lang w:val="en-GB"/>
              </w:rPr>
              <w:t xml:space="preserve">We have no particular preference for either option. But we have some questions about option A. I understand that setting the maximum retransmission </w:t>
            </w:r>
            <w:r>
              <w:rPr>
                <w:rFonts w:hint="eastAsia" w:eastAsia="等线"/>
                <w:lang w:val="en-GB"/>
              </w:rPr>
              <w:t>for</w:t>
            </w:r>
            <w:r>
              <w:rPr>
                <w:rFonts w:eastAsia="等线"/>
                <w:lang w:val="en-GB"/>
              </w:rPr>
              <w:t xml:space="preserve"> a TB to some extent is to limit the resources used for a single TB. Since gnb is not aware of where the initial transmission takes place </w:t>
            </w:r>
            <w:r>
              <w:rPr>
                <w:rFonts w:hint="eastAsia" w:eastAsia="等线"/>
                <w:lang w:val="en-GB"/>
              </w:rPr>
              <w:t>on</w:t>
            </w:r>
            <w:r>
              <w:rPr>
                <w:rFonts w:eastAsia="等线"/>
                <w:lang w:val="en-GB"/>
              </w:rPr>
              <w:t xml:space="preserve"> a CG, it cannot differentiate the HARQ-ACK reporting with/without satisfying the maximum transmission times restriction. So if we go with option A, gnb may assign more resources for retransmission due to the reported NACK, then what is the purpose of setting the maximum retransmission times in this case? It sees </w:t>
            </w:r>
            <w:r>
              <w:rPr>
                <w:rFonts w:hint="eastAsia" w:eastAsia="等线"/>
                <w:lang w:val="en-GB"/>
              </w:rPr>
              <w:t>t</w:t>
            </w:r>
            <w:r>
              <w:rPr>
                <w:rFonts w:eastAsia="等线"/>
                <w:lang w:val="en-GB"/>
              </w:rPr>
              <w:t>his limit has virtually no impact on the number of resources used by a TB. Could the proponents of option A elaborate a bit more of the intention of setting such restriction if option A is adopted?</w:t>
            </w:r>
          </w:p>
          <w:p>
            <w:pPr>
              <w:rPr>
                <w:rFonts w:eastAsia="等线"/>
                <w:color w:val="FF0000"/>
                <w:lang w:val="en-GB"/>
              </w:rPr>
            </w:pPr>
            <w:r>
              <w:rPr>
                <w:rFonts w:eastAsia="等线"/>
                <w:color w:val="FF0000"/>
                <w:lang w:val="en-GB"/>
              </w:rPr>
              <w:t>FL reply (19/8/2020):</w:t>
            </w:r>
          </w:p>
          <w:p>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pPr>
              <w:rPr>
                <w:rFonts w:eastAsia="等线"/>
                <w:color w:val="7F7F7F" w:themeColor="background1" w:themeShade="80"/>
                <w:lang w:val="en-GB"/>
              </w:rPr>
            </w:pPr>
            <w:r>
              <w:rPr>
                <w:rFonts w:hint="eastAsia" w:eastAsia="等线"/>
                <w:color w:val="7F7F7F" w:themeColor="background1" w:themeShade="80"/>
                <w:lang w:val="en-GB"/>
              </w:rPr>
              <w:t>[vivo</w:t>
            </w:r>
            <w:r>
              <w:rPr>
                <w:rFonts w:eastAsia="等线"/>
                <w:color w:val="7F7F7F" w:themeColor="background1" w:themeShade="80"/>
                <w:lang w:val="en-GB"/>
              </w:rPr>
              <w:t>-2020/08/20</w:t>
            </w:r>
            <w:r>
              <w:rPr>
                <w:rFonts w:hint="eastAsia" w:eastAsia="等线"/>
                <w:color w:val="7F7F7F" w:themeColor="background1" w:themeShade="80"/>
                <w:lang w:val="en-GB"/>
              </w:rPr>
              <w:t>]</w:t>
            </w:r>
          </w:p>
          <w:p>
            <w:pPr>
              <w:rPr>
                <w:rFonts w:eastAsia="等线"/>
                <w:lang w:val="en-GB"/>
              </w:rPr>
            </w:pPr>
            <w:r>
              <w:rPr>
                <w:rFonts w:eastAsia="等线"/>
                <w:color w:val="7F7F7F" w:themeColor="background1" w:themeShade="80"/>
                <w:lang w:val="en-GB"/>
              </w:rPr>
              <w:t xml:space="preserve">Understand. I </w:t>
            </w:r>
            <w:r>
              <w:rPr>
                <w:rFonts w:hint="eastAsia" w:eastAsia="等线"/>
                <w:color w:val="7F7F7F" w:themeColor="background1" w:themeShade="80"/>
                <w:lang w:val="en-GB"/>
              </w:rPr>
              <w:t>was</w:t>
            </w:r>
            <w:r>
              <w:rPr>
                <w:rFonts w:eastAsia="等线"/>
                <w:color w:val="7F7F7F" w:themeColor="background1" w:themeShade="80"/>
                <w:lang w:val="en-GB"/>
              </w:rPr>
              <w:t xml:space="preserve"> just trying to remember the original intention of introducing a maximum number of transmissions for CG….. it seems that such restriction is totally useless if we follow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36" w:type="dxa"/>
          </w:tcPr>
          <w:p>
            <w:pPr>
              <w:rPr>
                <w:rFonts w:eastAsia="Calibri"/>
                <w:lang w:val="en-GB"/>
              </w:rPr>
            </w:pPr>
            <w:r>
              <w:rPr>
                <w:rFonts w:hint="eastAsia" w:eastAsia="等线"/>
                <w:lang w:val="en-GB"/>
              </w:rPr>
              <w:t>O</w:t>
            </w:r>
            <w:r>
              <w:rPr>
                <w:rFonts w:eastAsia="等线"/>
                <w:lang w:val="en-GB"/>
              </w:rPr>
              <w:t>PPO</w:t>
            </w:r>
          </w:p>
        </w:tc>
        <w:tc>
          <w:tcPr>
            <w:tcW w:w="8293" w:type="dxa"/>
          </w:tcPr>
          <w:p>
            <w:pPr>
              <w:rPr>
                <w:rFonts w:eastAsia="等线"/>
                <w:lang w:val="en-GB"/>
              </w:rPr>
            </w:pPr>
            <w:r>
              <w:rPr>
                <w:rFonts w:hint="eastAsia" w:eastAsia="等线"/>
                <w:lang w:val="en-GB"/>
              </w:rPr>
              <w:t>T</w:t>
            </w:r>
            <w:r>
              <w:rPr>
                <w:rFonts w:eastAsia="等线"/>
                <w:lang w:val="en-GB"/>
              </w:rPr>
              <w:t>he WA made in RAN1#100-e is as follows:</w:t>
            </w:r>
          </w:p>
          <w:p>
            <w:pPr>
              <w:rPr>
                <w:rFonts w:eastAsia="等线"/>
                <w:highlight w:val="yellow"/>
                <w:lang w:val="en-GB"/>
              </w:rPr>
            </w:pPr>
          </w:p>
          <w:p>
            <w:pPr>
              <w:rPr>
                <w:rFonts w:eastAsia="等线"/>
                <w:szCs w:val="20"/>
                <w:highlight w:val="darkYellow"/>
                <w:lang w:val="en-GB"/>
              </w:rPr>
            </w:pPr>
            <w:r>
              <w:rPr>
                <w:rFonts w:eastAsia="等线"/>
                <w:szCs w:val="20"/>
                <w:highlight w:val="darkYellow"/>
                <w:lang w:val="en-GB"/>
              </w:rPr>
              <w:t>Working assumption (Q5):</w:t>
            </w:r>
          </w:p>
          <w:p>
            <w:pPr>
              <w:rPr>
                <w:rFonts w:eastAsia="Calibri"/>
                <w:szCs w:val="20"/>
                <w:lang w:val="en-GB"/>
              </w:rPr>
            </w:pPr>
            <w:r>
              <w:rPr>
                <w:rFonts w:eastAsia="Calibri"/>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pPr>
              <w:rPr>
                <w:rFonts w:eastAsia="等线"/>
                <w:highlight w:val="yellow"/>
                <w:lang w:val="en-GB"/>
              </w:rPr>
            </w:pPr>
          </w:p>
          <w:p>
            <w:pPr>
              <w:rPr>
                <w:rFonts w:eastAsia="等线"/>
                <w:lang w:val="en-GB"/>
              </w:rPr>
            </w:pPr>
            <w:r>
              <w:rPr>
                <w:rFonts w:hint="eastAsia" w:eastAsia="等线"/>
                <w:lang w:val="en-GB"/>
              </w:rPr>
              <w:t>T</w:t>
            </w:r>
            <w:r>
              <w:rPr>
                <w:rFonts w:eastAsia="等线"/>
                <w:lang w:val="en-GB"/>
              </w:rPr>
              <w:t xml:space="preserve">his WA was </w:t>
            </w:r>
            <w:r>
              <w:rPr>
                <w:rFonts w:eastAsia="等线"/>
                <w:highlight w:val="yellow"/>
                <w:lang w:val="en-GB"/>
              </w:rPr>
              <w:t>partially agreed</w:t>
            </w:r>
            <w:r>
              <w:rPr>
                <w:rFonts w:eastAsia="等线"/>
                <w:lang w:val="en-GB"/>
              </w:rPr>
              <w:t xml:space="preserve"> in RAN1#100bis-e for configured grant: </w:t>
            </w:r>
          </w:p>
          <w:p>
            <w:pPr>
              <w:rPr>
                <w:rFonts w:eastAsia="等线"/>
                <w:highlight w:val="yellow"/>
                <w:lang w:val="en-GB"/>
              </w:rPr>
            </w:pPr>
          </w:p>
          <w:p>
            <w:pPr>
              <w:rPr>
                <w:rFonts w:ascii="Calibri" w:hAnsi="Calibri" w:eastAsia="Calibri"/>
                <w:szCs w:val="20"/>
                <w:highlight w:val="green"/>
              </w:rPr>
            </w:pPr>
            <w:r>
              <w:rPr>
                <w:rFonts w:eastAsia="Calibri"/>
                <w:szCs w:val="20"/>
                <w:highlight w:val="green"/>
              </w:rPr>
              <w:t>Agreements:</w:t>
            </w:r>
          </w:p>
          <w:p>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pPr>
              <w:rPr>
                <w:rFonts w:eastAsia="等线"/>
                <w:lang w:val="en-GB"/>
              </w:rPr>
            </w:pPr>
          </w:p>
          <w:p>
            <w:pPr>
              <w:rPr>
                <w:rFonts w:ascii="Calibri" w:hAnsi="Calibri" w:eastAsia="Calibri" w:cs="宋体"/>
                <w:lang w:val="en-GB" w:eastAsia="en-GB"/>
              </w:rPr>
            </w:pPr>
            <w:r>
              <w:rPr>
                <w:rFonts w:eastAsia="Calibri"/>
                <w:lang w:val="en-GB" w:eastAsia="en-GB"/>
              </w:rPr>
              <w:t>Proposal 3</w:t>
            </w:r>
            <w:r>
              <w:rPr>
                <w:rFonts w:eastAsia="Calibri"/>
                <w:color w:val="FF0000"/>
                <w:lang w:val="en-GB" w:eastAsia="en-GB"/>
              </w:rPr>
              <w:t xml:space="preserve"> (for a working assumption)</w:t>
            </w:r>
            <w:r>
              <w:rPr>
                <w:rFonts w:eastAsia="Calibri"/>
                <w:lang w:val="en-GB" w:eastAsia="en-GB"/>
              </w:rPr>
              <w:t>:</w:t>
            </w:r>
          </w:p>
          <w:p>
            <w:pPr>
              <w:numPr>
                <w:ilvl w:val="0"/>
                <w:numId w:val="39"/>
              </w:numPr>
              <w:rPr>
                <w:rFonts w:eastAsia="Calibri"/>
                <w:lang w:val="en-GB" w:eastAsia="en-GB"/>
              </w:rPr>
            </w:pPr>
            <w:r>
              <w:rPr>
                <w:rFonts w:eastAsia="Calibri"/>
                <w:lang w:val="en-GB" w:eastAsia="en-GB"/>
              </w:rPr>
              <w:t>The working assumption from RAN1#100-e is confirmed.</w:t>
            </w:r>
            <w:r>
              <w:rPr>
                <w:rFonts w:eastAsia="Calibri"/>
                <w:lang w:val="en-GB"/>
              </w:rPr>
              <w:t xml:space="preserve"> </w:t>
            </w:r>
          </w:p>
          <w:p>
            <w:pPr>
              <w:numPr>
                <w:ilvl w:val="1"/>
                <w:numId w:val="39"/>
              </w:numPr>
              <w:rPr>
                <w:rFonts w:eastAsia="Calibri"/>
                <w:lang w:val="en-GB" w:eastAsia="en-GB"/>
              </w:rPr>
            </w:pPr>
            <w:r>
              <w:rPr>
                <w:rFonts w:eastAsia="Calibri"/>
                <w:lang w:val="en-GB"/>
              </w:rPr>
              <w:t>In case of reaching the maximum number of HARQ re-transmissions for a TB</w:t>
            </w:r>
            <w:r>
              <w:rPr>
                <w:rFonts w:eastAsia="Calibri"/>
                <w:color w:val="00B050"/>
                <w:lang w:val="en-GB"/>
              </w:rPr>
              <w:t xml:space="preserve"> using resources provided by a configured grant</w:t>
            </w:r>
            <w:r>
              <w:rPr>
                <w:rFonts w:eastAsia="Calibri"/>
                <w:lang w:val="en-GB"/>
              </w:rPr>
              <w:t xml:space="preserve">, the UE reports ACK to the gNB. </w:t>
            </w:r>
          </w:p>
          <w:p>
            <w:pPr>
              <w:numPr>
                <w:ilvl w:val="2"/>
                <w:numId w:val="39"/>
              </w:numPr>
              <w:rPr>
                <w:rFonts w:eastAsia="Calibri"/>
                <w:strike/>
                <w:lang w:val="en-GB" w:eastAsia="en-GB"/>
              </w:rPr>
            </w:pPr>
            <w:r>
              <w:rPr>
                <w:rFonts w:eastAsia="Calibri"/>
                <w:strike/>
                <w:color w:val="FF0000"/>
                <w:lang w:val="en-GB"/>
              </w:rPr>
              <w:t>FFS whether the specification supports that the gNB configures the UE with a maximum number of transmission per TB.</w:t>
            </w:r>
          </w:p>
          <w:p>
            <w:pPr>
              <w:rPr>
                <w:rFonts w:eastAsia="等线"/>
                <w:lang w:val="en-GB"/>
              </w:rPr>
            </w:pPr>
          </w:p>
          <w:p>
            <w:pPr>
              <w:rPr>
                <w:rFonts w:eastAsia="等线"/>
                <w:lang w:val="en-GB"/>
              </w:rPr>
            </w:pPr>
            <w:r>
              <w:rPr>
                <w:rFonts w:eastAsia="等线"/>
                <w:lang w:val="en-GB"/>
              </w:rPr>
              <w:t xml:space="preserve">While for dynamic grant, there is no agreement till now. </w:t>
            </w:r>
            <w:r>
              <w:rPr>
                <w:rFonts w:eastAsia="等线"/>
                <w:highlight w:val="yellow"/>
                <w:lang w:val="en-GB"/>
              </w:rPr>
              <w:t>@ FL, can you clarify that this issue is only for DG?</w:t>
            </w:r>
            <w:r>
              <w:rPr>
                <w:rFonts w:eastAsia="等线"/>
                <w:lang w:val="en-GB"/>
              </w:rPr>
              <w:t xml:space="preserve"> </w:t>
            </w:r>
          </w:p>
          <w:p>
            <w:pPr>
              <w:rPr>
                <w:rFonts w:eastAsia="等线"/>
                <w:lang w:val="en-GB"/>
              </w:rPr>
            </w:pPr>
          </w:p>
          <w:p>
            <w:pPr>
              <w:rPr>
                <w:rFonts w:eastAsia="等线"/>
                <w:lang w:val="en-GB"/>
              </w:rPr>
            </w:pPr>
            <w:r>
              <w:rPr>
                <w:rFonts w:hint="eastAsia" w:eastAsia="等线"/>
                <w:lang w:val="en-GB"/>
              </w:rPr>
              <w:t>O</w:t>
            </w:r>
            <w:r>
              <w:rPr>
                <w:rFonts w:eastAsia="等线"/>
                <w:lang w:val="en-GB"/>
              </w:rPr>
              <w:t xml:space="preserve">n the other hand, one remaining issue regarding the WA is how the UE knows whether/when the maximal number of transmissions is reached. </w:t>
            </w:r>
          </w:p>
          <w:p>
            <w:pPr>
              <w:rPr>
                <w:rFonts w:eastAsia="等线"/>
                <w:lang w:val="en-GB"/>
              </w:rPr>
            </w:pPr>
          </w:p>
          <w:p>
            <w:pPr>
              <w:rPr>
                <w:rFonts w:eastAsia="等线"/>
                <w:lang w:val="en-GB"/>
              </w:rPr>
            </w:pPr>
            <w:r>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pPr>
              <w:rPr>
                <w:rFonts w:eastAsia="等线"/>
                <w:lang w:val="en-GB"/>
              </w:rPr>
            </w:pPr>
          </w:p>
          <w:p>
            <w:pPr>
              <w:rPr>
                <w:rFonts w:ascii="Times" w:hAnsi="Times" w:eastAsia="Calibri"/>
                <w:szCs w:val="20"/>
              </w:rPr>
            </w:pPr>
            <w:r>
              <w:rPr>
                <w:rFonts w:eastAsia="Calibri"/>
                <w:szCs w:val="20"/>
                <w:highlight w:val="green"/>
              </w:rPr>
              <w:t>Agreements</w:t>
            </w:r>
            <w:r>
              <w:rPr>
                <w:rFonts w:eastAsia="Calibri"/>
                <w:szCs w:val="20"/>
              </w:rPr>
              <w:t>:</w:t>
            </w:r>
          </w:p>
          <w:p>
            <w:pPr>
              <w:pStyle w:val="133"/>
              <w:numPr>
                <w:ilvl w:val="0"/>
                <w:numId w:val="40"/>
              </w:numPr>
              <w:spacing w:line="256" w:lineRule="auto"/>
              <w:rPr>
                <w:rFonts w:ascii="Arial" w:hAnsi="Arial" w:cs="Arial"/>
                <w:szCs w:val="20"/>
                <w:lang w:val="zh-CN"/>
              </w:rPr>
            </w:pPr>
            <w:r>
              <w:rPr>
                <w:rFonts w:ascii="Arial" w:hAnsi="Arial" w:cs="Arial"/>
                <w:szCs w:val="20"/>
                <w:lang w:val="en-GB"/>
              </w:rPr>
              <w:t>For dynamic grant, the number of retransmissions of a TB is up to the gNB.</w:t>
            </w:r>
          </w:p>
          <w:p>
            <w:pPr>
              <w:pStyle w:val="133"/>
              <w:numPr>
                <w:ilvl w:val="0"/>
                <w:numId w:val="40"/>
              </w:numPr>
              <w:spacing w:line="256" w:lineRule="auto"/>
              <w:rPr>
                <w:rFonts w:ascii="Arial" w:hAnsi="Arial" w:cs="Arial"/>
                <w:szCs w:val="20"/>
                <w:lang w:val="zh-CN"/>
              </w:rPr>
            </w:pPr>
            <w:r>
              <w:rPr>
                <w:rFonts w:ascii="Arial" w:hAnsi="Arial" w:cs="Arial"/>
                <w:szCs w:val="20"/>
                <w:lang w:val="en-GB"/>
              </w:rPr>
              <w:t>For configured grant, the maximum number of times that a TB can be retransmitted using the resources provided by the configured grant is configured per priority per configured grant.</w:t>
            </w:r>
          </w:p>
          <w:p>
            <w:pPr>
              <w:spacing w:line="256" w:lineRule="auto"/>
              <w:rPr>
                <w:rFonts w:ascii="Arial" w:hAnsi="Arial" w:eastAsia="Calibri" w:cs="Arial"/>
                <w:color w:val="FF0000"/>
                <w:szCs w:val="20"/>
                <w:lang w:val="en-GB"/>
              </w:rPr>
            </w:pPr>
            <w:r>
              <w:rPr>
                <w:rFonts w:ascii="Arial" w:hAnsi="Arial" w:eastAsia="Calibri" w:cs="Arial"/>
                <w:color w:val="FF0000"/>
                <w:szCs w:val="20"/>
                <w:lang w:val="en-GB"/>
              </w:rPr>
              <w:t>FL reply (19/8/2020):</w:t>
            </w:r>
          </w:p>
          <w:p>
            <w:pPr>
              <w:spacing w:line="256" w:lineRule="auto"/>
              <w:rPr>
                <w:rFonts w:ascii="Arial" w:hAnsi="Arial" w:eastAsia="Calibri" w:cs="Arial"/>
                <w:color w:val="FF0000"/>
                <w:szCs w:val="20"/>
                <w:lang w:val="en-GB"/>
              </w:rPr>
            </w:pPr>
            <w:r>
              <w:rPr>
                <w:rFonts w:ascii="Arial" w:hAnsi="Arial" w:eastAsia="Calibri" w:cs="Arial"/>
                <w:color w:val="FF0000"/>
                <w:szCs w:val="20"/>
                <w:lang w:val="en-GB"/>
              </w:rPr>
              <w:t>My understanding is that this can only apply to CG. For DG the maximum number is up to the gNB, as shown in the last agreement you copy.</w:t>
            </w:r>
          </w:p>
          <w:p>
            <w:pPr>
              <w:spacing w:line="256" w:lineRule="auto"/>
              <w:rPr>
                <w:rFonts w:ascii="Arial" w:hAnsi="Arial" w:eastAsia="Calibri" w:cs="Arial"/>
                <w:color w:val="FF0000"/>
                <w:szCs w:val="20"/>
                <w:lang w:val="en-GB"/>
              </w:rPr>
            </w:pPr>
            <w:r>
              <w:rPr>
                <w:rFonts w:ascii="Arial" w:hAnsi="Arial" w:eastAsia="Calibri"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pPr>
              <w:spacing w:line="256" w:lineRule="auto"/>
              <w:rPr>
                <w:rFonts w:ascii="Arial" w:hAnsi="Arial" w:eastAsia="Calibri" w:cs="Arial"/>
                <w:color w:val="FF0000"/>
                <w:szCs w:val="20"/>
                <w:lang w:val="en-GB"/>
              </w:rPr>
            </w:pPr>
          </w:p>
          <w:p>
            <w:pPr>
              <w:spacing w:line="256" w:lineRule="auto"/>
              <w:rPr>
                <w:rFonts w:ascii="Arial" w:hAnsi="Arial" w:eastAsia="等线" w:cs="Arial"/>
                <w:color w:val="4472C4" w:themeColor="accent1"/>
                <w:szCs w:val="20"/>
                <w:lang w:val="en-GB"/>
                <w14:textFill>
                  <w14:solidFill>
                    <w14:schemeClr w14:val="accent1"/>
                  </w14:solidFill>
                </w14:textFill>
              </w:rPr>
            </w:pPr>
            <w:r>
              <w:rPr>
                <w:rFonts w:hint="eastAsia" w:ascii="Arial" w:hAnsi="Arial" w:eastAsia="等线" w:cs="Arial"/>
                <w:color w:val="4472C4" w:themeColor="accent1"/>
                <w:szCs w:val="20"/>
                <w:lang w:val="en-GB"/>
                <w14:textFill>
                  <w14:solidFill>
                    <w14:schemeClr w14:val="accent1"/>
                  </w14:solidFill>
                </w14:textFill>
              </w:rPr>
              <w:t>[</w:t>
            </w:r>
            <w:r>
              <w:rPr>
                <w:rFonts w:ascii="Arial" w:hAnsi="Arial" w:eastAsia="等线" w:cs="Arial"/>
                <w:color w:val="4472C4" w:themeColor="accent1"/>
                <w:szCs w:val="20"/>
                <w:lang w:val="en-GB"/>
                <w14:textFill>
                  <w14:solidFill>
                    <w14:schemeClr w14:val="accent1"/>
                  </w14:solidFill>
                </w14:textFill>
              </w:rPr>
              <w:t>OPPO2] For the CG case, we have made agreement (Please find Spreadtrum’s comment in the table, I copied the wrong proposal 3, sorry for the confusing).</w:t>
            </w:r>
          </w:p>
          <w:p>
            <w:pPr>
              <w:spacing w:line="256" w:lineRule="auto"/>
              <w:rPr>
                <w:rFonts w:ascii="Arial" w:hAnsi="Arial" w:eastAsia="等线" w:cs="Arial"/>
                <w:color w:val="4472C4" w:themeColor="accent1"/>
                <w:szCs w:val="20"/>
                <w:lang w:val="en-GB"/>
                <w14:textFill>
                  <w14:solidFill>
                    <w14:schemeClr w14:val="accent1"/>
                  </w14:solidFill>
                </w14:textFill>
              </w:rPr>
            </w:pPr>
          </w:p>
          <w:p>
            <w:pPr>
              <w:spacing w:line="256" w:lineRule="auto"/>
              <w:rPr>
                <w:rFonts w:ascii="Arial" w:hAnsi="Arial" w:eastAsia="等线" w:cs="Arial"/>
                <w:color w:val="4472C4" w:themeColor="accent1"/>
                <w:szCs w:val="20"/>
                <w:lang w:val="en-GB"/>
                <w14:textFill>
                  <w14:solidFill>
                    <w14:schemeClr w14:val="accent1"/>
                  </w14:solidFill>
                </w14:textFill>
              </w:rPr>
            </w:pPr>
            <w:r>
              <w:rPr>
                <w:rFonts w:ascii="Arial" w:hAnsi="Arial" w:eastAsia="等线" w:cs="Arial"/>
                <w:color w:val="4472C4" w:themeColor="accent1"/>
                <w:szCs w:val="20"/>
                <w:lang w:val="en-GB"/>
                <w14:textFill>
                  <w14:solidFill>
                    <w14:schemeClr w14:val="accent1"/>
                  </w14:solidFill>
                </w14:textFill>
              </w:rPr>
              <w:t xml:space="preserve">For DG case, we still prefer option B. </w:t>
            </w:r>
          </w:p>
          <w:p>
            <w:pPr>
              <w:spacing w:line="256" w:lineRule="auto"/>
              <w:rPr>
                <w:rFonts w:ascii="Arial" w:hAnsi="Arial" w:eastAsia="等线" w:cs="Arial"/>
                <w:color w:val="4472C4" w:themeColor="accent1"/>
                <w:szCs w:val="20"/>
                <w:lang w:val="en-GB"/>
                <w14:textFill>
                  <w14:solidFill>
                    <w14:schemeClr w14:val="accent1"/>
                  </w14:solidFill>
                </w14:textFill>
              </w:rPr>
            </w:pPr>
            <w:r>
              <w:rPr>
                <w:rFonts w:ascii="Arial" w:hAnsi="Arial" w:eastAsia="等线" w:cs="Arial"/>
                <w:color w:val="4472C4" w:themeColor="accent1"/>
                <w:szCs w:val="20"/>
                <w:lang w:val="en-GB"/>
                <w14:textFill>
                  <w14:solidFill>
                    <w14:schemeClr w14:val="accent1"/>
                  </w14:solidFill>
                </w14:textFill>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pPr>
              <w:spacing w:line="256" w:lineRule="auto"/>
              <w:rPr>
                <w:rFonts w:ascii="Arial" w:hAnsi="Arial" w:eastAsia="等线" w:cs="Arial"/>
                <w:color w:val="4472C4" w:themeColor="accent1"/>
                <w:szCs w:val="20"/>
                <w:lang w:val="en-GB"/>
                <w14:textFill>
                  <w14:solidFill>
                    <w14:schemeClr w14:val="accent1"/>
                  </w14:solidFill>
                </w14:textFill>
              </w:rPr>
            </w:pPr>
            <w:r>
              <w:rPr>
                <w:rFonts w:ascii="Arial" w:hAnsi="Arial" w:eastAsia="等线" w:cs="Arial"/>
                <w:color w:val="4472C4" w:themeColor="accent1"/>
                <w:szCs w:val="20"/>
                <w:lang w:val="en-GB"/>
                <w14:textFill>
                  <w14:solidFill>
                    <w14:schemeClr w14:val="accent1"/>
                  </w14:solidFill>
                </w14:textFill>
              </w:rPr>
              <w:t xml:space="preserve">If UE reports ACK to gNB in case the maximal number of transmission is reached, gNB will not allocate more resources. Compared to option A, there is no misalignment between gNB and UE. </w:t>
            </w:r>
          </w:p>
          <w:p>
            <w:pPr>
              <w:spacing w:line="256" w:lineRule="auto"/>
              <w:rPr>
                <w:rFonts w:ascii="Arial" w:hAnsi="Arial" w:eastAsia="Calibri" w:cs="Arial"/>
                <w:color w:val="FF0000"/>
                <w:szCs w:val="20"/>
                <w:lang w:val="en-GB"/>
              </w:rPr>
            </w:pPr>
            <w:r>
              <w:rPr>
                <w:rFonts w:ascii="Arial" w:hAnsi="Arial" w:eastAsia="Calibri" w:cs="Arial"/>
                <w:color w:val="FF0000"/>
                <w:szCs w:val="20"/>
                <w:lang w:val="en-GB"/>
              </w:rPr>
              <w:t>FL reply (20/8/2020):</w:t>
            </w:r>
          </w:p>
          <w:p>
            <w:pPr>
              <w:spacing w:line="256" w:lineRule="auto"/>
              <w:rPr>
                <w:rFonts w:ascii="Arial" w:hAnsi="Arial" w:eastAsia="等线" w:cs="Arial"/>
                <w:szCs w:val="20"/>
                <w:lang w:val="en-GB"/>
              </w:rPr>
            </w:pPr>
            <w:r>
              <w:rPr>
                <w:rFonts w:ascii="Arial" w:hAnsi="Arial" w:eastAsia="等线" w:cs="Arial"/>
                <w:color w:val="FF0000"/>
                <w:szCs w:val="20"/>
                <w:lang w:val="en-GB"/>
              </w:rPr>
              <w:t>For DG, my understanding is that the above confirmed WA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lang w:val="en-GB"/>
              </w:rPr>
            </w:pPr>
            <w:r>
              <w:rPr>
                <w:rFonts w:hint="eastAsia" w:eastAsiaTheme="minorEastAsia"/>
                <w:lang w:val="en-GB"/>
              </w:rPr>
              <w:t>L</w:t>
            </w:r>
            <w:r>
              <w:rPr>
                <w:rFonts w:eastAsiaTheme="minorEastAsia"/>
                <w:lang w:val="en-GB"/>
              </w:rPr>
              <w:t>G Electronics</w:t>
            </w:r>
          </w:p>
        </w:tc>
        <w:tc>
          <w:tcPr>
            <w:tcW w:w="8293" w:type="dxa"/>
          </w:tcPr>
          <w:p>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Pr>
                <w:rFonts w:hint="eastAsia" w:eastAsiaTheme="minorEastAsia"/>
                <w:b/>
                <w:lang w:val="en-GB"/>
              </w:rPr>
              <w:t>O</w:t>
            </w:r>
            <w:r>
              <w:rPr>
                <w:rFonts w:eastAsiaTheme="minorEastAsia"/>
                <w:b/>
                <w:lang w:val="en-GB"/>
              </w:rPr>
              <w:t>ption B</w:t>
            </w:r>
            <w:r>
              <w:rPr>
                <w:rFonts w:eastAsiaTheme="minorEastAsia"/>
                <w:lang w:val="en-GB"/>
              </w:rPr>
              <w:t xml:space="preserve">. Furthermore, </w:t>
            </w:r>
            <w:r>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pPr>
              <w:rPr>
                <w:rFonts w:ascii="Calibri" w:hAnsi="Calibri" w:eastAsia="Calibri" w:cs="Calibri"/>
                <w:color w:val="4472C4" w:themeColor="accent1"/>
                <w:lang w:val="en-GB"/>
                <w14:textFill>
                  <w14:solidFill>
                    <w14:schemeClr w14:val="accent1"/>
                  </w14:solidFill>
                </w14:textFill>
              </w:rPr>
            </w:pPr>
            <w:r>
              <w:rPr>
                <w:rFonts w:ascii="Calibri" w:hAnsi="Calibri" w:eastAsia="Calibri" w:cs="Calibri"/>
                <w:color w:val="4472C4" w:themeColor="accent1"/>
                <w:lang w:val="en-GB"/>
                <w14:textFill>
                  <w14:solidFill>
                    <w14:schemeClr w14:val="accent1"/>
                  </w14:solidFill>
                </w14:textFill>
              </w:rPr>
              <w:t xml:space="preserve">[LG2] When adopting FL’s proposal, it should be clarified why the parameter of configuring the maximum number of HARQ re-TXs for a TB in CG is necessary? </w:t>
            </w:r>
          </w:p>
          <w:p>
            <w:pPr>
              <w:rPr>
                <w:rFonts w:eastAsia="Calibri"/>
                <w:color w:val="FF0000"/>
                <w:lang w:val="en-GB"/>
              </w:rPr>
            </w:pPr>
            <w:r>
              <w:rPr>
                <w:rFonts w:eastAsia="Calibri"/>
                <w:color w:val="FF0000"/>
                <w:lang w:val="en-GB"/>
              </w:rPr>
              <w:t>FL reply (20/8/20):</w:t>
            </w:r>
          </w:p>
          <w:p>
            <w:pPr>
              <w:rPr>
                <w:rFonts w:ascii="Calibri" w:hAnsi="Calibri" w:eastAsia="Calibri" w:cs="Calibri"/>
                <w:lang w:val="en-GB"/>
              </w:rPr>
            </w:pPr>
            <w:r>
              <w:rPr>
                <w:rFonts w:eastAsia="Calibri"/>
                <w:color w:val="FF0000"/>
                <w:lang w:val="en-GB"/>
              </w:rPr>
              <w:t>See my reply to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lang w:val="en-GB"/>
              </w:rPr>
            </w:pPr>
            <w:r>
              <w:rPr>
                <w:rFonts w:eastAsia="Calibri"/>
                <w:lang w:val="en-GB"/>
              </w:rPr>
              <w:t>ZTE, Sanechips</w:t>
            </w:r>
          </w:p>
        </w:tc>
        <w:tc>
          <w:tcPr>
            <w:tcW w:w="8293" w:type="dxa"/>
          </w:tcPr>
          <w:p>
            <w:pPr>
              <w:rPr>
                <w:rFonts w:eastAsia="Calibri"/>
                <w:lang w:val="en-GB"/>
              </w:rPr>
            </w:pPr>
            <w:r>
              <w:rPr>
                <w:rFonts w:eastAsia="Calibri"/>
                <w:lang w:val="en-GB"/>
              </w:rPr>
              <w:t xml:space="preserve">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lang w:val="en-GB"/>
              </w:rPr>
            </w:pPr>
            <w:r>
              <w:rPr>
                <w:rFonts w:hint="eastAsia" w:eastAsia="等线"/>
                <w:lang w:val="en-GB"/>
              </w:rPr>
              <w:t>Sh</w:t>
            </w:r>
            <w:r>
              <w:rPr>
                <w:rFonts w:eastAsia="等线"/>
                <w:lang w:val="en-GB"/>
              </w:rPr>
              <w:t>arp</w:t>
            </w:r>
          </w:p>
        </w:tc>
        <w:tc>
          <w:tcPr>
            <w:tcW w:w="8293" w:type="dxa"/>
          </w:tcPr>
          <w:p>
            <w:pPr>
              <w:rPr>
                <w:rFonts w:eastAsia="Calibri"/>
                <w:lang w:val="en-GB"/>
              </w:rPr>
            </w:pPr>
            <w:r>
              <w:rPr>
                <w:rFonts w:hint="eastAsia" w:eastAsia="等线"/>
                <w:lang w:val="en-GB"/>
              </w:rPr>
              <w:t>Opti</w:t>
            </w:r>
            <w:r>
              <w:rPr>
                <w:rFonts w:eastAsia="等线"/>
                <w:lang w:val="en-GB"/>
              </w:rPr>
              <w:t>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lang w:val="en-GB"/>
              </w:rPr>
            </w:pPr>
            <w:r>
              <w:rPr>
                <w:rFonts w:eastAsia="Calibri"/>
                <w:lang w:val="en-GB"/>
              </w:rPr>
              <w:t>Qualcomm</w:t>
            </w:r>
          </w:p>
        </w:tc>
        <w:tc>
          <w:tcPr>
            <w:tcW w:w="8293" w:type="dxa"/>
          </w:tcPr>
          <w:p>
            <w:pPr>
              <w:rPr>
                <w:rFonts w:eastAsia="Calibri"/>
                <w:lang w:val="en-GB"/>
              </w:rPr>
            </w:pPr>
            <w:r>
              <w:rPr>
                <w:rFonts w:eastAsia="Calibri"/>
                <w:lang w:val="en-GB"/>
              </w:rPr>
              <w:t>We prefer Option B</w:t>
            </w:r>
          </w:p>
          <w:p>
            <w:pPr>
              <w:rPr>
                <w:rFonts w:eastAsia="Calibri"/>
                <w:lang w:val="en-GB"/>
              </w:rPr>
            </w:pPr>
            <w:r>
              <w:rPr>
                <w:rFonts w:eastAsia="Calibri"/>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pPr>
              <w:rPr>
                <w:rFonts w:eastAsia="Calibri"/>
                <w:lang w:val="en-GB"/>
              </w:rPr>
            </w:pPr>
          </w:p>
          <w:p>
            <w:pPr>
              <w:rPr>
                <w:rFonts w:eastAsia="Calibri"/>
                <w:color w:val="4472C4" w:themeColor="accent1"/>
                <w:lang w:val="en-GB"/>
                <w14:textFill>
                  <w14:solidFill>
                    <w14:schemeClr w14:val="accent1"/>
                  </w14:solidFill>
                </w14:textFill>
              </w:rPr>
            </w:pPr>
            <w:r>
              <w:rPr>
                <w:rFonts w:eastAsia="Calibri"/>
                <w:color w:val="4472C4" w:themeColor="accent1"/>
                <w:lang w:val="en-GB"/>
                <w14:textFill>
                  <w14:solidFill>
                    <w14:schemeClr w14:val="accent1"/>
                  </w14:solidFill>
                </w14:textFill>
              </w:rPr>
              <w:t>[QC2]: It isn’t clear how the proposal would still utilize the parameter for the maximum number of configured grant retransmissions (sl-CG-MaxTransNum).</w:t>
            </w:r>
          </w:p>
          <w:p>
            <w:pPr>
              <w:rPr>
                <w:rFonts w:eastAsia="Calibri"/>
                <w:color w:val="FF0000"/>
                <w:lang w:val="en-GB"/>
              </w:rPr>
            </w:pPr>
            <w:r>
              <w:rPr>
                <w:rFonts w:eastAsia="Calibri"/>
                <w:color w:val="FF0000"/>
                <w:lang w:val="en-GB"/>
              </w:rPr>
              <w:t>FL reply:</w:t>
            </w:r>
          </w:p>
          <w:p>
            <w:pPr>
              <w:rPr>
                <w:rFonts w:eastAsia="Calibri"/>
                <w:color w:val="FF0000"/>
                <w:lang w:val="en-GB"/>
              </w:rPr>
            </w:pPr>
            <w:r>
              <w:rPr>
                <w:rFonts w:eastAsia="Calibri"/>
                <w:color w:val="FF0000"/>
                <w:lang w:val="en-GB"/>
              </w:rPr>
              <w:t>If the number is reached, do not transmit further on resources granted provided by te configured grant. It is unrelated to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lang w:val="en-GB"/>
              </w:rPr>
            </w:pPr>
            <w:r>
              <w:rPr>
                <w:rFonts w:hint="eastAsia" w:eastAsia="等线"/>
                <w:lang w:val="en-GB"/>
              </w:rPr>
              <w:t>C</w:t>
            </w:r>
            <w:r>
              <w:rPr>
                <w:rFonts w:eastAsia="等线"/>
                <w:lang w:val="en-GB"/>
              </w:rPr>
              <w:t>MCC</w:t>
            </w:r>
          </w:p>
        </w:tc>
        <w:tc>
          <w:tcPr>
            <w:tcW w:w="8293" w:type="dxa"/>
          </w:tcPr>
          <w:p>
            <w:pPr>
              <w:rPr>
                <w:rFonts w:eastAsia="等线"/>
                <w:lang w:val="en-GB"/>
              </w:rPr>
            </w:pPr>
            <w:r>
              <w:rPr>
                <w:rFonts w:hint="eastAsia" w:eastAsia="等线"/>
                <w:lang w:val="en-GB"/>
              </w:rPr>
              <w:t>W</w:t>
            </w:r>
            <w:r>
              <w:rPr>
                <w:rFonts w:eastAsia="等线"/>
                <w:lang w:val="en-GB"/>
              </w:rPr>
              <w:t>e share similar view with OPPO that this issue is only for DG and UE cannot be aware of whether the number of re-transmission is reached. So the same behaviour regardless of whether the maximum number of retransmissions has been reached or not is preferred. And from our perspective, UE does not need to know when/whether the number of re-transmission is reached, so no specification is needed.</w:t>
            </w:r>
          </w:p>
          <w:p>
            <w:pPr>
              <w:rPr>
                <w:rFonts w:eastAsia="等线"/>
                <w:color w:val="FF0000"/>
                <w:lang w:val="en-GB"/>
              </w:rPr>
            </w:pPr>
            <w:r>
              <w:rPr>
                <w:rFonts w:eastAsia="等线"/>
                <w:color w:val="FF0000"/>
                <w:lang w:val="en-GB"/>
              </w:rPr>
              <w:t>FL reply (19/8/2020):</w:t>
            </w:r>
          </w:p>
          <w:p>
            <w:pPr>
              <w:rPr>
                <w:rFonts w:eastAsia="Calibri"/>
                <w:lang w:val="en-GB"/>
              </w:rPr>
            </w:pPr>
            <w:r>
              <w:rPr>
                <w:rFonts w:eastAsia="等线"/>
                <w:color w:val="FF0000"/>
                <w:lang w:val="en-GB"/>
              </w:rPr>
              <w:t>My understanding is that option A entails no further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lang w:val="en-GB"/>
              </w:rPr>
            </w:pPr>
            <w:r>
              <w:rPr>
                <w:rFonts w:hint="eastAsia" w:eastAsia="Calibri"/>
                <w:lang w:val="en-GB"/>
              </w:rPr>
              <w:t>Fujitsu</w:t>
            </w:r>
          </w:p>
        </w:tc>
        <w:tc>
          <w:tcPr>
            <w:tcW w:w="8293" w:type="dxa"/>
          </w:tcPr>
          <w:p>
            <w:pPr>
              <w:rPr>
                <w:rFonts w:eastAsia="Calibri"/>
                <w:lang w:val="en-GB"/>
              </w:rPr>
            </w:pPr>
            <w:r>
              <w:rPr>
                <w:rFonts w:hint="eastAsia" w:eastAsia="Calibri"/>
                <w:lang w:val="en-GB"/>
              </w:rPr>
              <w:t>Option</w:t>
            </w:r>
            <w:r>
              <w:rPr>
                <w:rFonts w:eastAsia="Calibri"/>
                <w:lang w:val="en-GB"/>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lang w:val="en-GB"/>
              </w:rPr>
            </w:pPr>
            <w:r>
              <w:rPr>
                <w:rFonts w:hint="eastAsia" w:eastAsia="等线"/>
                <w:lang w:val="en-GB"/>
              </w:rPr>
              <w:t>CATT</w:t>
            </w:r>
          </w:p>
        </w:tc>
        <w:tc>
          <w:tcPr>
            <w:tcW w:w="8293" w:type="dxa"/>
          </w:tcPr>
          <w:p>
            <w:pPr>
              <w:rPr>
                <w:rFonts w:eastAsia="等线"/>
                <w:lang w:val="en-GB"/>
              </w:rPr>
            </w:pPr>
            <w:r>
              <w:rPr>
                <w:rFonts w:eastAsia="等线"/>
                <w:lang w:val="en-GB"/>
              </w:rPr>
              <w:t>F</w:t>
            </w:r>
            <w:r>
              <w:rPr>
                <w:rFonts w:hint="eastAsia" w:eastAsia="等线"/>
                <w:lang w:val="en-GB"/>
              </w:rPr>
              <w:t xml:space="preserve">irst of all, how to define the maximum number of the HARQ re-tx for a TB. </w:t>
            </w:r>
            <w:r>
              <w:rPr>
                <w:rFonts w:eastAsia="等线"/>
                <w:lang w:val="en-GB"/>
              </w:rPr>
              <w:t>T</w:t>
            </w:r>
            <w:r>
              <w:rPr>
                <w:rFonts w:hint="eastAsia" w:eastAsia="等线"/>
                <w:lang w:val="en-GB"/>
              </w:rPr>
              <w:t xml:space="preserve">he maximum number is a number X that should be configured to UE, and </w:t>
            </w:r>
            <m:oMath>
              <m:r>
                <m:rPr>
                  <m:sty m:val="p"/>
                </m:rPr>
                <w:rPr>
                  <w:rFonts w:ascii="Cambria Math" w:hAnsi="Cambria Math" w:eastAsia="等线"/>
                  <w:lang w:val="en-GB"/>
                </w:rPr>
                <m:t>0≤X≤32</m:t>
              </m:r>
            </m:oMath>
            <w:r>
              <w:rPr>
                <w:rFonts w:hint="eastAsia" w:eastAsia="等线"/>
                <w:lang w:val="en-GB"/>
              </w:rPr>
              <w:t xml:space="preserve">. </w:t>
            </w:r>
            <w:r>
              <w:rPr>
                <w:rFonts w:eastAsia="等线"/>
                <w:lang w:val="en-GB"/>
              </w:rPr>
              <w:t>I</w:t>
            </w:r>
            <w:r>
              <w:rPr>
                <w:rFonts w:hint="eastAsia" w:eastAsia="等线"/>
                <w:lang w:val="en-GB"/>
              </w:rPr>
              <w:t>f the maximum number of transmission for a TB is 10, it means this TB can be transmitted and retransmitted no more than 10.</w:t>
            </w:r>
          </w:p>
          <w:p>
            <w:pPr>
              <w:pStyle w:val="133"/>
              <w:numPr>
                <w:ilvl w:val="0"/>
                <w:numId w:val="41"/>
              </w:numPr>
              <w:rPr>
                <w:rFonts w:eastAsia="等线"/>
                <w:lang w:val="en-GB"/>
              </w:rPr>
            </w:pPr>
            <w:r>
              <w:rPr>
                <w:rFonts w:eastAsia="等线"/>
                <w:lang w:val="en-GB"/>
              </w:rPr>
              <w:t>F</w:t>
            </w:r>
            <w:r>
              <w:rPr>
                <w:rFonts w:hint="eastAsia" w:eastAsia="等线"/>
                <w:lang w:val="en-GB"/>
              </w:rPr>
              <w:t xml:space="preserve">or </w:t>
            </w:r>
            <w:r>
              <w:rPr>
                <w:rFonts w:hint="eastAsia" w:eastAsia="等线"/>
                <w:b/>
                <w:lang w:val="en-GB"/>
              </w:rPr>
              <w:t>CG type-1 and Type-2</w:t>
            </w:r>
            <w:r>
              <w:rPr>
                <w:rFonts w:hint="eastAsia" w:eastAsia="等线"/>
                <w:lang w:val="en-GB"/>
              </w:rPr>
              <w:t>, the maximum number is configured exactly to the UE.</w:t>
            </w:r>
          </w:p>
          <w:p>
            <w:pPr>
              <w:pStyle w:val="133"/>
              <w:numPr>
                <w:ilvl w:val="1"/>
                <w:numId w:val="41"/>
              </w:numPr>
              <w:rPr>
                <w:rFonts w:eastAsia="等线"/>
                <w:lang w:val="en-GB"/>
              </w:rPr>
            </w:pPr>
            <w:r>
              <w:rPr>
                <w:rFonts w:hint="eastAsia" w:eastAsia="等线"/>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hint="eastAsia" w:eastAsia="等线"/>
                <w:lang w:val="en-GB"/>
              </w:rPr>
              <w:t xml:space="preserve">or DG schedule re-transmission, each time DCI can dynamically scheduled N_max=1/2/3, and at the end of each set of scheduled resources, there will be a PUCCH resource for ACK/NACK reporting. </w:t>
            </w:r>
          </w:p>
          <w:p>
            <w:pPr>
              <w:pStyle w:val="133"/>
              <w:numPr>
                <w:ilvl w:val="1"/>
                <w:numId w:val="41"/>
              </w:numPr>
              <w:rPr>
                <w:rFonts w:eastAsia="等线"/>
                <w:lang w:val="en-GB"/>
              </w:rPr>
            </w:pPr>
            <w:r>
              <w:rPr>
                <w:rFonts w:hint="eastAsia" w:eastAsia="等线"/>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pPr>
              <w:pStyle w:val="133"/>
              <w:ind w:left="420"/>
              <w:rPr>
                <w:rFonts w:eastAsia="等线"/>
                <w:lang w:val="en-GB"/>
              </w:rPr>
            </w:pPr>
            <w:r>
              <w:rPr>
                <w:rFonts w:eastAsia="等线"/>
                <w:lang w:val="en-GB"/>
              </w:rPr>
              <w:t>T</w:t>
            </w:r>
            <w:r>
              <w:rPr>
                <w:rFonts w:hint="eastAsia" w:eastAsia="等线"/>
                <w:lang w:val="en-GB"/>
              </w:rPr>
              <w:t xml:space="preserve">herefore, </w:t>
            </w:r>
            <w:r>
              <w:rPr>
                <w:rFonts w:hint="eastAsia" w:eastAsia="等线"/>
                <w:b/>
                <w:lang w:val="en-GB"/>
              </w:rPr>
              <w:t>for CG Type-1, both gNB and UE knows the maximum number that a TB can be transmitted</w:t>
            </w:r>
            <w:r>
              <w:rPr>
                <w:rFonts w:hint="eastAsia" w:eastAsia="等线"/>
                <w:lang w:val="en-GB"/>
              </w:rPr>
              <w:t>. gNB should not schedule extra resources for transmission that is exceeds the maximum number (e.g. gNB will not schedule 11-th transmission resources for the TB).</w:t>
            </w:r>
          </w:p>
          <w:p>
            <w:pPr>
              <w:pStyle w:val="133"/>
              <w:ind w:left="420"/>
              <w:rPr>
                <w:rFonts w:eastAsia="等线"/>
                <w:b/>
                <w:lang w:val="en-GB"/>
              </w:rPr>
            </w:pPr>
            <w:r>
              <w:rPr>
                <w:rFonts w:hint="eastAsia" w:eastAsia="等线"/>
                <w:b/>
                <w:lang w:val="en-GB"/>
              </w:rPr>
              <w:t>Q1: How many TX resources are configured for each TB? 10 or only 3?</w:t>
            </w:r>
          </w:p>
          <w:p>
            <w:pPr>
              <w:pStyle w:val="133"/>
              <w:ind w:left="420"/>
              <w:rPr>
                <w:rFonts w:eastAsia="等线"/>
                <w:b/>
                <w:lang w:val="en-GB"/>
              </w:rPr>
            </w:pPr>
            <w:r>
              <w:rPr>
                <w:rFonts w:hint="eastAsia" w:eastAsia="等线"/>
                <w:b/>
                <w:lang w:val="en-GB"/>
              </w:rPr>
              <w:t>Q2: Can the DG scheduled re-transmissions use CG resources?</w:t>
            </w:r>
          </w:p>
          <w:p>
            <w:pPr>
              <w:pStyle w:val="133"/>
              <w:ind w:left="420"/>
              <w:rPr>
                <w:rFonts w:eastAsia="等线"/>
                <w:b/>
                <w:lang w:val="en-GB"/>
              </w:rPr>
            </w:pPr>
            <w:r>
              <w:rPr>
                <w:rFonts w:hint="eastAsia" w:eastAsia="等线"/>
                <w:b/>
                <w:lang w:val="en-GB"/>
              </w:rPr>
              <w:t>Q3: Can a TB use resources located in more than one CG period?</w:t>
            </w:r>
          </w:p>
          <w:p>
            <w:pPr>
              <w:rPr>
                <w:rFonts w:eastAsia="等线"/>
                <w:lang w:val="en-GB"/>
              </w:rPr>
            </w:pPr>
          </w:p>
          <w:p>
            <w:pPr>
              <w:pStyle w:val="133"/>
              <w:numPr>
                <w:ilvl w:val="0"/>
                <w:numId w:val="41"/>
              </w:numPr>
              <w:rPr>
                <w:rFonts w:eastAsia="等线"/>
                <w:lang w:val="en-GB"/>
              </w:rPr>
            </w:pPr>
            <w:r>
              <w:rPr>
                <w:rFonts w:eastAsia="等线"/>
                <w:lang w:val="en-GB"/>
              </w:rPr>
              <w:t>F</w:t>
            </w:r>
            <w:r>
              <w:rPr>
                <w:rFonts w:hint="eastAsia" w:eastAsia="等线"/>
                <w:lang w:val="en-GB"/>
              </w:rPr>
              <w:t xml:space="preserve">or </w:t>
            </w:r>
            <w:r>
              <w:rPr>
                <w:rFonts w:hint="eastAsia" w:eastAsia="等线"/>
                <w:b/>
                <w:lang w:val="en-GB"/>
              </w:rPr>
              <w:t>DG</w:t>
            </w:r>
            <w:r>
              <w:rPr>
                <w:rFonts w:hint="eastAsia" w:eastAsia="等线"/>
                <w:lang w:val="en-GB"/>
              </w:rPr>
              <w:t xml:space="preserve">,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 </w:t>
            </w:r>
            <w:r>
              <w:rPr>
                <w:rFonts w:hint="eastAsia" w:eastAsia="等线"/>
                <w:b/>
                <w:lang w:val="en-GB"/>
              </w:rPr>
              <w:t xml:space="preserve">gNB knows the maximum number that a TB can be transmitted but UE does not </w:t>
            </w:r>
            <w:r>
              <w:rPr>
                <w:rFonts w:eastAsia="等线"/>
                <w:b/>
                <w:lang w:val="en-GB"/>
              </w:rPr>
              <w:t>know</w:t>
            </w:r>
            <w:r>
              <w:rPr>
                <w:rFonts w:hint="eastAsia" w:eastAsia="等线"/>
                <w:lang w:val="en-GB"/>
              </w:rPr>
              <w:t xml:space="preserve">. UE only perform the (re-)transmissions by using the resources </w:t>
            </w:r>
            <w:r>
              <w:rPr>
                <w:rFonts w:eastAsia="等线"/>
                <w:lang w:val="en-GB"/>
              </w:rPr>
              <w:t>scheduled</w:t>
            </w:r>
            <w:r>
              <w:rPr>
                <w:rFonts w:hint="eastAsia" w:eastAsia="等线"/>
                <w:lang w:val="en-GB"/>
              </w:rPr>
              <w:t xml:space="preserve"> by gNB and indicated. </w:t>
            </w:r>
          </w:p>
          <w:p>
            <w:pPr>
              <w:rPr>
                <w:rFonts w:eastAsia="等线"/>
                <w:lang w:val="en-GB"/>
              </w:rPr>
            </w:pPr>
          </w:p>
          <w:p>
            <w:pPr>
              <w:rPr>
                <w:rFonts w:eastAsia="等线"/>
                <w:b/>
                <w:lang w:val="en-GB"/>
              </w:rPr>
            </w:pPr>
            <w:r>
              <w:rPr>
                <w:rFonts w:eastAsia="等线"/>
                <w:b/>
                <w:lang w:val="en-GB"/>
              </w:rPr>
              <w:t>W</w:t>
            </w:r>
            <w:r>
              <w:rPr>
                <w:rFonts w:hint="eastAsia" w:eastAsia="等线"/>
                <w:b/>
                <w:lang w:val="en-GB"/>
              </w:rPr>
              <w:t>ith the analysis above, there is no necessary for a UE to act the HARQ-ACK report in case of reaching the maximum Tx number of a TB.</w:t>
            </w:r>
          </w:p>
          <w:p>
            <w:pPr>
              <w:rPr>
                <w:rFonts w:eastAsia="等线"/>
                <w:lang w:val="en-GB"/>
              </w:rPr>
            </w:pPr>
          </w:p>
          <w:p>
            <w:pPr>
              <w:rPr>
                <w:rFonts w:eastAsia="等线"/>
                <w:color w:val="0070C0"/>
                <w:lang w:val="en-GB"/>
              </w:rPr>
            </w:pPr>
            <w:r>
              <w:rPr>
                <w:rFonts w:hint="eastAsia" w:eastAsia="等线"/>
                <w:color w:val="0070C0"/>
                <w:lang w:val="en-GB"/>
              </w:rPr>
              <w:t>[CATT2]</w:t>
            </w:r>
          </w:p>
          <w:p>
            <w:pPr>
              <w:rPr>
                <w:rFonts w:eastAsia="等线"/>
                <w:color w:val="0070C0"/>
                <w:lang w:val="en-GB"/>
              </w:rPr>
            </w:pPr>
            <w:r>
              <w:rPr>
                <w:rFonts w:eastAsia="等线"/>
                <w:color w:val="0070C0"/>
                <w:lang w:val="en-GB"/>
              </w:rPr>
              <w:t>B</w:t>
            </w:r>
            <w:r>
              <w:rPr>
                <w:rFonts w:hint="eastAsia" w:eastAsia="等线"/>
                <w:color w:val="0070C0"/>
                <w:lang w:val="en-GB"/>
              </w:rPr>
              <w:t xml:space="preserve">efore down selecting from the two options, the unclear part in </w:t>
            </w:r>
            <w:r>
              <w:rPr>
                <w:rFonts w:eastAsia="等线"/>
                <w:color w:val="0070C0"/>
                <w:lang w:val="en-GB"/>
              </w:rPr>
              <w:t>this</w:t>
            </w:r>
            <w:r>
              <w:rPr>
                <w:rFonts w:hint="eastAsia" w:eastAsia="等线"/>
                <w:color w:val="0070C0"/>
                <w:lang w:val="en-GB"/>
              </w:rPr>
              <w:t xml:space="preserve"> mechanism should be clarified. </w:t>
            </w:r>
            <w:r>
              <w:rPr>
                <w:rFonts w:eastAsia="等线"/>
                <w:color w:val="0070C0"/>
                <w:lang w:val="en-GB"/>
              </w:rPr>
              <w:t>I</w:t>
            </w:r>
            <w:r>
              <w:rPr>
                <w:rFonts w:hint="eastAsia" w:eastAsia="等线"/>
                <w:color w:val="0070C0"/>
                <w:lang w:val="en-GB"/>
              </w:rPr>
              <w:t xml:space="preserve"> think other companies also mentioned about it.</w:t>
            </w:r>
          </w:p>
          <w:p>
            <w:pPr>
              <w:pStyle w:val="133"/>
              <w:numPr>
                <w:ilvl w:val="0"/>
                <w:numId w:val="42"/>
              </w:numPr>
              <w:rPr>
                <w:rFonts w:eastAsia="等线"/>
                <w:color w:val="0070C0"/>
                <w:lang w:val="en-GB"/>
              </w:rPr>
            </w:pPr>
            <w:r>
              <w:rPr>
                <w:rFonts w:eastAsia="等线"/>
                <w:color w:val="0070C0"/>
                <w:lang w:val="en-GB"/>
              </w:rPr>
              <w:t>T</w:t>
            </w:r>
            <w:r>
              <w:rPr>
                <w:rFonts w:hint="eastAsia" w:eastAsia="等线"/>
                <w:color w:val="0070C0"/>
                <w:lang w:val="en-GB"/>
              </w:rPr>
              <w:t>his reporting mechanism in the proposal is intented for CG, but not DG.</w:t>
            </w:r>
          </w:p>
          <w:p>
            <w:pPr>
              <w:pStyle w:val="133"/>
              <w:numPr>
                <w:ilvl w:val="0"/>
                <w:numId w:val="42"/>
              </w:numPr>
              <w:rPr>
                <w:rFonts w:eastAsia="等线"/>
                <w:color w:val="0070C0"/>
                <w:lang w:val="en-GB"/>
              </w:rPr>
            </w:pPr>
            <w:r>
              <w:rPr>
                <w:rFonts w:eastAsia="等线"/>
                <w:color w:val="0070C0"/>
                <w:lang w:val="en-GB"/>
              </w:rPr>
              <w:t>E</w:t>
            </w:r>
            <w:r>
              <w:rPr>
                <w:rFonts w:hint="eastAsia" w:eastAsia="等线"/>
                <w:color w:val="0070C0"/>
                <w:lang w:val="en-GB"/>
              </w:rPr>
              <w:t xml:space="preserve">ven for CG, the re-transmissions are scheduled by DG. </w:t>
            </w:r>
            <w:r>
              <w:rPr>
                <w:rFonts w:eastAsia="等线"/>
                <w:color w:val="0070C0"/>
                <w:lang w:val="en-GB"/>
              </w:rPr>
              <w:t>B</w:t>
            </w:r>
            <w:r>
              <w:rPr>
                <w:rFonts w:hint="eastAsia" w:eastAsia="等线"/>
                <w:color w:val="0070C0"/>
                <w:lang w:val="en-GB"/>
              </w:rPr>
              <w:t>oth gNB and UE knows the maximum re-tx number of a TB, there is no reason that gNB allocate re-tx resources exceeds the maximum allowance configured by itself.</w:t>
            </w:r>
          </w:p>
          <w:p>
            <w:pPr>
              <w:rPr>
                <w:rFonts w:eastAsia="等线"/>
                <w:color w:val="FF0000"/>
                <w:lang w:val="en-GB"/>
              </w:rPr>
            </w:pPr>
            <w:r>
              <w:rPr>
                <w:rFonts w:eastAsia="等线"/>
                <w:color w:val="FF0000"/>
                <w:lang w:val="en-GB"/>
              </w:rPr>
              <w:t>FL reply (20/8/20):</w:t>
            </w:r>
          </w:p>
          <w:p>
            <w:pPr>
              <w:rPr>
                <w:rFonts w:eastAsia="等线"/>
                <w:color w:val="FF0000"/>
                <w:lang w:val="en-GB"/>
              </w:rPr>
            </w:pPr>
            <w:r>
              <w:rPr>
                <w:rFonts w:eastAsia="等线"/>
                <w:color w:val="FF0000"/>
                <w:lang w:val="en-GB"/>
              </w:rPr>
              <w:t>For DG, there is no maximum number. So the agreement cannot apply.</w:t>
            </w:r>
          </w:p>
          <w:p>
            <w:pPr>
              <w:rPr>
                <w:rFonts w:eastAsia="等线"/>
                <w:color w:val="FF0000"/>
                <w:lang w:val="en-GB"/>
              </w:rPr>
            </w:pPr>
            <w:r>
              <w:rPr>
                <w:rFonts w:eastAsia="等线"/>
                <w:color w:val="FF0000"/>
                <w:lang w:val="en-GB"/>
              </w:rPr>
              <w:t>For CG, the agreement we states the following:</w:t>
            </w:r>
          </w:p>
          <w:p>
            <w:pPr>
              <w:rPr>
                <w:rFonts w:ascii="Times" w:hAnsi="Times" w:eastAsia="Calibri"/>
              </w:rPr>
            </w:pPr>
            <w:r>
              <w:rPr>
                <w:rFonts w:eastAsia="Calibri"/>
                <w:highlight w:val="green"/>
              </w:rPr>
              <w:t>Agreements</w:t>
            </w:r>
            <w:r>
              <w:rPr>
                <w:rFonts w:eastAsia="Calibri"/>
              </w:rPr>
              <w:t>:</w:t>
            </w:r>
          </w:p>
          <w:p>
            <w:pPr>
              <w:pStyle w:val="133"/>
              <w:numPr>
                <w:ilvl w:val="0"/>
                <w:numId w:val="40"/>
              </w:numPr>
              <w:spacing w:line="256" w:lineRule="auto"/>
              <w:rPr>
                <w:rFonts w:cs="Arial"/>
                <w:lang w:val="zh-CN"/>
              </w:rPr>
            </w:pPr>
            <w:r>
              <w:rPr>
                <w:rFonts w:cs="Arial"/>
              </w:rPr>
              <w:t>For dynamic grant, the number of retransmissions of a TB is up to the gNB.</w:t>
            </w:r>
          </w:p>
          <w:p>
            <w:pPr>
              <w:pStyle w:val="133"/>
              <w:numPr>
                <w:ilvl w:val="0"/>
                <w:numId w:val="40"/>
              </w:numPr>
              <w:spacing w:line="256" w:lineRule="auto"/>
              <w:rPr>
                <w:rFonts w:cs="Arial"/>
                <w:lang w:val="zh-CN"/>
              </w:rPr>
            </w:pPr>
            <w:r>
              <w:rPr>
                <w:rFonts w:cs="Arial"/>
              </w:rPr>
              <w:t xml:space="preserve">For configured grant, the maximum number of times that a TB can be retransmitted </w:t>
            </w:r>
            <w:r>
              <w:rPr>
                <w:rFonts w:cs="Arial"/>
                <w:highlight w:val="yellow"/>
              </w:rPr>
              <w:t>using the resources provided by the configured grant</w:t>
            </w:r>
            <w:r>
              <w:rPr>
                <w:rFonts w:cs="Arial"/>
              </w:rPr>
              <w:t xml:space="preserve"> is configured per priority per configured grant.</w:t>
            </w:r>
          </w:p>
          <w:p>
            <w:pPr>
              <w:rPr>
                <w:rFonts w:eastAsia="等线"/>
                <w:color w:val="FF0000"/>
                <w:lang w:val="en-GB"/>
              </w:rPr>
            </w:pPr>
            <w:r>
              <w:rPr>
                <w:rFonts w:eastAsia="等线"/>
                <w:color w:val="FF0000"/>
                <w:lang w:val="en-GB"/>
              </w:rPr>
              <w:t>I think the part in yellow is self-explanatory. It does not include resources granted by the gNB 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lang w:val="en-GB"/>
              </w:rPr>
            </w:pPr>
            <w:r>
              <w:rPr>
                <w:rFonts w:eastAsia="Calibri"/>
                <w:lang w:val="en-GB"/>
              </w:rPr>
              <w:t>Huawei, HiSilicon</w:t>
            </w:r>
          </w:p>
        </w:tc>
        <w:tc>
          <w:tcPr>
            <w:tcW w:w="8293" w:type="dxa"/>
          </w:tcPr>
          <w:p>
            <w:pPr>
              <w:rPr>
                <w:rFonts w:eastAsia="等线"/>
                <w:lang w:val="en-GB"/>
              </w:rPr>
            </w:pPr>
            <w:r>
              <w:rPr>
                <w:rFonts w:eastAsia="等线"/>
                <w:lang w:val="en-GB"/>
              </w:rPr>
              <w:t xml:space="preserve">We do not have strong preference here, but it should be clarified how the UE know the maximum (re-)transmissions are reached. </w:t>
            </w:r>
          </w:p>
          <w:p>
            <w:pPr>
              <w:rPr>
                <w:rFonts w:eastAsiaTheme="minorEastAsia"/>
                <w:szCs w:val="20"/>
                <w:lang w:val="en-GB" w:eastAsia="zh-CN"/>
              </w:rPr>
            </w:pPr>
            <w:r>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等线"/>
                <w:lang w:val="en-GB"/>
              </w:rPr>
            </w:pPr>
            <w:r>
              <w:rPr>
                <w:rFonts w:hint="eastAsia" w:eastAsia="等线"/>
                <w:lang w:val="en-GB"/>
              </w:rPr>
              <w:t>S</w:t>
            </w:r>
            <w:r>
              <w:rPr>
                <w:rFonts w:eastAsia="等线"/>
                <w:lang w:val="en-GB"/>
              </w:rPr>
              <w:t>amsung</w:t>
            </w:r>
          </w:p>
        </w:tc>
        <w:tc>
          <w:tcPr>
            <w:tcW w:w="8293" w:type="dxa"/>
          </w:tcPr>
          <w:p>
            <w:pPr>
              <w:rPr>
                <w:rFonts w:eastAsia="等线"/>
                <w:lang w:val="en-GB"/>
              </w:rPr>
            </w:pPr>
            <w:r>
              <w:rPr>
                <w:rFonts w:hint="eastAsia" w:eastAsia="等线"/>
                <w:lang w:val="en-GB"/>
              </w:rPr>
              <w:t>W</w:t>
            </w:r>
            <w:r>
              <w:rPr>
                <w:rFonts w:eastAsia="等线"/>
                <w:lang w:val="en-GB"/>
              </w:rPr>
              <w:t>e prefer Option B.</w:t>
            </w:r>
          </w:p>
          <w:p>
            <w:pPr>
              <w:rPr>
                <w:rFonts w:eastAsia="等线"/>
                <w:lang w:val="en-GB"/>
              </w:rPr>
            </w:pPr>
            <w:r>
              <w:rPr>
                <w:rFonts w:eastAsia="等线"/>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pPr>
              <w:rPr>
                <w:rFonts w:eastAsia="等线"/>
                <w:lang w:val="en-GB"/>
              </w:rPr>
            </w:pPr>
            <w:r>
              <w:rPr>
                <w:rFonts w:eastAsia="等线"/>
                <w:lang w:val="en-GB"/>
              </w:rPr>
              <w:t>In addition, since CG could schedule only up to 3 resources per period, we prefer to clarify the number of retx per priority per CG includes both CG-based resource and DG-based resource for retx of CG.</w:t>
            </w:r>
          </w:p>
          <w:p>
            <w:pPr>
              <w:rPr>
                <w:rFonts w:eastAsia="Calibri"/>
                <w:color w:val="4472C4" w:themeColor="accent1"/>
                <w:lang w:val="en-GB"/>
                <w14:textFill>
                  <w14:solidFill>
                    <w14:schemeClr w14:val="accent1"/>
                  </w14:solidFill>
                </w14:textFill>
              </w:rPr>
            </w:pPr>
            <w:r>
              <w:rPr>
                <w:rFonts w:ascii="Calibri" w:hAnsi="Calibri" w:eastAsia="Calibri" w:cs="Calibri"/>
                <w:color w:val="4472C4" w:themeColor="accent1"/>
                <w:lang w:val="en-GB"/>
                <w14:textFill>
                  <w14:solidFill>
                    <w14:schemeClr w14:val="accent1"/>
                  </w14:solidFill>
                </w14:textFill>
              </w:rPr>
              <w:t xml:space="preserve">[Samsung2] We also think Option A cannot utilize the parameter </w:t>
            </w:r>
            <w:r>
              <w:rPr>
                <w:rFonts w:eastAsia="Calibri"/>
                <w:i/>
                <w:color w:val="4472C4" w:themeColor="accent1"/>
                <w:lang w:val="en-GB"/>
                <w14:textFill>
                  <w14:solidFill>
                    <w14:schemeClr w14:val="accent1"/>
                  </w14:solidFill>
                </w14:textFill>
              </w:rPr>
              <w:t>sl-CG-MaxTransNum</w:t>
            </w:r>
            <w:r>
              <w:rPr>
                <w:rFonts w:eastAsia="Calibri"/>
                <w:color w:val="4472C4" w:themeColor="accent1"/>
                <w:lang w:val="en-GB"/>
                <w14:textFill>
                  <w14:solidFill>
                    <w14:schemeClr w14:val="accent1"/>
                  </w14:solidFill>
                </w14:textFill>
              </w:rPr>
              <w:t xml:space="preserve"> and may introduce misalignment between UE and gNB, e.g. gNB schedules resource for retx when UE already release the buffer.</w:t>
            </w:r>
          </w:p>
          <w:p>
            <w:pPr>
              <w:rPr>
                <w:rFonts w:eastAsia="Calibri"/>
                <w:color w:val="FF0000"/>
                <w:lang w:val="en-GB"/>
              </w:rPr>
            </w:pPr>
            <w:r>
              <w:rPr>
                <w:rFonts w:eastAsia="Calibri"/>
                <w:color w:val="FF0000"/>
                <w:lang w:val="en-GB"/>
              </w:rPr>
              <w:t>FL reply (20/8/20):</w:t>
            </w:r>
          </w:p>
          <w:p>
            <w:pPr>
              <w:rPr>
                <w:rFonts w:eastAsia="等线"/>
                <w:lang w:val="en-GB"/>
              </w:rPr>
            </w:pPr>
            <w:r>
              <w:rPr>
                <w:rFonts w:eastAsia="Calibri"/>
                <w:color w:val="FF0000"/>
                <w:lang w:val="en-GB"/>
              </w:rPr>
              <w:t>See my reply to QC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等线"/>
                <w:lang w:val="en-GB"/>
              </w:rPr>
            </w:pPr>
            <w:r>
              <w:rPr>
                <w:rFonts w:eastAsia="Calibri"/>
                <w:lang w:val="en-GB"/>
              </w:rPr>
              <w:t>Fraunhofer</w:t>
            </w:r>
          </w:p>
        </w:tc>
        <w:tc>
          <w:tcPr>
            <w:tcW w:w="8293" w:type="dxa"/>
          </w:tcPr>
          <w:p>
            <w:pPr>
              <w:spacing w:after="120"/>
              <w:rPr>
                <w:rFonts w:eastAsia="Calibri"/>
                <w:lang w:val="en-GB"/>
              </w:rPr>
            </w:pPr>
            <w:r>
              <w:rPr>
                <w:rFonts w:eastAsia="Calibri"/>
                <w:lang w:val="en-GB"/>
              </w:rPr>
              <w:t>Option B.</w:t>
            </w:r>
          </w:p>
          <w:p>
            <w:pPr>
              <w:pStyle w:val="133"/>
              <w:numPr>
                <w:ilvl w:val="0"/>
                <w:numId w:val="43"/>
              </w:numPr>
              <w:spacing w:after="120"/>
              <w:ind w:left="371"/>
              <w:rPr>
                <w:lang w:val="en-GB"/>
              </w:rPr>
            </w:pPr>
            <w:r>
              <w:rPr>
                <w:lang w:val="en-GB"/>
              </w:rPr>
              <w:t xml:space="preserve">In our understanding, the maximum number of HARQ retransmissions in question is </w:t>
            </w:r>
            <w:r>
              <w:rPr>
                <w:b/>
                <w:lang w:val="en-GB"/>
              </w:rPr>
              <w:t>relevant only to CGs</w:t>
            </w:r>
            <w:r>
              <w:rPr>
                <w:lang w:val="en-GB"/>
              </w:rPr>
              <w:t xml:space="preserve">. The maximum number of retransmissions for a TB using resources of the grant is configured per priority per configured grant using the parameter </w:t>
            </w:r>
            <w:r>
              <w:rPr>
                <w:i/>
                <w:lang w:val="en-GB"/>
              </w:rPr>
              <w:t>sl-CG-MaxTransNumList</w:t>
            </w:r>
            <w:r>
              <w:rPr>
                <w:lang w:val="en-GB"/>
              </w:rPr>
              <w:t xml:space="preserve">. </w:t>
            </w:r>
          </w:p>
          <w:p>
            <w:pPr>
              <w:pStyle w:val="133"/>
              <w:numPr>
                <w:ilvl w:val="0"/>
                <w:numId w:val="43"/>
              </w:numPr>
              <w:spacing w:after="120"/>
              <w:ind w:left="371"/>
              <w:rPr>
                <w:lang w:val="en-GB"/>
              </w:rPr>
            </w:pPr>
            <w:r>
              <w:rPr>
                <w:lang w:val="en-GB"/>
              </w:rPr>
              <w:t xml:space="preserve">Hence TX UEs are aware of this restriction, and can manage and maintain the number of retransmissions for a given TB. However, as LG stated, the </w:t>
            </w:r>
            <w:r>
              <w:rPr>
                <w:b/>
                <w:lang w:val="en-GB"/>
              </w:rPr>
              <w:t>gNB cannot keep track of the number of retransmissions</w:t>
            </w:r>
            <w:r>
              <w:rPr>
                <w:lang w:val="en-GB"/>
              </w:rPr>
              <w:t xml:space="preserve"> a TX UE carries out for a single TB using the resources provided in a given CG.</w:t>
            </w:r>
          </w:p>
          <w:p>
            <w:pPr>
              <w:pStyle w:val="133"/>
              <w:numPr>
                <w:ilvl w:val="0"/>
                <w:numId w:val="43"/>
              </w:numPr>
              <w:spacing w:after="120"/>
              <w:ind w:left="371"/>
              <w:rPr>
                <w:lang w:val="en-GB"/>
              </w:rPr>
            </w:pPr>
            <w:r>
              <w:rPr>
                <w:lang w:val="en-GB"/>
              </w:rPr>
              <w:t>In the case of option B, if the gNB receives an ACK after the maximum number of retransmissions was reached, it will carry out the same action as when it receives an ACK for a successful transmission. Hence the gNB’s response does not vary between the two events.</w:t>
            </w:r>
          </w:p>
          <w:p>
            <w:pPr>
              <w:pStyle w:val="133"/>
              <w:numPr>
                <w:ilvl w:val="0"/>
                <w:numId w:val="43"/>
              </w:numPr>
              <w:spacing w:after="120"/>
              <w:ind w:left="371"/>
              <w:rPr>
                <w:lang w:val="en-GB"/>
              </w:rPr>
            </w:pPr>
            <w:r>
              <w:rPr>
                <w:lang w:val="en-GB"/>
              </w:rPr>
              <w:t>In the case of option A, it is important for the gNB to differentiate between a NACK when the maximum number of retransmissions has been reached and when it has not been reached.</w:t>
            </w:r>
          </w:p>
          <w:p>
            <w:pPr>
              <w:pStyle w:val="133"/>
              <w:numPr>
                <w:ilvl w:val="1"/>
                <w:numId w:val="43"/>
              </w:numPr>
              <w:spacing w:after="120"/>
              <w:ind w:left="731"/>
              <w:rPr>
                <w:lang w:val="en-GB"/>
              </w:rPr>
            </w:pPr>
            <w:r>
              <w:rPr>
                <w:lang w:val="en-GB"/>
              </w:rPr>
              <w:t>If NACK was sent before the maximum number of retransmissions was reached, the gNB has the option to schedule further resources for retransmission using DG.</w:t>
            </w:r>
          </w:p>
          <w:p>
            <w:pPr>
              <w:pStyle w:val="133"/>
              <w:numPr>
                <w:ilvl w:val="1"/>
                <w:numId w:val="43"/>
              </w:numPr>
              <w:spacing w:after="120"/>
              <w:ind w:left="731"/>
              <w:rPr>
                <w:lang w:val="en-GB"/>
              </w:rPr>
            </w:pPr>
            <w:r>
              <w:rPr>
                <w:lang w:val="en-GB"/>
              </w:rPr>
              <w:t>If NACK was sent after reaching the maximum number of retransmissions, the gNB should NOT provide further grants for retransmission. The UE has already attempted to transmit the maximum number of times, given the existing conditions, and has failed to do so successfully. Providing further resources would only result in inefficient resource utilization.</w:t>
            </w:r>
          </w:p>
          <w:p>
            <w:pPr>
              <w:pStyle w:val="133"/>
              <w:numPr>
                <w:ilvl w:val="0"/>
                <w:numId w:val="43"/>
              </w:numPr>
              <w:spacing w:after="120"/>
              <w:ind w:left="371"/>
              <w:rPr>
                <w:lang w:val="en-GB"/>
              </w:rPr>
            </w:pPr>
            <w:r>
              <w:rPr>
                <w:lang w:val="en-GB"/>
              </w:rPr>
              <w:t xml:space="preserve">Agree with OPPO that option A would raise the </w:t>
            </w:r>
            <w:r>
              <w:rPr>
                <w:b/>
                <w:lang w:val="en-GB"/>
              </w:rPr>
              <w:t>question of the functionality and purpose of the restriction on maximum number of retransmissions</w:t>
            </w:r>
            <w:r>
              <w:rPr>
                <w:lang w:val="en-GB"/>
              </w:rPr>
              <w:t>.</w:t>
            </w:r>
          </w:p>
          <w:p>
            <w:pPr>
              <w:rPr>
                <w:rFonts w:eastAsia="Calibri"/>
                <w:lang w:val="en-GB"/>
              </w:rPr>
            </w:pPr>
            <w:r>
              <w:rPr>
                <w:rFonts w:eastAsia="Calibri"/>
                <w:lang w:val="en-GB"/>
              </w:rPr>
              <w:t xml:space="preserve">If the value is set to the maximum, the </w:t>
            </w:r>
            <w:r>
              <w:rPr>
                <w:rFonts w:eastAsia="Calibri"/>
                <w:b/>
                <w:lang w:val="en-GB"/>
              </w:rPr>
              <w:t>behaviour of the UE intended by option A can be covered by option B</w:t>
            </w:r>
            <w:r>
              <w:rPr>
                <w:rFonts w:eastAsia="Calibri"/>
                <w:lang w:val="en-GB"/>
              </w:rPr>
              <w:t>, where the gNB can continue providing more resources for retransmission, but bound by the maximum upper limit.</w:t>
            </w:r>
          </w:p>
          <w:p>
            <w:pPr>
              <w:rPr>
                <w:rFonts w:eastAsia="Calibri"/>
                <w:lang w:val="en-GB"/>
              </w:rPr>
            </w:pPr>
          </w:p>
          <w:p>
            <w:pPr>
              <w:rPr>
                <w:rFonts w:eastAsia="Calibri"/>
                <w:color w:val="548235" w:themeColor="accent6" w:themeShade="BF"/>
                <w:lang w:val="en-GB"/>
              </w:rPr>
            </w:pPr>
            <w:r>
              <w:rPr>
                <w:rFonts w:eastAsia="Calibri"/>
                <w:color w:val="548235" w:themeColor="accent6" w:themeShade="BF"/>
                <w:lang w:val="en-GB"/>
              </w:rPr>
              <w:t>[Fraunhofer2] Based on the proposal from the FL, we have the following questions:</w:t>
            </w:r>
          </w:p>
          <w:p>
            <w:pPr>
              <w:pStyle w:val="133"/>
              <w:numPr>
                <w:ilvl w:val="0"/>
                <w:numId w:val="44"/>
              </w:numPr>
              <w:ind w:left="352"/>
              <w:rPr>
                <w:rFonts w:eastAsia="等线"/>
                <w:color w:val="548235" w:themeColor="accent6" w:themeShade="BF"/>
                <w:lang w:val="en-GB"/>
              </w:rPr>
            </w:pPr>
            <w:r>
              <w:rPr>
                <w:rFonts w:eastAsia="等线"/>
                <w:color w:val="548235" w:themeColor="accent6" w:themeShade="BF"/>
                <w:lang w:val="en-GB"/>
              </w:rPr>
              <w:t>Q1. Can a UE continue retransmissions of a TB in the following CG period? RAN1 has an agreement that only one new TB can be transmitted in a period of a CG, but details regarding retransmissions were left FFS.</w:t>
            </w:r>
          </w:p>
          <w:p>
            <w:pPr>
              <w:pStyle w:val="133"/>
              <w:numPr>
                <w:ilvl w:val="1"/>
                <w:numId w:val="44"/>
              </w:numPr>
              <w:ind w:left="712"/>
              <w:rPr>
                <w:rFonts w:eastAsia="等线"/>
                <w:color w:val="548235" w:themeColor="accent6" w:themeShade="BF"/>
                <w:lang w:val="en-GB"/>
              </w:rPr>
            </w:pPr>
            <w:r>
              <w:rPr>
                <w:rFonts w:eastAsia="等线"/>
                <w:color w:val="548235" w:themeColor="accent6" w:themeShade="BF"/>
                <w:lang w:val="en-GB"/>
              </w:rPr>
              <w:t>Q2. If the answer to Q1 is yes, and if the UE does not inform the gNB about reaching the maximum limit, and since the gNB does not keep track of the number of times a TB was already retransmitted, how does the gNB possibly limit the number of times the TB is retransmitted?</w:t>
            </w:r>
          </w:p>
          <w:p>
            <w:pPr>
              <w:pStyle w:val="133"/>
              <w:numPr>
                <w:ilvl w:val="1"/>
                <w:numId w:val="44"/>
              </w:numPr>
              <w:ind w:left="712"/>
              <w:rPr>
                <w:rFonts w:eastAsia="等线"/>
                <w:lang w:val="en-GB"/>
              </w:rPr>
            </w:pPr>
            <w:r>
              <w:rPr>
                <w:rFonts w:eastAsia="等线"/>
                <w:color w:val="548235" w:themeColor="accent6" w:themeShade="BF"/>
                <w:lang w:val="en-GB"/>
              </w:rPr>
              <w:t>Q3. If the answer to Q1 is no, the maximum number of retransmissions for a TB is always set to N_max. In which case, what is the point of setting the maximum limit per priority?</w:t>
            </w:r>
          </w:p>
          <w:p>
            <w:pPr>
              <w:pStyle w:val="133"/>
              <w:numPr>
                <w:ilvl w:val="0"/>
                <w:numId w:val="44"/>
              </w:numPr>
              <w:ind w:left="352"/>
              <w:rPr>
                <w:rFonts w:eastAsia="等线"/>
                <w:color w:val="548235" w:themeColor="accent6" w:themeShade="BF"/>
                <w:lang w:val="en-GB"/>
              </w:rPr>
            </w:pPr>
            <w:r>
              <w:rPr>
                <w:rFonts w:eastAsia="等线"/>
                <w:color w:val="548235" w:themeColor="accent6" w:themeShade="BF"/>
                <w:lang w:val="en-GB"/>
              </w:rPr>
              <w:t>Q4. If the UE is not to take any action, and if the gNB is unaware, when the maximum number of retransmissions for a TB in a CG is reached, what is the point of this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lang w:val="en-GB"/>
              </w:rPr>
            </w:pPr>
            <w:r>
              <w:rPr>
                <w:rFonts w:eastAsia="Calibri"/>
                <w:lang w:val="en-GB"/>
              </w:rPr>
              <w:t>Ericsson</w:t>
            </w:r>
          </w:p>
        </w:tc>
        <w:tc>
          <w:tcPr>
            <w:tcW w:w="8293" w:type="dxa"/>
          </w:tcPr>
          <w:p>
            <w:pPr>
              <w:spacing w:after="120"/>
              <w:rPr>
                <w:rFonts w:eastAsia="Calibri"/>
                <w:lang w:val="en-GB"/>
              </w:rPr>
            </w:pPr>
            <w:r>
              <w:rPr>
                <w:rFonts w:eastAsia="Calibri"/>
                <w:lang w:val="en-GB"/>
              </w:rPr>
              <w:t>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lang w:val="en-GB"/>
              </w:rPr>
            </w:pPr>
            <w:r>
              <w:rPr>
                <w:rFonts w:eastAsia="Calibri"/>
                <w:lang w:val="en-GB"/>
              </w:rPr>
              <w:t>Futurewei</w:t>
            </w:r>
          </w:p>
        </w:tc>
        <w:tc>
          <w:tcPr>
            <w:tcW w:w="8293" w:type="dxa"/>
          </w:tcPr>
          <w:p>
            <w:pPr>
              <w:spacing w:after="120"/>
              <w:rPr>
                <w:rFonts w:eastAsia="Calibri"/>
                <w:lang w:val="en-GB"/>
              </w:rPr>
            </w:pPr>
            <w:r>
              <w:rPr>
                <w:rFonts w:eastAsia="Calibri"/>
                <w:lang w:val="en-GB"/>
              </w:rPr>
              <w:t>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rPr>
            </w:pPr>
            <w:r>
              <w:rPr>
                <w:rFonts w:eastAsia="Calibri"/>
              </w:rPr>
              <w:t>Nokia, NSB</w:t>
            </w:r>
          </w:p>
        </w:tc>
        <w:tc>
          <w:tcPr>
            <w:tcW w:w="8293" w:type="dxa"/>
          </w:tcPr>
          <w:p>
            <w:pPr>
              <w:spacing w:after="120"/>
              <w:rPr>
                <w:rFonts w:eastAsia="Calibri"/>
                <w:lang w:val="en-GB"/>
              </w:rPr>
            </w:pPr>
            <w:r>
              <w:rPr>
                <w:rFonts w:eastAsia="Calibri"/>
                <w:lang w:val="en-GB"/>
              </w:rPr>
              <w:t>It seems to us that the fundamental problem is the meaning of “maximum number of HARQ retransmissions for a TB is reached”</w:t>
            </w:r>
            <w:r>
              <w:rPr>
                <w:rFonts w:eastAsia="Calibri"/>
                <w:b/>
                <w:bCs/>
                <w:lang w:val="en-GB"/>
              </w:rPr>
              <w:t xml:space="preserve"> </w:t>
            </w:r>
            <w:r>
              <w:rPr>
                <w:rFonts w:eastAsia="Calibri"/>
                <w:lang w:val="en-GB"/>
              </w:rPr>
              <w:t xml:space="preserve">along with the definition of sl-CG-MaxTransNumList, which reads “maximum number of times that a TB can be transmitted using the </w:t>
            </w:r>
            <w:r>
              <w:rPr>
                <w:rFonts w:eastAsia="Calibri"/>
                <w:b/>
                <w:bCs/>
                <w:lang w:val="en-GB"/>
              </w:rPr>
              <w:t>resources provided by the configured grant</w:t>
            </w:r>
            <w:r>
              <w:rPr>
                <w:rFonts w:eastAsia="Calibri"/>
                <w:lang w:val="en-GB"/>
              </w:rPr>
              <w:t xml:space="preserve">” (emphasis added). </w:t>
            </w:r>
          </w:p>
          <w:p>
            <w:pPr>
              <w:spacing w:after="120"/>
              <w:rPr>
                <w:rFonts w:eastAsia="Calibri"/>
                <w:lang w:val="en-GB"/>
              </w:rPr>
            </w:pPr>
          </w:p>
          <w:p>
            <w:pPr>
              <w:spacing w:after="120"/>
              <w:rPr>
                <w:rFonts w:eastAsia="Calibri"/>
                <w:lang w:val="en-GB"/>
              </w:rPr>
            </w:pPr>
            <w:r>
              <w:rPr>
                <w:rFonts w:eastAsia="Calibri"/>
                <w:lang w:val="en-GB"/>
              </w:rPr>
              <w:t xml:space="preserve">If we take the parameter definition as it currently stands then there does not seem to be any reason why this limit on the number of TX </w:t>
            </w:r>
            <w:r>
              <w:rPr>
                <w:rFonts w:eastAsia="Calibri"/>
                <w:b/>
                <w:bCs/>
                <w:lang w:val="en-GB"/>
              </w:rPr>
              <w:t>using resources provided by the configured grant</w:t>
            </w:r>
            <w:r>
              <w:rPr>
                <w:rFonts w:eastAsia="Calibri"/>
                <w:lang w:val="en-GB"/>
              </w:rPr>
              <w:t xml:space="preserve"> should restrict the number of additional ReTX </w:t>
            </w:r>
            <w:r>
              <w:rPr>
                <w:rFonts w:eastAsia="Calibri"/>
                <w:b/>
                <w:bCs/>
                <w:lang w:val="en-GB"/>
              </w:rPr>
              <w:t>using resources provided by dynamic grant</w:t>
            </w:r>
            <w:r>
              <w:rPr>
                <w:rFonts w:eastAsia="Calibri"/>
                <w:lang w:val="en-GB"/>
              </w:rPr>
              <w:t>. Hence option A is the obvious answer.</w:t>
            </w:r>
          </w:p>
          <w:p>
            <w:pPr>
              <w:spacing w:after="120"/>
              <w:rPr>
                <w:rFonts w:eastAsia="Calibri"/>
                <w:lang w:val="en-GB"/>
              </w:rPr>
            </w:pPr>
            <w:r>
              <w:rPr>
                <w:rFonts w:eastAsia="Calibri"/>
                <w:lang w:val="en-GB"/>
              </w:rPr>
              <w:t xml:space="preserve">On the other hand one could consider changing the definition of the parameter to e.g. “maximum number of times that a TB whose initial TX uses resources provided by the configured grant can be transmitted in total”. If such a change is made then option B makes sense. </w:t>
            </w:r>
          </w:p>
          <w:p>
            <w:pPr>
              <w:spacing w:after="120"/>
              <w:rPr>
                <w:rFonts w:eastAsia="Calibri"/>
                <w:color w:val="FF0000"/>
                <w:lang w:val="en-GB"/>
              </w:rPr>
            </w:pPr>
            <w:r>
              <w:rPr>
                <w:rFonts w:eastAsia="Calibri"/>
                <w:color w:val="FF0000"/>
                <w:lang w:val="en-GB"/>
              </w:rPr>
              <w:t>FL reply (19/8/2020):</w:t>
            </w:r>
          </w:p>
          <w:p>
            <w:pPr>
              <w:spacing w:after="120"/>
              <w:rPr>
                <w:rFonts w:eastAsia="Calibri"/>
                <w:color w:val="FF0000"/>
                <w:lang w:val="en-GB"/>
              </w:rPr>
            </w:pPr>
            <w:r>
              <w:rPr>
                <w:rFonts w:eastAsia="Calibri"/>
                <w:color w:val="FF0000"/>
                <w:lang w:val="en-GB"/>
              </w:rPr>
              <w:t>My understanding is that we are taking definitions as they currently are.</w:t>
            </w:r>
          </w:p>
          <w:p>
            <w:pPr>
              <w:rPr>
                <w:rFonts w:eastAsia="等线"/>
                <w:color w:val="0070C0"/>
                <w:lang w:val="en-GB"/>
              </w:rPr>
            </w:pPr>
            <w:r>
              <w:rPr>
                <w:rFonts w:hint="eastAsia" w:eastAsia="等线"/>
                <w:color w:val="0070C0"/>
                <w:lang w:val="en-GB"/>
              </w:rPr>
              <w:t>[</w:t>
            </w:r>
            <w:r>
              <w:rPr>
                <w:rFonts w:eastAsia="等线"/>
                <w:color w:val="0070C0"/>
                <w:lang w:val="en-GB"/>
              </w:rPr>
              <w:t>NOK</w:t>
            </w:r>
            <w:r>
              <w:rPr>
                <w:rFonts w:hint="eastAsia" w:eastAsia="等线"/>
                <w:color w:val="0070C0"/>
                <w:lang w:val="en-GB"/>
              </w:rPr>
              <w:t>2]</w:t>
            </w:r>
          </w:p>
          <w:p>
            <w:pPr>
              <w:rPr>
                <w:rFonts w:eastAsia="等线"/>
                <w:color w:val="0070C0"/>
                <w:lang w:val="en-GB"/>
              </w:rPr>
            </w:pPr>
            <w:r>
              <w:rPr>
                <w:rFonts w:eastAsia="等线"/>
                <w:color w:val="0070C0"/>
                <w:lang w:val="en-GB"/>
              </w:rPr>
              <w:t>Fine with the principle, but there may be an inconstancy with 38.321: If sl-CG-MaxTransNum is reached then the HARQ buffer is flushed. If the UE then reports NAK to the gNB and is assigned resources for ReTX using dynamic grant there would be nothing to retransmit.</w:t>
            </w:r>
          </w:p>
          <w:p>
            <w:pPr>
              <w:spacing w:after="120"/>
              <w:rPr>
                <w:rFonts w:eastAsia="Calibri"/>
                <w:color w:val="FF0000"/>
                <w:lang w:val="en-GB"/>
              </w:rPr>
            </w:pPr>
            <w:r>
              <w:rPr>
                <w:rFonts w:eastAsia="Calibri"/>
                <w:color w:val="FF0000"/>
                <w:lang w:val="en-GB"/>
              </w:rPr>
              <w:t>FL reply (20/8/2020):</w:t>
            </w:r>
          </w:p>
          <w:p>
            <w:pPr>
              <w:spacing w:after="120"/>
              <w:rPr>
                <w:rFonts w:eastAsia="Calibri"/>
                <w:lang w:val="en-GB"/>
              </w:rPr>
            </w:pPr>
            <w:r>
              <w:rPr>
                <w:rFonts w:eastAsia="Calibri"/>
                <w:color w:val="FF0000"/>
                <w:lang w:val="en-GB"/>
              </w:rPr>
              <w:t>That is an interesting point that would need a fix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rPr>
            </w:pPr>
            <w:r>
              <w:rPr>
                <w:rFonts w:eastAsia="Calibri"/>
                <w:lang w:val="en-GB"/>
              </w:rPr>
              <w:t>InterDigital</w:t>
            </w:r>
          </w:p>
        </w:tc>
        <w:tc>
          <w:tcPr>
            <w:tcW w:w="8293" w:type="dxa"/>
          </w:tcPr>
          <w:p>
            <w:pPr>
              <w:spacing w:after="120"/>
              <w:rPr>
                <w:rFonts w:eastAsia="Calibri"/>
                <w:lang w:val="en-GB"/>
              </w:rPr>
            </w:pPr>
            <w:r>
              <w:rPr>
                <w:rFonts w:eastAsia="Calibri"/>
                <w:lang w:val="en-GB"/>
              </w:rPr>
              <w:t>Option B</w:t>
            </w:r>
          </w:p>
          <w:p>
            <w:pPr>
              <w:spacing w:after="120"/>
              <w:rPr>
                <w:rFonts w:eastAsia="Calibri"/>
                <w:lang w:val="en-GB"/>
              </w:rPr>
            </w:pPr>
            <w:r>
              <w:rPr>
                <w:rFonts w:eastAsia="Calibri"/>
                <w:lang w:val="en-GB"/>
              </w:rPr>
              <w:t>When the maximum number of HARQ retransmission of a TB is reached, reporting ACK will help the UE stop providing grants for the TB.</w:t>
            </w:r>
          </w:p>
          <w:p>
            <w:pPr>
              <w:spacing w:after="120"/>
              <w:rPr>
                <w:rFonts w:eastAsia="Calibri"/>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rPr>
            </w:pPr>
            <w:r>
              <w:rPr>
                <w:rFonts w:eastAsia="Calibri"/>
              </w:rPr>
              <w:t>Apple</w:t>
            </w:r>
          </w:p>
        </w:tc>
        <w:tc>
          <w:tcPr>
            <w:tcW w:w="8293" w:type="dxa"/>
          </w:tcPr>
          <w:p>
            <w:pPr>
              <w:spacing w:after="120"/>
              <w:rPr>
                <w:rFonts w:eastAsia="Calibri"/>
                <w:lang w:val="en-GB"/>
              </w:rPr>
            </w:pPr>
            <w:r>
              <w:rPr>
                <w:rFonts w:eastAsia="Calibri"/>
                <w:lang w:val="en-GB"/>
              </w:rPr>
              <w:t xml:space="preserve">For dynamic grant, the number of retransmissions of a TB is up to the gNB. Hence, Option B does not work for dynamic grant as UE does not know the maximum number of retransmissions. </w:t>
            </w:r>
          </w:p>
          <w:p>
            <w:pPr>
              <w:spacing w:after="120"/>
              <w:rPr>
                <w:rFonts w:eastAsia="Calibri"/>
                <w:lang w:val="en-GB"/>
              </w:rPr>
            </w:pPr>
            <w:r>
              <w:rPr>
                <w:rFonts w:eastAsia="Calibri"/>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tcPr>
          <w:p>
            <w:pPr>
              <w:rPr>
                <w:rFonts w:eastAsia="Calibri"/>
              </w:rPr>
            </w:pPr>
            <w:r>
              <w:rPr>
                <w:rFonts w:hint="eastAsia" w:eastAsia="等线"/>
                <w:lang w:val="en-GB"/>
              </w:rPr>
              <w:t>S</w:t>
            </w:r>
            <w:r>
              <w:rPr>
                <w:rFonts w:eastAsia="等线"/>
                <w:lang w:val="en-GB"/>
              </w:rPr>
              <w:t>preadtrum</w:t>
            </w:r>
          </w:p>
        </w:tc>
        <w:tc>
          <w:tcPr>
            <w:tcW w:w="8293" w:type="dxa"/>
          </w:tcPr>
          <w:p>
            <w:pPr>
              <w:rPr>
                <w:rFonts w:eastAsia="等线"/>
                <w:lang w:val="en-GB"/>
              </w:rPr>
            </w:pPr>
            <w:r>
              <w:rPr>
                <w:rFonts w:eastAsia="等线"/>
                <w:lang w:val="en-GB"/>
              </w:rPr>
              <w:t>No further specification is necessary.</w:t>
            </w:r>
          </w:p>
          <w:p>
            <w:pPr>
              <w:rPr>
                <w:rFonts w:eastAsia="等线"/>
                <w:lang w:val="en-GB"/>
              </w:rPr>
            </w:pPr>
            <w:r>
              <w:rPr>
                <w:rFonts w:eastAsia="等线"/>
                <w:lang w:val="en-GB"/>
              </w:rPr>
              <w:t>Firstly, this issue has been solved for CG in RAN1 100bis as shown below. So, it should be clarified that this issue is only for DG.</w:t>
            </w:r>
          </w:p>
          <w:p>
            <w:pPr>
              <w:spacing w:before="240"/>
              <w:rPr>
                <w:rFonts w:ascii="Calibri" w:hAnsi="Calibri" w:eastAsia="Calibri" w:cs="Calibri"/>
                <w:sz w:val="20"/>
                <w:szCs w:val="20"/>
              </w:rPr>
            </w:pPr>
            <w:r>
              <w:rPr>
                <w:rFonts w:eastAsia="Calibri"/>
                <w:highlight w:val="yellow"/>
              </w:rPr>
              <w:t>Proposal 3:</w:t>
            </w:r>
          </w:p>
          <w:p>
            <w:pPr>
              <w:numPr>
                <w:ilvl w:val="0"/>
                <w:numId w:val="39"/>
              </w:numPr>
              <w:rPr>
                <w:rFonts w:eastAsia="Times New Roman"/>
                <w:lang w:val="en-GB"/>
              </w:rPr>
            </w:pPr>
            <w:r>
              <w:rPr>
                <w:rFonts w:eastAsia="Times New Roman"/>
                <w:lang w:val="en-GB"/>
              </w:rPr>
              <w:t>In case of reaching the maximum number of HARQ re-transmissions for a TB</w:t>
            </w:r>
            <w:r>
              <w:rPr>
                <w:rFonts w:eastAsia="Times New Roman"/>
                <w:color w:val="00B050"/>
                <w:lang w:val="en-GB"/>
              </w:rPr>
              <w:t xml:space="preserve"> </w:t>
            </w:r>
            <w:r>
              <w:rPr>
                <w:rFonts w:eastAsia="Times New Roman"/>
                <w:lang w:val="en-GB"/>
              </w:rPr>
              <w:t xml:space="preserve">using resources provided by a configured grant: </w:t>
            </w:r>
          </w:p>
          <w:p>
            <w:pPr>
              <w:numPr>
                <w:ilvl w:val="1"/>
                <w:numId w:val="39"/>
              </w:numPr>
              <w:rPr>
                <w:rFonts w:eastAsia="Times New Roman"/>
                <w:strike/>
                <w:color w:val="FF0000"/>
                <w:lang w:val="en-GB"/>
              </w:rPr>
            </w:pPr>
            <w:r>
              <w:rPr>
                <w:rFonts w:eastAsia="Times New Roman"/>
                <w:strike/>
                <w:color w:val="FF0000"/>
                <w:lang w:val="en-GB"/>
              </w:rPr>
              <w:t xml:space="preserve">Alt 1. The UE reports ACK to the gNB. </w:t>
            </w:r>
          </w:p>
          <w:p>
            <w:pPr>
              <w:numPr>
                <w:ilvl w:val="1"/>
                <w:numId w:val="39"/>
              </w:numPr>
              <w:rPr>
                <w:rFonts w:eastAsia="Times New Roman"/>
                <w:lang w:val="en-GB"/>
              </w:rPr>
            </w:pPr>
            <w:r>
              <w:rPr>
                <w:rFonts w:eastAsia="Times New Roman"/>
                <w:strike/>
                <w:color w:val="FF0000"/>
                <w:lang w:val="en-GB"/>
              </w:rPr>
              <w:t>Alt 2.</w:t>
            </w:r>
            <w:r>
              <w:rPr>
                <w:rFonts w:eastAsia="Times New Roman"/>
                <w:color w:val="FF0000"/>
                <w:lang w:val="en-GB"/>
              </w:rPr>
              <w:t xml:space="preserve"> </w:t>
            </w:r>
            <w:r>
              <w:rPr>
                <w:rFonts w:eastAsia="Times New Roman"/>
                <w:lang w:val="en-GB"/>
              </w:rPr>
              <w:t>The UE reports ACK/NACK based on the corresponding PSFCH reception(s) or absence(s) thereof.</w:t>
            </w:r>
          </w:p>
          <w:p>
            <w:pPr>
              <w:rPr>
                <w:rFonts w:ascii="Calibri" w:hAnsi="Calibri" w:eastAsia="Calibri"/>
                <w:szCs w:val="20"/>
                <w:highlight w:val="green"/>
              </w:rPr>
            </w:pPr>
            <w:r>
              <w:rPr>
                <w:rFonts w:eastAsia="Calibri"/>
                <w:szCs w:val="20"/>
                <w:highlight w:val="green"/>
              </w:rPr>
              <w:t>Agreements:</w:t>
            </w:r>
          </w:p>
          <w:p>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pPr>
              <w:rPr>
                <w:rFonts w:eastAsia="等线"/>
                <w:lang w:val="en-GB"/>
              </w:rPr>
            </w:pPr>
          </w:p>
          <w:p>
            <w:pPr>
              <w:rPr>
                <w:rFonts w:eastAsia="等线"/>
                <w:lang w:val="en-GB"/>
              </w:rPr>
            </w:pPr>
            <w:r>
              <w:rPr>
                <w:rFonts w:eastAsia="等线"/>
                <w:lang w:val="en-GB"/>
              </w:rPr>
              <w:t>Secondly, for DG, according to the following agreements, UE doesn’t know whether the maximum number of re-transmissions is reached.</w:t>
            </w:r>
          </w:p>
          <w:p>
            <w:pPr>
              <w:rPr>
                <w:rFonts w:eastAsia="等线"/>
                <w:lang w:val="en-GB"/>
              </w:rPr>
            </w:pPr>
          </w:p>
          <w:p>
            <w:pPr>
              <w:rPr>
                <w:rFonts w:ascii="Times" w:hAnsi="Times" w:eastAsia="Calibri"/>
                <w:szCs w:val="20"/>
              </w:rPr>
            </w:pPr>
            <w:r>
              <w:rPr>
                <w:rFonts w:eastAsia="Calibri"/>
                <w:szCs w:val="20"/>
                <w:highlight w:val="green"/>
              </w:rPr>
              <w:t>Agreements</w:t>
            </w:r>
            <w:r>
              <w:rPr>
                <w:rFonts w:eastAsia="Calibri"/>
                <w:szCs w:val="20"/>
              </w:rPr>
              <w:t>:</w:t>
            </w:r>
          </w:p>
          <w:p>
            <w:pPr>
              <w:pStyle w:val="133"/>
              <w:numPr>
                <w:ilvl w:val="0"/>
                <w:numId w:val="40"/>
              </w:numPr>
              <w:spacing w:line="256" w:lineRule="auto"/>
              <w:rPr>
                <w:rFonts w:asciiTheme="minorHAnsi" w:hAnsiTheme="minorHAnsi" w:cstheme="minorHAnsi"/>
                <w:szCs w:val="20"/>
                <w:lang w:val="zh-CN"/>
              </w:rPr>
            </w:pPr>
            <w:r>
              <w:rPr>
                <w:rFonts w:asciiTheme="minorHAnsi" w:hAnsiTheme="minorHAnsi" w:cstheme="minorHAnsi"/>
                <w:szCs w:val="20"/>
                <w:lang w:val="en-GB"/>
              </w:rPr>
              <w:t>For dynamic grant, the number of retransmissions of a TB is up to the gNB.</w:t>
            </w:r>
          </w:p>
          <w:p>
            <w:pPr>
              <w:pStyle w:val="133"/>
              <w:numPr>
                <w:ilvl w:val="0"/>
                <w:numId w:val="40"/>
              </w:numPr>
              <w:spacing w:line="256" w:lineRule="auto"/>
              <w:rPr>
                <w:rFonts w:asciiTheme="minorHAnsi" w:hAnsiTheme="minorHAnsi" w:cstheme="minorHAnsi"/>
                <w:szCs w:val="20"/>
                <w:lang w:val="en-GB"/>
              </w:rPr>
            </w:pPr>
            <w:r>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pPr>
              <w:spacing w:after="120"/>
              <w:rPr>
                <w:rFonts w:eastAsia="Calibri"/>
                <w:lang w:val="en-GB"/>
              </w:rPr>
            </w:pPr>
          </w:p>
        </w:tc>
      </w:tr>
    </w:tbl>
    <w:p>
      <w:pPr>
        <w:pStyle w:val="4"/>
        <w:ind w:left="0" w:firstLine="0"/>
      </w:pPr>
      <w:r>
        <w:t>Issue 1.4-1</w:t>
      </w:r>
      <w:r>
        <w:tab/>
      </w:r>
      <w:r>
        <w:t>Processing time for SL CG type-2</w:t>
      </w:r>
    </w:p>
    <w:p>
      <w:pPr>
        <w:rPr>
          <w:b/>
          <w:bCs/>
        </w:rPr>
      </w:pPr>
      <w:r>
        <w:rPr>
          <w:b/>
          <w:bCs/>
        </w:rPr>
        <w:t>The current specification only captures the PSSCH processing time for sidelink dynamic grant (TS 38.214 Clause 8.6) corresponding to the following agreement from RAN1#101-e:</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240"/>
              <w:rPr>
                <w:rFonts w:eastAsia="Calibri"/>
              </w:rPr>
            </w:pPr>
            <w:r>
              <w:rPr>
                <w:rFonts w:eastAsia="Calibri"/>
                <w:highlight w:val="green"/>
              </w:rPr>
              <w:t>Agreements</w:t>
            </w:r>
            <w:r>
              <w:rPr>
                <w:rFonts w:eastAsia="Calibri"/>
              </w:rPr>
              <w:t>:</w:t>
            </w:r>
          </w:p>
          <w:p>
            <w:pPr>
              <w:pStyle w:val="133"/>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ctrlPr>
                    <w:rPr>
                      <w:rFonts w:ascii="Cambria Math" w:hAnsi="Cambria Math"/>
                      <w:i/>
                      <w:color w:val="000000"/>
                    </w:rPr>
                  </m:ctrlPr>
                </m:e>
                <m:sub>
                  <m:r>
                    <w:rPr>
                      <w:rFonts w:ascii="Cambria Math"/>
                      <w:color w:val="000000"/>
                    </w:rPr>
                    <m:t>proc</m:t>
                  </m:r>
                  <m:ctrlPr>
                    <w:rPr>
                      <w:rFonts w:ascii="Cambria Math" w:hAnsi="Cambria Math"/>
                      <w:i/>
                      <w:color w:val="000000"/>
                    </w:rPr>
                  </m:ctrlPr>
                </m:sub>
              </m:sSub>
            </m:oMath>
            <w:r>
              <w:rPr>
                <w:lang w:val="en-GB"/>
              </w:rPr>
              <w:t xml:space="preserve"> after the end of the scheduling PDCCH.</w:t>
            </w:r>
          </w:p>
          <w:p>
            <w:pPr>
              <w:pStyle w:val="133"/>
              <w:numPr>
                <w:ilvl w:val="1"/>
                <w:numId w:val="22"/>
              </w:numPr>
            </w:pPr>
            <m:oMath>
              <m:sSub>
                <m:sSubPr>
                  <m:ctrlPr>
                    <w:rPr>
                      <w:rFonts w:ascii="Cambria Math" w:hAnsi="Cambria Math"/>
                      <w:i/>
                      <w:color w:val="000000"/>
                    </w:rPr>
                  </m:ctrlPr>
                </m:sSubPr>
                <m:e>
                  <m:r>
                    <w:rPr>
                      <w:rFonts w:ascii="Cambria Math"/>
                      <w:color w:val="000000"/>
                    </w:rPr>
                    <m:t>T</m:t>
                  </m:r>
                  <m:ctrlPr>
                    <w:rPr>
                      <w:rFonts w:ascii="Cambria Math" w:hAnsi="Cambria Math"/>
                      <w:i/>
                      <w:color w:val="000000"/>
                    </w:rPr>
                  </m:ctrlPr>
                </m:e>
                <m:sub>
                  <m:r>
                    <w:rPr>
                      <w:rFonts w:ascii="Cambria Math"/>
                      <w:color w:val="000000"/>
                    </w:rPr>
                    <m:t>proc</m:t>
                  </m:r>
                  <m:ctrlPr>
                    <w:rPr>
                      <w:rFonts w:ascii="Cambria Math" w:hAnsi="Cambria Math"/>
                      <w:i/>
                      <w:color w:val="000000"/>
                    </w:rPr>
                  </m:ctrlPr>
                </m:sub>
              </m:sSub>
              <m:r>
                <w:rPr>
                  <w:rFonts w:ascii="Cambria Math"/>
                  <w:color w:val="000000"/>
                </w:rPr>
                <m:t>=(</m:t>
              </m:r>
              <m:sSub>
                <m:sSubPr>
                  <m:ctrlPr>
                    <w:rPr>
                      <w:rFonts w:ascii="Cambria Math" w:hAnsi="Cambria Math"/>
                      <w:i/>
                      <w:color w:val="000000"/>
                    </w:rPr>
                  </m:ctrlPr>
                </m:sSubPr>
                <m:e>
                  <m:r>
                    <w:rPr>
                      <w:rFonts w:ascii="Cambria Math"/>
                      <w:color w:val="000000"/>
                    </w:rPr>
                    <m:t>N</m:t>
                  </m:r>
                  <m:ctrlPr>
                    <w:rPr>
                      <w:rFonts w:ascii="Cambria Math" w:hAnsi="Cambria Math"/>
                      <w:i/>
                      <w:color w:val="000000"/>
                    </w:rPr>
                  </m:ctrlPr>
                </m:e>
                <m:sub>
                  <m:r>
                    <w:rPr>
                      <w:rFonts w:ascii="Cambria Math"/>
                      <w:color w:val="000000"/>
                    </w:rPr>
                    <m:t>2</m:t>
                  </m:r>
                  <m:ctrlPr>
                    <w:rPr>
                      <w:rFonts w:ascii="Cambria Math" w:hAnsi="Cambria Math"/>
                      <w:i/>
                      <w:color w:val="000000"/>
                    </w:rPr>
                  </m:ctrlPr>
                </m:sub>
              </m:sSub>
              <m:r>
                <w:rPr>
                  <w:rFonts w:ascii="Cambria Math"/>
                  <w:color w:val="000000"/>
                </w:rPr>
                <m:t>+</m:t>
              </m:r>
              <m:sSub>
                <m:sSubPr>
                  <m:ctrlPr>
                    <w:rPr>
                      <w:rFonts w:ascii="Cambria Math" w:hAnsi="Cambria Math"/>
                      <w:i/>
                      <w:color w:val="000000"/>
                    </w:rPr>
                  </m:ctrlPr>
                </m:sSubPr>
                <m:e>
                  <m:r>
                    <w:rPr>
                      <w:rFonts w:ascii="Cambria Math"/>
                      <w:color w:val="000000"/>
                    </w:rPr>
                    <m:t>d</m:t>
                  </m:r>
                  <m:ctrlPr>
                    <w:rPr>
                      <w:rFonts w:ascii="Cambria Math" w:hAnsi="Cambria Math"/>
                      <w:i/>
                      <w:color w:val="000000"/>
                    </w:rPr>
                  </m:ctrlPr>
                </m:e>
                <m:sub>
                  <m:r>
                    <w:rPr>
                      <w:rFonts w:ascii="Cambria Math"/>
                      <w:color w:val="000000"/>
                    </w:rPr>
                    <m:t>2,1</m:t>
                  </m:r>
                  <m:ctrlPr>
                    <w:rPr>
                      <w:rFonts w:ascii="Cambria Math" w:hAnsi="Cambria Math"/>
                      <w:i/>
                      <w:color w:val="000000"/>
                    </w:rPr>
                  </m:ctrlP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ctrlPr>
                    <w:rPr>
                      <w:rFonts w:ascii="Cambria Math" w:hAnsi="Cambria Math"/>
                      <w:i/>
                      <w:color w:val="000000"/>
                    </w:rPr>
                  </m:ctrlPr>
                </m:e>
                <m:sup>
                  <m:r>
                    <w:rPr>
                      <w:rFonts w:ascii="Cambria Math"/>
                      <w:color w:val="000000"/>
                    </w:rPr>
                    <m:t>-μ</m:t>
                  </m:r>
                  <m:ctrlPr>
                    <w:rPr>
                      <w:rFonts w:ascii="Cambria Math" w:hAnsi="Cambria Math"/>
                      <w:i/>
                      <w:color w:val="000000"/>
                    </w:rPr>
                  </m:ctrlP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ctrlPr>
                    <w:rPr>
                      <w:rFonts w:ascii="Cambria Math" w:hAnsi="Cambria Math"/>
                      <w:i/>
                      <w:color w:val="000000"/>
                    </w:rPr>
                  </m:ctrlPr>
                </m:e>
                <m:sub>
                  <m:r>
                    <w:rPr>
                      <w:rFonts w:ascii="Cambria Math"/>
                      <w:color w:val="000000"/>
                    </w:rPr>
                    <m:t>C</m:t>
                  </m:r>
                  <m:ctrlPr>
                    <w:rPr>
                      <w:rFonts w:ascii="Cambria Math" w:hAnsi="Cambria Math"/>
                      <w:i/>
                      <w:color w:val="000000"/>
                    </w:rPr>
                  </m:ctrlPr>
                </m:sub>
              </m:sSub>
            </m:oMath>
          </w:p>
          <w:p>
            <w:pPr>
              <w:pStyle w:val="133"/>
              <w:numPr>
                <w:ilvl w:val="2"/>
                <w:numId w:val="22"/>
              </w:numPr>
              <w:rPr>
                <w:lang w:val="en-GB"/>
              </w:rPr>
            </w:pPr>
            <m:oMath>
              <m:sSub>
                <m:sSubPr>
                  <m:ctrlPr>
                    <w:rPr>
                      <w:rFonts w:ascii="Cambria Math" w:hAnsi="Cambria Math"/>
                      <w:i/>
                      <w:color w:val="000000"/>
                    </w:rPr>
                  </m:ctrlPr>
                </m:sSubPr>
                <m:e>
                  <m:r>
                    <w:rPr>
                      <w:rFonts w:ascii="Cambria Math"/>
                      <w:color w:val="000000"/>
                    </w:rPr>
                    <m:t>N</m:t>
                  </m:r>
                  <m:ctrlPr>
                    <w:rPr>
                      <w:rFonts w:ascii="Cambria Math" w:hAnsi="Cambria Math"/>
                      <w:i/>
                      <w:color w:val="000000"/>
                    </w:rPr>
                  </m:ctrlPr>
                </m:e>
                <m:sub>
                  <m:r>
                    <w:rPr>
                      <w:rFonts w:ascii="Cambria Math"/>
                      <w:color w:val="000000"/>
                      <w:lang w:val="en-GB"/>
                    </w:rPr>
                    <m:t>2</m:t>
                  </m:r>
                  <m:ctrlPr>
                    <w:rPr>
                      <w:rFonts w:ascii="Cambria Math" w:hAnsi="Cambria Math"/>
                      <w:i/>
                      <w:color w:val="000000"/>
                    </w:rPr>
                  </m:ctrlPr>
                </m:sub>
              </m:sSub>
            </m:oMath>
            <w:r>
              <w:rPr>
                <w:color w:val="000000"/>
                <w:lang w:val="en-GB"/>
              </w:rPr>
              <w:t xml:space="preserve"> is 10, 12, 23, and 36 for </w:t>
            </w:r>
            <m:oMath>
              <m:r>
                <w:rPr>
                  <w:rFonts w:ascii="Cambria Math" w:hAnsi="Cambria Math"/>
                  <w:color w:val="000000"/>
                </w:rPr>
                <m:t>μ</m:t>
              </m:r>
            </m:oMath>
            <w:r>
              <w:rPr>
                <w:color w:val="000000"/>
                <w:lang w:val="en-GB"/>
              </w:rPr>
              <w:t xml:space="preserve"> equal to 0, 1, 2, and 3, respectively.</w:t>
            </w:r>
          </w:p>
          <w:p>
            <w:pPr>
              <w:pStyle w:val="133"/>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ctrlPr>
                    <w:rPr>
                      <w:rFonts w:ascii="Cambria Math" w:hAnsi="Cambria Math"/>
                      <w:i/>
                      <w:color w:val="000000"/>
                    </w:rPr>
                  </m:ctrlPr>
                </m:e>
                <m:sub>
                  <m:r>
                    <w:rPr>
                      <w:rFonts w:ascii="Cambria Math"/>
                      <w:color w:val="000000"/>
                      <w:lang w:val="en-GB"/>
                    </w:rPr>
                    <m:t>2</m:t>
                  </m:r>
                  <m:ctrlPr>
                    <w:rPr>
                      <w:rFonts w:ascii="Cambria Math" w:hAnsi="Cambria Math"/>
                      <w:i/>
                      <w:color w:val="000000"/>
                    </w:rPr>
                  </m:ctrlPr>
                </m:sub>
              </m:sSub>
            </m:oMath>
            <w:r>
              <w:rPr>
                <w:color w:val="000000"/>
                <w:lang w:val="en-GB"/>
              </w:rPr>
              <w:t xml:space="preserve"> based on the discussion on capabilities (Q5).</w:t>
            </w:r>
          </w:p>
          <w:p>
            <w:pPr>
              <w:numPr>
                <w:ilvl w:val="2"/>
                <w:numId w:val="22"/>
              </w:numPr>
              <w:rPr>
                <w:rFonts w:eastAsia="Calibri"/>
                <w:szCs w:val="20"/>
                <w:lang w:val="en-GB"/>
              </w:rPr>
            </w:pPr>
            <w:r>
              <w:rPr>
                <w:rFonts w:eastAsia="Calibri"/>
                <w:i/>
                <w:lang w:val="en-AU"/>
              </w:rPr>
              <w:t>µ</w:t>
            </w:r>
            <w:r>
              <w:rPr>
                <w:rFonts w:eastAsia="Calibri"/>
                <w:lang w:val="en-AU"/>
              </w:rPr>
              <w:t xml:space="preserve"> corresponds to the one of (</w:t>
            </w:r>
            <w:r>
              <w:rPr>
                <w:rFonts w:eastAsia="Calibri"/>
                <w:i/>
                <w:lang w:val="en-AU"/>
              </w:rPr>
              <w:t>µ</w:t>
            </w:r>
            <w:r>
              <w:rPr>
                <w:rFonts w:eastAsia="Calibri"/>
                <w:i/>
                <w:vertAlign w:val="subscript"/>
                <w:lang w:val="en-AU"/>
              </w:rPr>
              <w:t>DL</w:t>
            </w:r>
            <w:r>
              <w:rPr>
                <w:rFonts w:eastAsia="Calibri"/>
                <w:lang w:val="en-AU"/>
              </w:rPr>
              <w:t xml:space="preserve">, </w:t>
            </w:r>
            <w:r>
              <w:rPr>
                <w:rFonts w:eastAsia="Calibri"/>
                <w:i/>
                <w:lang w:val="en-AU"/>
              </w:rPr>
              <w:t>µ</w:t>
            </w:r>
            <w:r>
              <w:rPr>
                <w:rFonts w:eastAsia="Calibri"/>
                <w:i/>
                <w:vertAlign w:val="subscript"/>
                <w:lang w:val="en-AU"/>
              </w:rPr>
              <w:t>SL</w:t>
            </w:r>
            <w:r>
              <w:rPr>
                <w:rFonts w:eastAsia="Calibri"/>
                <w:lang w:val="en-AU"/>
              </w:rPr>
              <w:t xml:space="preserve">) resulting in the largest </w:t>
            </w:r>
            <w:r>
              <w:rPr>
                <w:rFonts w:eastAsia="Calibri"/>
                <w:i/>
                <w:lang w:val="en-AU"/>
              </w:rPr>
              <w:t>T</w:t>
            </w:r>
            <w:r>
              <w:rPr>
                <w:rFonts w:eastAsia="Calibri"/>
                <w:i/>
                <w:vertAlign w:val="subscript"/>
                <w:lang w:val="en-AU"/>
              </w:rPr>
              <w:t>proc</w:t>
            </w:r>
            <w:r>
              <w:rPr>
                <w:rFonts w:eastAsia="Calibri"/>
                <w:i/>
                <w:lang w:val="en-AU"/>
              </w:rPr>
              <w:t>.</w:t>
            </w:r>
          </w:p>
          <w:p>
            <w:pPr>
              <w:numPr>
                <w:ilvl w:val="2"/>
                <w:numId w:val="22"/>
              </w:numPr>
              <w:rPr>
                <w:rFonts w:eastAsia="Calibri"/>
                <w:szCs w:val="20"/>
              </w:rPr>
            </w:pPr>
            <m:oMath>
              <m:sSub>
                <m:sSubPr>
                  <m:ctrlPr>
                    <w:rPr>
                      <w:rFonts w:ascii="Cambria Math" w:hAnsi="Cambria Math" w:eastAsia="Calibri"/>
                      <w:i/>
                      <w:color w:val="000000"/>
                    </w:rPr>
                  </m:ctrlPr>
                </m:sSubPr>
                <m:e>
                  <m:r>
                    <w:rPr>
                      <w:rFonts w:ascii="Cambria Math" w:eastAsia="Calibri"/>
                      <w:color w:val="000000"/>
                    </w:rPr>
                    <m:t>d</m:t>
                  </m:r>
                  <m:ctrlPr>
                    <w:rPr>
                      <w:rFonts w:ascii="Cambria Math" w:hAnsi="Cambria Math" w:eastAsia="Calibri"/>
                      <w:i/>
                      <w:color w:val="000000"/>
                    </w:rPr>
                  </m:ctrlPr>
                </m:e>
                <m:sub>
                  <m:r>
                    <w:rPr>
                      <w:rFonts w:ascii="Cambria Math" w:eastAsia="Calibri"/>
                      <w:color w:val="000000"/>
                    </w:rPr>
                    <m:t>2,1</m:t>
                  </m:r>
                  <m:ctrlPr>
                    <w:rPr>
                      <w:rFonts w:ascii="Cambria Math" w:hAnsi="Cambria Math" w:eastAsia="Calibri"/>
                      <w:i/>
                      <w:color w:val="000000"/>
                    </w:rPr>
                  </m:ctrlPr>
                </m:sub>
              </m:sSub>
            </m:oMath>
            <w:r>
              <w:rPr>
                <w:rFonts w:eastAsia="Calibri"/>
                <w:color w:val="000000"/>
              </w:rPr>
              <w:t xml:space="preserve"> = 1</w:t>
            </w:r>
          </w:p>
          <w:p>
            <w:pPr>
              <w:pStyle w:val="133"/>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ctrlPr>
                        <w:rPr>
                          <w:rFonts w:ascii="Cambria Math" w:hAnsi="Cambria Math"/>
                          <w:i/>
                          <w:color w:val="000000"/>
                        </w:rPr>
                      </m:ctrlPr>
                    </m:e>
                    <m:sub>
                      <m:r>
                        <w:rPr>
                          <w:rFonts w:ascii="Cambria Math" w:hAnsi="Cambria Math"/>
                          <w:color w:val="000000"/>
                        </w:rPr>
                        <m:t>s</m:t>
                      </m:r>
                      <m:ctrlPr>
                        <w:rPr>
                          <w:rFonts w:ascii="Cambria Math" w:hAnsi="Cambria Math"/>
                          <w:i/>
                          <w:color w:val="000000"/>
                        </w:rPr>
                      </m:ctrlPr>
                    </m:sub>
                  </m:sSub>
                  <m:ctrlPr>
                    <w:rPr>
                      <w:rFonts w:ascii="Cambria Math" w:hAnsi="Cambria Math"/>
                      <w:i/>
                      <w:color w:val="000000"/>
                    </w:rPr>
                  </m:ctrlPr>
                </m:num>
                <m:den>
                  <m:sSub>
                    <m:sSubPr>
                      <m:ctrlPr>
                        <w:rPr>
                          <w:rFonts w:ascii="Cambria Math" w:hAnsi="Cambria Math"/>
                          <w:i/>
                          <w:color w:val="000000"/>
                        </w:rPr>
                      </m:ctrlPr>
                    </m:sSubPr>
                    <m:e>
                      <m:r>
                        <w:rPr>
                          <w:rFonts w:ascii="Cambria Math" w:hAnsi="Cambria Math"/>
                          <w:color w:val="000000"/>
                        </w:rPr>
                        <m:t>T</m:t>
                      </m:r>
                      <m:ctrlPr>
                        <w:rPr>
                          <w:rFonts w:ascii="Cambria Math" w:hAnsi="Cambria Math"/>
                          <w:i/>
                          <w:color w:val="000000"/>
                        </w:rPr>
                      </m:ctrlPr>
                    </m:e>
                    <m:sub>
                      <m:r>
                        <w:rPr>
                          <w:rFonts w:ascii="Cambria Math" w:hAnsi="Cambria Math"/>
                          <w:color w:val="000000"/>
                        </w:rPr>
                        <m:t>c</m:t>
                      </m:r>
                      <m:ctrlPr>
                        <w:rPr>
                          <w:rFonts w:ascii="Cambria Math" w:hAnsi="Cambria Math"/>
                          <w:i/>
                          <w:color w:val="000000"/>
                        </w:rPr>
                      </m:ctrlPr>
                    </m:sub>
                  </m:sSub>
                  <m:ctrlPr>
                    <w:rPr>
                      <w:rFonts w:ascii="Cambria Math" w:hAnsi="Cambria Math"/>
                      <w:i/>
                      <w:color w:val="000000"/>
                    </w:rPr>
                  </m:ctrlPr>
                </m:den>
              </m:f>
            </m:oMath>
            <w:r>
              <w:rPr>
                <w:szCs w:val="20"/>
                <w:lang w:val="en-GB"/>
              </w:rPr>
              <w:t xml:space="preserve"> (parameters as defined in 38.211)</w:t>
            </w:r>
          </w:p>
        </w:tc>
      </w:tr>
    </w:tbl>
    <w:p>
      <w:pPr>
        <w:spacing w:before="240"/>
        <w:rPr>
          <w:b/>
          <w:bCs/>
        </w:rPr>
      </w:pPr>
      <w:r>
        <w:rPr>
          <w:b/>
          <w:bCs/>
        </w:rPr>
        <w:t>R1-2005339 proposes using the existing preparation time for SL CG type-2 activation. Is the following proposal agreeable?</w:t>
      </w:r>
    </w:p>
    <w:p>
      <w:pPr>
        <w:rPr>
          <w:b/>
          <w:bCs/>
        </w:rPr>
      </w:pPr>
      <w:r>
        <w:rPr>
          <w:b/>
          <w:bCs/>
          <w:highlight w:val="yellow"/>
        </w:rPr>
        <w:t>Proposal:</w:t>
      </w:r>
    </w:p>
    <w:p>
      <w:pPr>
        <w:pStyle w:val="133"/>
        <w:numPr>
          <w:ilvl w:val="0"/>
          <w:numId w:val="25"/>
        </w:numPr>
      </w:pPr>
      <w:r>
        <w:t>For SL configured grant type-2 activation, the UE processing time is equal to T</w:t>
      </w:r>
      <w:r>
        <w:rPr>
          <w:vertAlign w:val="subscript"/>
        </w:rPr>
        <w:t>proc</w:t>
      </w:r>
      <w:r>
        <w:t xml:space="preserve"> (agreed in RAN1#101-e).</w:t>
      </w:r>
    </w:p>
    <w:p>
      <w:pPr>
        <w:spacing w:before="240"/>
        <w:rPr>
          <w:b/>
          <w:bCs/>
        </w:rPr>
      </w:pPr>
      <w:r>
        <w:rPr>
          <w:b/>
          <w:bCs/>
        </w:rPr>
        <w:t>FL summary (19/8/2020):</w:t>
      </w:r>
    </w:p>
    <w:p>
      <w:pPr>
        <w:pStyle w:val="133"/>
        <w:numPr>
          <w:ilvl w:val="0"/>
          <w:numId w:val="25"/>
        </w:numPr>
        <w:spacing w:before="240"/>
        <w:rPr>
          <w:b/>
          <w:bCs/>
        </w:rPr>
      </w:pPr>
      <w:r>
        <w:t>The proposal is agreeable to everyone.</w:t>
      </w:r>
    </w:p>
    <w:p>
      <w:pPr>
        <w:rPr>
          <w:b/>
          <w:bCs/>
        </w:rPr>
      </w:pPr>
      <w:r>
        <w:rPr>
          <w:b/>
          <w:bCs/>
        </w:rPr>
        <w:t>FL summary (20/8/2020)</w:t>
      </w:r>
    </w:p>
    <w:p>
      <w:pPr>
        <w:pStyle w:val="133"/>
        <w:numPr>
          <w:ilvl w:val="0"/>
          <w:numId w:val="25"/>
        </w:numPr>
        <w:spacing w:before="240"/>
      </w:pPr>
      <w:r>
        <w:t>No update</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7E6E6" w:themeFill="background2"/>
          </w:tcPr>
          <w:p>
            <w:pPr>
              <w:jc w:val="center"/>
              <w:rPr>
                <w:rFonts w:eastAsia="Calibri"/>
                <w:b/>
                <w:bCs/>
                <w:lang w:val="en-GB"/>
              </w:rPr>
            </w:pPr>
            <w:r>
              <w:rPr>
                <w:rFonts w:eastAsia="Calibri"/>
                <w:b/>
                <w:bCs/>
                <w:lang w:val="en-GB"/>
              </w:rPr>
              <w:t xml:space="preserve"> Company</w:t>
            </w:r>
          </w:p>
        </w:tc>
        <w:tc>
          <w:tcPr>
            <w:tcW w:w="7933" w:type="dxa"/>
            <w:shd w:val="clear" w:color="auto" w:fill="E7E6E6" w:themeFill="background2"/>
          </w:tcPr>
          <w:p>
            <w:pPr>
              <w:jc w:val="center"/>
              <w:rPr>
                <w:rFonts w:eastAsia="Calibri"/>
                <w:b/>
                <w:bCs/>
                <w:lang w:val="en-GB"/>
              </w:rPr>
            </w:pPr>
            <w:r>
              <w:rPr>
                <w:rFonts w:eastAsia="Calibri"/>
                <w:b/>
                <w:bCs/>
                <w:lang w:val="en-GB"/>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Yu Mincho"/>
                <w:lang w:val="en-GB"/>
              </w:rPr>
            </w:pPr>
            <w:r>
              <w:rPr>
                <w:rFonts w:hint="eastAsia" w:eastAsia="Yu Mincho"/>
                <w:lang w:val="en-GB"/>
              </w:rPr>
              <w:t>NTT DOCOMO</w:t>
            </w:r>
          </w:p>
        </w:tc>
        <w:tc>
          <w:tcPr>
            <w:tcW w:w="7933" w:type="dxa"/>
          </w:tcPr>
          <w:p>
            <w:pPr>
              <w:rPr>
                <w:rFonts w:eastAsia="Yu Mincho"/>
                <w:lang w:val="en-GB"/>
              </w:rPr>
            </w:pPr>
            <w:r>
              <w:rPr>
                <w:rFonts w:hint="eastAsia" w:eastAsia="Yu Mincho"/>
                <w:lang w:val="en-GB"/>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Intel</w:t>
            </w:r>
          </w:p>
        </w:tc>
        <w:tc>
          <w:tcPr>
            <w:tcW w:w="7933" w:type="dxa"/>
          </w:tcPr>
          <w:p>
            <w:pPr>
              <w:rPr>
                <w:rFonts w:eastAsia="Calibri"/>
                <w:lang w:val="en-GB"/>
              </w:rPr>
            </w:pPr>
            <w:r>
              <w:rPr>
                <w:rFonts w:eastAsia="Calibri"/>
                <w:lang w:val="en-GB"/>
              </w:rPr>
              <w:t>Agree. There seems no essential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v</w:t>
            </w:r>
            <w:r>
              <w:rPr>
                <w:rFonts w:eastAsia="等线"/>
                <w:lang w:val="en-GB"/>
              </w:rPr>
              <w:t>ivo</w:t>
            </w:r>
          </w:p>
        </w:tc>
        <w:tc>
          <w:tcPr>
            <w:tcW w:w="7933" w:type="dxa"/>
          </w:tcPr>
          <w:p>
            <w:pPr>
              <w:rPr>
                <w:rFonts w:eastAsia="Calibri"/>
                <w:lang w:val="en-GB"/>
              </w:rPr>
            </w:pPr>
            <w:r>
              <w:rPr>
                <w:rFonts w:eastAsia="等线"/>
                <w:lang w:val="en-GB"/>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O</w:t>
            </w:r>
            <w:r>
              <w:rPr>
                <w:rFonts w:eastAsia="等线"/>
                <w:lang w:val="en-GB"/>
              </w:rPr>
              <w:t>PPO</w:t>
            </w:r>
          </w:p>
        </w:tc>
        <w:tc>
          <w:tcPr>
            <w:tcW w:w="7933" w:type="dxa"/>
          </w:tcPr>
          <w:p>
            <w:pPr>
              <w:rPr>
                <w:rFonts w:eastAsia="Calibri"/>
                <w:lang w:val="en-GB"/>
              </w:rPr>
            </w:pPr>
            <w:r>
              <w:rPr>
                <w:rFonts w:eastAsia="等线"/>
                <w:lang w:val="en-GB"/>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Theme="minorEastAsia"/>
                <w:lang w:val="en-GB"/>
              </w:rPr>
              <w:t>L</w:t>
            </w:r>
            <w:r>
              <w:rPr>
                <w:rFonts w:eastAsiaTheme="minorEastAsia"/>
                <w:lang w:val="en-GB"/>
              </w:rPr>
              <w:t>G Electronics</w:t>
            </w:r>
          </w:p>
        </w:tc>
        <w:tc>
          <w:tcPr>
            <w:tcW w:w="7933" w:type="dxa"/>
          </w:tcPr>
          <w:p>
            <w:pPr>
              <w:rPr>
                <w:rFonts w:eastAsia="Calibri"/>
                <w:lang w:val="en-GB"/>
              </w:rPr>
            </w:pPr>
            <w:r>
              <w:rPr>
                <w:rFonts w:eastAsiaTheme="minorEastAsia"/>
                <w:lang w:val="en-GB"/>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ZTE, Sanechips</w:t>
            </w:r>
          </w:p>
        </w:tc>
        <w:tc>
          <w:tcPr>
            <w:tcW w:w="7933" w:type="dxa"/>
          </w:tcPr>
          <w:p>
            <w:pPr>
              <w:rPr>
                <w:rFonts w:eastAsia="Calibri"/>
                <w:lang w:val="en-GB"/>
              </w:rPr>
            </w:pPr>
            <w:r>
              <w:rPr>
                <w:rFonts w:eastAsia="Calibri"/>
                <w:lang w:val="en-GB"/>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S</w:t>
            </w:r>
            <w:r>
              <w:rPr>
                <w:rFonts w:eastAsia="等线"/>
                <w:lang w:val="en-GB"/>
              </w:rPr>
              <w:t>harp</w:t>
            </w:r>
          </w:p>
        </w:tc>
        <w:tc>
          <w:tcPr>
            <w:tcW w:w="7933" w:type="dxa"/>
          </w:tcPr>
          <w:p>
            <w:pPr>
              <w:rPr>
                <w:rFonts w:eastAsia="Calibri"/>
                <w:lang w:val="en-GB"/>
              </w:rPr>
            </w:pPr>
            <w:r>
              <w:rPr>
                <w:rFonts w:hint="eastAsia" w:eastAsia="等线"/>
                <w:lang w:val="en-GB"/>
              </w:rPr>
              <w:t>A</w:t>
            </w:r>
            <w:r>
              <w:rPr>
                <w:rFonts w:eastAsia="等线"/>
                <w:lang w:val="en-GB"/>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Qualcomm</w:t>
            </w:r>
          </w:p>
        </w:tc>
        <w:tc>
          <w:tcPr>
            <w:tcW w:w="7933" w:type="dxa"/>
          </w:tcPr>
          <w:p>
            <w:pPr>
              <w:rPr>
                <w:rFonts w:eastAsia="Calibri"/>
                <w:lang w:val="en-GB"/>
              </w:rPr>
            </w:pPr>
            <w:r>
              <w:rPr>
                <w:rFonts w:eastAsia="Calibri"/>
                <w:lang w:val="en-GB"/>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C</w:t>
            </w:r>
            <w:r>
              <w:rPr>
                <w:rFonts w:eastAsia="等线"/>
                <w:lang w:val="en-GB"/>
              </w:rPr>
              <w:t>MCC</w:t>
            </w:r>
          </w:p>
        </w:tc>
        <w:tc>
          <w:tcPr>
            <w:tcW w:w="7933" w:type="dxa"/>
          </w:tcPr>
          <w:p>
            <w:pPr>
              <w:rPr>
                <w:rFonts w:eastAsia="Calibri"/>
                <w:lang w:val="en-GB"/>
              </w:rPr>
            </w:pPr>
            <w:r>
              <w:rPr>
                <w:rFonts w:hint="eastAsia" w:eastAsia="等线"/>
                <w:lang w:val="en-GB"/>
              </w:rPr>
              <w:t>A</w:t>
            </w:r>
            <w:r>
              <w:rPr>
                <w:rFonts w:eastAsia="等线"/>
                <w:lang w:val="en-GB"/>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F</w:t>
            </w:r>
            <w:r>
              <w:rPr>
                <w:rFonts w:eastAsia="等线"/>
                <w:lang w:val="en-GB"/>
              </w:rPr>
              <w:t>ujitsu</w:t>
            </w:r>
          </w:p>
        </w:tc>
        <w:tc>
          <w:tcPr>
            <w:tcW w:w="7933" w:type="dxa"/>
          </w:tcPr>
          <w:p>
            <w:pPr>
              <w:rPr>
                <w:rFonts w:eastAsia="Calibri"/>
                <w:lang w:val="en-GB"/>
              </w:rPr>
            </w:pPr>
            <w:r>
              <w:rPr>
                <w:rFonts w:hint="eastAsia" w:eastAsia="等线"/>
                <w:lang w:val="en-GB"/>
              </w:rPr>
              <w:t>A</w:t>
            </w:r>
            <w:r>
              <w:rPr>
                <w:rFonts w:eastAsia="等线"/>
                <w:lang w:val="en-GB"/>
              </w:rPr>
              <w:t>gee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CATT</w:t>
            </w:r>
          </w:p>
        </w:tc>
        <w:tc>
          <w:tcPr>
            <w:tcW w:w="7933" w:type="dxa"/>
          </w:tcPr>
          <w:p>
            <w:pPr>
              <w:rPr>
                <w:rFonts w:eastAsia="Calibri"/>
                <w:lang w:val="en-GB"/>
              </w:rPr>
            </w:pPr>
            <w:r>
              <w:rPr>
                <w:rFonts w:hint="eastAsia" w:eastAsia="等线"/>
                <w:lang w:val="en-GB"/>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Huawei, HiSilicon</w:t>
            </w:r>
          </w:p>
        </w:tc>
        <w:tc>
          <w:tcPr>
            <w:tcW w:w="7933" w:type="dxa"/>
          </w:tcPr>
          <w:p>
            <w:pPr>
              <w:rPr>
                <w:rFonts w:eastAsia="等线"/>
                <w:lang w:val="en-GB"/>
              </w:rPr>
            </w:pPr>
            <w:r>
              <w:rPr>
                <w:rFonts w:hint="eastAsia" w:eastAsia="等线"/>
                <w:lang w:val="en-GB"/>
              </w:rPr>
              <w:t>A</w:t>
            </w:r>
            <w:r>
              <w:rPr>
                <w:rFonts w:eastAsia="等线"/>
                <w:lang w:val="en-GB"/>
              </w:rPr>
              <w:t xml:space="preserve">gree. </w:t>
            </w:r>
          </w:p>
          <w:p>
            <w:pPr>
              <w:rPr>
                <w:rFonts w:eastAsia="Calibri"/>
                <w:lang w:val="en-GB"/>
              </w:rPr>
            </w:pPr>
            <w:r>
              <w:rPr>
                <w:rFonts w:eastAsia="等线"/>
                <w:lang w:val="en-GB"/>
              </w:rPr>
              <w:t>The processing time for CG type 2 should be the same as dynamic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hint="eastAsia" w:eastAsia="等线"/>
                <w:lang w:val="en-GB"/>
              </w:rPr>
              <w:t>S</w:t>
            </w:r>
            <w:r>
              <w:rPr>
                <w:rFonts w:eastAsia="等线"/>
                <w:lang w:val="en-GB"/>
              </w:rPr>
              <w:t>amsung</w:t>
            </w:r>
          </w:p>
        </w:tc>
        <w:tc>
          <w:tcPr>
            <w:tcW w:w="7933" w:type="dxa"/>
          </w:tcPr>
          <w:p>
            <w:pPr>
              <w:rPr>
                <w:rFonts w:eastAsia="等线"/>
                <w:lang w:val="en-GB"/>
              </w:rPr>
            </w:pPr>
            <w:r>
              <w:rPr>
                <w:rFonts w:hint="eastAsia" w:eastAsia="等线"/>
                <w:lang w:val="en-GB"/>
              </w:rPr>
              <w:t>A</w:t>
            </w:r>
            <w:r>
              <w:rPr>
                <w:rFonts w:eastAsia="等线"/>
                <w:lang w:val="en-GB"/>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eastAsia="等线"/>
                <w:lang w:val="en-GB"/>
              </w:rPr>
              <w:t>Ericsson</w:t>
            </w:r>
          </w:p>
        </w:tc>
        <w:tc>
          <w:tcPr>
            <w:tcW w:w="7933" w:type="dxa"/>
          </w:tcPr>
          <w:p>
            <w:pPr>
              <w:rPr>
                <w:rFonts w:eastAsia="等线"/>
                <w:lang w:val="en-GB"/>
              </w:rPr>
            </w:pPr>
            <w:r>
              <w:rPr>
                <w:rFonts w:eastAsia="等线"/>
                <w:lang w:val="en-GB"/>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eastAsia="等线"/>
                <w:lang w:val="en-GB"/>
              </w:rPr>
              <w:t>Futurewei</w:t>
            </w:r>
          </w:p>
        </w:tc>
        <w:tc>
          <w:tcPr>
            <w:tcW w:w="7933" w:type="dxa"/>
          </w:tcPr>
          <w:p>
            <w:pPr>
              <w:rPr>
                <w:rFonts w:eastAsia="等线"/>
                <w:lang w:val="en-GB"/>
              </w:rPr>
            </w:pPr>
            <w:r>
              <w:rPr>
                <w:rFonts w:eastAsia="等线"/>
                <w:lang w:val="en-GB"/>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rPr>
            </w:pPr>
            <w:r>
              <w:rPr>
                <w:rFonts w:eastAsia="等线"/>
              </w:rPr>
              <w:t>Nokia, NSB</w:t>
            </w:r>
          </w:p>
        </w:tc>
        <w:tc>
          <w:tcPr>
            <w:tcW w:w="7933" w:type="dxa"/>
          </w:tcPr>
          <w:p>
            <w:pPr>
              <w:rPr>
                <w:rFonts w:eastAsia="等线"/>
              </w:rPr>
            </w:pPr>
            <w:r>
              <w:rPr>
                <w:rFonts w:eastAsia="等线"/>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rPr>
            </w:pPr>
            <w:r>
              <w:rPr>
                <w:rFonts w:eastAsia="等线"/>
              </w:rPr>
              <w:t>Apple</w:t>
            </w:r>
          </w:p>
        </w:tc>
        <w:tc>
          <w:tcPr>
            <w:tcW w:w="7933" w:type="dxa"/>
          </w:tcPr>
          <w:p>
            <w:pPr>
              <w:rPr>
                <w:rFonts w:eastAsia="等线"/>
              </w:rPr>
            </w:pPr>
            <w:r>
              <w:rPr>
                <w:rFonts w:eastAsia="等线"/>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rPr>
            </w:pPr>
            <w:r>
              <w:rPr>
                <w:rFonts w:hint="eastAsia" w:eastAsia="等线"/>
                <w:lang w:val="en-GB"/>
              </w:rPr>
              <w:t>Spreadtrum</w:t>
            </w:r>
          </w:p>
        </w:tc>
        <w:tc>
          <w:tcPr>
            <w:tcW w:w="7933" w:type="dxa"/>
          </w:tcPr>
          <w:p>
            <w:pPr>
              <w:rPr>
                <w:rFonts w:eastAsia="等线"/>
              </w:rPr>
            </w:pPr>
            <w:r>
              <w:rPr>
                <w:rFonts w:hint="eastAsia" w:eastAsia="等线"/>
                <w:lang w:val="en-GB"/>
              </w:rPr>
              <w:t>Agree</w:t>
            </w:r>
          </w:p>
        </w:tc>
      </w:tr>
    </w:tbl>
    <w:p>
      <w:pPr>
        <w:rPr>
          <w:lang w:val="en-GB"/>
        </w:rPr>
      </w:pPr>
    </w:p>
    <w:p>
      <w:pPr>
        <w:pStyle w:val="4"/>
        <w:ind w:left="0" w:firstLine="0"/>
      </w:pPr>
    </w:p>
    <w:p>
      <w:pPr>
        <w:pStyle w:val="4"/>
        <w:ind w:left="0" w:firstLine="0"/>
      </w:pPr>
    </w:p>
    <w:p>
      <w:pPr>
        <w:pStyle w:val="4"/>
        <w:ind w:left="0" w:firstLine="0"/>
      </w:pPr>
      <w:r>
        <w:t>Issue 1.4-2</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7E6E6" w:themeFill="background2"/>
          </w:tcPr>
          <w:p>
            <w:pPr>
              <w:jc w:val="center"/>
              <w:rPr>
                <w:rFonts w:eastAsia="Calibri"/>
                <w:b/>
                <w:bCs/>
                <w:lang w:val="en-GB"/>
              </w:rPr>
            </w:pPr>
            <w:r>
              <w:rPr>
                <w:rFonts w:eastAsia="Calibri"/>
                <w:b/>
                <w:bCs/>
                <w:lang w:val="en-GB"/>
              </w:rPr>
              <w:t>Company</w:t>
            </w:r>
          </w:p>
        </w:tc>
        <w:tc>
          <w:tcPr>
            <w:tcW w:w="7933" w:type="dxa"/>
            <w:shd w:val="clear" w:color="auto" w:fill="E7E6E6" w:themeFill="background2"/>
          </w:tcPr>
          <w:p>
            <w:pPr>
              <w:jc w:val="center"/>
              <w:rPr>
                <w:rFonts w:eastAsia="Calibri"/>
                <w:b/>
                <w:bCs/>
                <w:lang w:val="en-GB"/>
              </w:rPr>
            </w:pPr>
            <w:r>
              <w:rPr>
                <w:rFonts w:eastAsia="Calibri"/>
                <w:b/>
                <w:bCs/>
                <w:lang w:val="en-GB"/>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Yu Mincho"/>
                <w:lang w:val="en-GB"/>
              </w:rPr>
            </w:pPr>
            <w:r>
              <w:rPr>
                <w:rFonts w:hint="eastAsia" w:eastAsia="Yu Mincho"/>
                <w:lang w:val="en-GB"/>
              </w:rPr>
              <w:t>NTT DOCOMO</w:t>
            </w:r>
          </w:p>
        </w:tc>
        <w:tc>
          <w:tcPr>
            <w:tcW w:w="7933" w:type="dxa"/>
          </w:tcPr>
          <w:p>
            <w:pPr>
              <w:rPr>
                <w:rFonts w:eastAsia="Yu Mincho"/>
                <w:lang w:val="en-GB"/>
              </w:rPr>
            </w:pPr>
            <w:r>
              <w:rPr>
                <w:rFonts w:hint="eastAsia" w:eastAsia="Yu Mincho"/>
                <w:lang w:val="en-GB"/>
              </w:rPr>
              <w:t>Option A</w:t>
            </w:r>
          </w:p>
          <w:p>
            <w:pPr>
              <w:rPr>
                <w:rFonts w:eastAsia="Yu Mincho"/>
                <w:lang w:val="en-GB"/>
              </w:rPr>
            </w:pPr>
            <w:r>
              <w:rPr>
                <w:rFonts w:eastAsia="Yu Mincho"/>
                <w:color w:val="0070C0"/>
                <w:lang w:val="en-GB"/>
              </w:rPr>
              <w:t>[DCM2]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Intel</w:t>
            </w:r>
          </w:p>
        </w:tc>
        <w:tc>
          <w:tcPr>
            <w:tcW w:w="7933" w:type="dxa"/>
          </w:tcPr>
          <w:p>
            <w:pPr>
              <w:rPr>
                <w:rFonts w:eastAsia="Calibri"/>
                <w:lang w:val="en-GB"/>
              </w:rPr>
            </w:pPr>
            <w:r>
              <w:rPr>
                <w:rFonts w:eastAsia="Calibri"/>
                <w:lang w:val="en-GB"/>
              </w:rPr>
              <w:t>Option A.</w:t>
            </w:r>
          </w:p>
          <w:p>
            <w:pPr>
              <w:rPr>
                <w:rFonts w:eastAsia="Calibri"/>
                <w:lang w:val="en-GB"/>
              </w:rPr>
            </w:pPr>
            <w:r>
              <w:rPr>
                <w:rFonts w:eastAsia="Calibri"/>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pPr>
              <w:rPr>
                <w:rFonts w:eastAsia="Calibri"/>
                <w:lang w:val="en-GB"/>
              </w:rPr>
            </w:pPr>
            <w:r>
              <w:rPr>
                <w:rFonts w:eastAsia="Calibri"/>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pPr>
              <w:rPr>
                <w:rFonts w:eastAsia="Calibri"/>
                <w:color w:val="4472C4" w:themeColor="accent1"/>
                <w:lang w:val="en-GB"/>
                <w14:textFill>
                  <w14:solidFill>
                    <w14:schemeClr w14:val="accent1"/>
                  </w14:solidFill>
                </w14:textFill>
              </w:rPr>
            </w:pPr>
            <w:r>
              <w:rPr>
                <w:rFonts w:eastAsia="Calibri"/>
                <w:color w:val="4472C4" w:themeColor="accent1"/>
                <w:lang w:val="en-GB"/>
                <w14:textFill>
                  <w14:solidFill>
                    <w14:schemeClr w14:val="accent1"/>
                  </w14:solidFill>
                </w14:textFill>
              </w:rPr>
              <w:t>[Intel2] Agree with the direction. However, we think the processing time value needs better reference. In our understanding, T</w:t>
            </w:r>
            <w:r>
              <w:rPr>
                <w:rFonts w:eastAsia="Calibri"/>
                <w:color w:val="4472C4" w:themeColor="accent1"/>
                <w:u w:val="single"/>
                <w:lang w:val="en-GB"/>
                <w14:textFill>
                  <w14:solidFill>
                    <w14:schemeClr w14:val="accent1"/>
                  </w14:solidFill>
                </w14:textFill>
              </w:rPr>
              <w:t>proc</w:t>
            </w:r>
            <w:r>
              <w:rPr>
                <w:rFonts w:eastAsia="Calibri"/>
                <w:color w:val="4472C4" w:themeColor="accent1"/>
                <w:lang w:val="en-GB"/>
                <w14:textFill>
                  <w14:solidFill>
                    <w14:schemeClr w14:val="accent1"/>
                  </w14:solidFill>
                </w14:textFill>
              </w:rPr>
              <w:t xml:space="preserve"> refer to DCI-to-SL-tx time, while a more suitable value is actually T</w:t>
            </w:r>
            <w:r>
              <w:rPr>
                <w:rFonts w:eastAsia="Calibri"/>
                <w:color w:val="4472C4" w:themeColor="accent1"/>
                <w:u w:val="single"/>
                <w:lang w:val="en-GB"/>
                <w14:textFill>
                  <w14:solidFill>
                    <w14:schemeClr w14:val="accent1"/>
                  </w14:solidFill>
                </w14:textFill>
              </w:rPr>
              <w:t>prep</w:t>
            </w:r>
            <w:r>
              <w:rPr>
                <w:rFonts w:eastAsia="Calibri"/>
                <w:color w:val="4472C4" w:themeColor="accent1"/>
                <w:lang w:val="en-GB"/>
                <w14:textFill>
                  <w14:solidFill>
                    <w14:schemeClr w14:val="accent1"/>
                  </w14:solidFill>
                </w14:textFill>
              </w:rPr>
              <w:t xml:space="preserve"> which is the PSFCH-to-PUCCH time. Currently it does not have a name in spec, but can be found in 38.213, section 16.5.</w:t>
            </w:r>
          </w:p>
          <w:p>
            <w:pPr>
              <w:rPr>
                <w:rFonts w:eastAsia="Calibri"/>
                <w:color w:val="4472C4" w:themeColor="accent1"/>
                <w:lang w:val="en-GB"/>
                <w14:textFill>
                  <w14:solidFill>
                    <w14:schemeClr w14:val="accent1"/>
                  </w14:solidFill>
                </w14:textFill>
              </w:rPr>
            </w:pPr>
            <w:r>
              <w:rPr>
                <w:rFonts w:eastAsia="Calibri"/>
                <w:color w:val="4472C4" w:themeColor="accent1"/>
                <w:lang w:val="en-GB"/>
                <w14:textFill>
                  <w14:solidFill>
                    <w14:schemeClr w14:val="accent1"/>
                  </w14:solidFill>
                </w14:textFill>
              </w:rPr>
              <w:t>In this case, PSFCH processing is accounted already in Tprep. The only difference is in preparation of PSCCH+PSSCH vs PUCCH. This difference may be ignored, or accounted as additional margin.</w:t>
            </w:r>
          </w:p>
          <w:p>
            <w:pPr>
              <w:rPr>
                <w:rFonts w:eastAsia="Calibri"/>
                <w:lang w:val="en-GB"/>
              </w:rPr>
            </w:pPr>
            <w:r>
              <w:rPr>
                <w:rFonts w:eastAsia="Calibri"/>
                <w:color w:val="4472C4" w:themeColor="accent1"/>
                <w:lang w:val="en-GB"/>
                <w14:textFill>
                  <w14:solidFill>
                    <w14:schemeClr w14:val="accent1"/>
                  </w14:solidFill>
                </w14:textFill>
              </w:rPr>
              <w:t>Further, besides the definition of ‘b’, the specification needs to state that UE does not expect a schedule from gNB violating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v</w:t>
            </w:r>
            <w:r>
              <w:rPr>
                <w:rFonts w:eastAsia="等线"/>
                <w:lang w:val="en-GB"/>
              </w:rPr>
              <w:t>ivo</w:t>
            </w:r>
          </w:p>
        </w:tc>
        <w:tc>
          <w:tcPr>
            <w:tcW w:w="7933" w:type="dxa"/>
          </w:tcPr>
          <w:p>
            <w:pPr>
              <w:rPr>
                <w:rFonts w:eastAsia="Yu Mincho"/>
                <w:lang w:val="en-GB"/>
              </w:rPr>
            </w:pPr>
            <w:r>
              <w:rPr>
                <w:rFonts w:hint="eastAsia" w:eastAsia="Yu Mincho"/>
                <w:lang w:val="en-GB"/>
              </w:rPr>
              <w:t>Option A</w:t>
            </w:r>
            <w:r>
              <w:rPr>
                <w:rFonts w:eastAsia="Yu Mincho"/>
                <w:lang w:val="en-GB"/>
              </w:rPr>
              <w:t>.</w:t>
            </w:r>
          </w:p>
          <w:p>
            <w:pPr>
              <w:rPr>
                <w:rFonts w:eastAsia="Calibri"/>
                <w:lang w:val="en-GB"/>
              </w:rPr>
            </w:pPr>
            <w:r>
              <w:rPr>
                <w:rFonts w:eastAsia="等线"/>
                <w:lang w:val="en-GB"/>
              </w:rPr>
              <w:t xml:space="preserve">We share the same view as intel that </w:t>
            </w:r>
            <w:r>
              <w:rPr>
                <w:rFonts w:eastAsia="Calibri"/>
                <w:lang w:val="en-GB"/>
              </w:rPr>
              <w:t>a mix of blind and feedback-based retransmissions should be avoided in mode-1. If the time gap between two adjacent resources provided by a DG/CG is less than ‘a+b’, UE shall map non-HARQ-feedback based MAC PDU on the resources. In this case, UE shall set the ‘SL HARQ enable/disable’ indication in SCI on these resources to ‘disable’, and UE is not expected to be provided with a PUCCH by the DG/CG as there is no associated PSFCH reception.</w:t>
            </w:r>
          </w:p>
          <w:p>
            <w:pPr>
              <w:rPr>
                <w:rFonts w:eastAsia="等线"/>
                <w:color w:val="7030A0"/>
                <w:lang w:val="en-GB"/>
              </w:rPr>
            </w:pPr>
            <w:r>
              <w:rPr>
                <w:rFonts w:hint="eastAsia" w:eastAsia="等线"/>
                <w:color w:val="7030A0"/>
                <w:lang w:val="en-GB"/>
              </w:rPr>
              <w:t>[vivo</w:t>
            </w:r>
            <w:r>
              <w:rPr>
                <w:rFonts w:eastAsia="等线"/>
                <w:color w:val="7030A0"/>
                <w:lang w:val="en-GB"/>
              </w:rPr>
              <w:t>-2</w:t>
            </w:r>
            <w:r>
              <w:rPr>
                <w:rFonts w:hint="eastAsia" w:eastAsia="等线"/>
                <w:color w:val="7030A0"/>
                <w:lang w:val="en-GB"/>
              </w:rPr>
              <w:t>]</w:t>
            </w:r>
            <w:r>
              <w:rPr>
                <w:rFonts w:eastAsia="等线"/>
                <w:color w:val="7030A0"/>
                <w:lang w:val="en-GB"/>
              </w:rPr>
              <w:t xml:space="preserve"> Regarding </w:t>
            </w:r>
            <w:r>
              <w:rPr>
                <w:rFonts w:hint="eastAsia" w:eastAsia="等线"/>
                <w:color w:val="7030A0"/>
                <w:lang w:val="en-GB"/>
              </w:rPr>
              <w:t>the</w:t>
            </w:r>
            <w:r>
              <w:rPr>
                <w:rFonts w:eastAsia="等线"/>
                <w:color w:val="7030A0"/>
                <w:lang w:val="en-GB"/>
              </w:rPr>
              <w:t xml:space="preserve"> question:</w:t>
            </w:r>
            <w:r>
              <w:rPr>
                <w:rFonts w:eastAsia="Calibri"/>
                <w:b/>
                <w:bCs/>
                <w:lang w:val="en-GB"/>
              </w:rPr>
              <w:t xml:space="preserve"> How should the UE proceed if the time between the last PSFCH reception and the SL HARQ report to the gNB is smaller than the processing time at the UE</w:t>
            </w:r>
            <w:r>
              <w:rPr>
                <w:rFonts w:eastAsia="等线"/>
                <w:color w:val="7030A0"/>
                <w:lang w:val="en-GB"/>
              </w:rPr>
              <w:t>, I think this issue can be avoided by NW proper scheduling. For example, even for the async case where NW has no SL timing, NW can provide a conservative K1 so that the gap between PSFCH and PUCCH is always equal or larger than the minimum requirement. We don’t think additional rules are needed for UE side.</w:t>
            </w:r>
          </w:p>
          <w:p>
            <w:pPr>
              <w:rPr>
                <w:rFonts w:eastAsia="等线"/>
                <w:color w:val="7F7F7F" w:themeColor="background1" w:themeShade="80"/>
                <w:lang w:val="en-GB"/>
              </w:rPr>
            </w:pPr>
            <w:r>
              <w:rPr>
                <w:rFonts w:hint="eastAsia" w:eastAsia="等线"/>
                <w:color w:val="7F7F7F" w:themeColor="background1" w:themeShade="80"/>
                <w:lang w:val="en-GB"/>
              </w:rPr>
              <w:t>[vivo</w:t>
            </w:r>
            <w:r>
              <w:rPr>
                <w:rFonts w:eastAsia="等线"/>
                <w:color w:val="7F7F7F" w:themeColor="background1" w:themeShade="80"/>
                <w:lang w:val="en-GB"/>
              </w:rPr>
              <w:t>-2020/08/20</w:t>
            </w:r>
            <w:r>
              <w:rPr>
                <w:rFonts w:hint="eastAsia" w:eastAsia="等线"/>
                <w:color w:val="7F7F7F" w:themeColor="background1" w:themeShade="80"/>
                <w:lang w:val="en-GB"/>
              </w:rPr>
              <w:t>]</w:t>
            </w:r>
          </w:p>
          <w:p>
            <w:pPr>
              <w:rPr>
                <w:rFonts w:eastAsia="Calibri"/>
                <w:lang w:val="en-GB"/>
              </w:rPr>
            </w:pPr>
            <w:r>
              <w:rPr>
                <w:rFonts w:eastAsia="等线"/>
                <w:color w:val="7F7F7F" w:themeColor="background1" w:themeShade="80"/>
                <w:lang w:val="en-GB"/>
              </w:rPr>
              <w:t>Same view as intel that it is more appropriate to use Tprep as the upper limit of b. RAN1 also needs to specify that UE is not expected to be provided a grant violating a+</w:t>
            </w:r>
            <w:r>
              <w:rPr>
                <w:rFonts w:hint="eastAsia" w:eastAsia="等线"/>
                <w:color w:val="7F7F7F" w:themeColor="background1" w:themeShade="80"/>
                <w:lang w:val="en-GB"/>
              </w:rPr>
              <w:t>b</w:t>
            </w:r>
            <w:r>
              <w:rPr>
                <w:rFonts w:eastAsia="等线"/>
                <w:color w:val="7F7F7F" w:themeColor="background1" w:themeShade="80"/>
                <w:lang w:val="en-GB"/>
              </w:rPr>
              <w:t xml:space="preserve"> if the grant is accompanied with a PUCCH. In other words, if the gap between two adjacent resources provided by a CG/DG is smaller than a+b </w:t>
            </w:r>
            <w:r>
              <w:rPr>
                <w:rFonts w:hint="eastAsia" w:eastAsia="等线"/>
                <w:color w:val="7F7F7F" w:themeColor="background1" w:themeShade="80"/>
                <w:lang w:val="en-GB"/>
              </w:rPr>
              <w:t>then</w:t>
            </w:r>
            <w:r>
              <w:rPr>
                <w:rFonts w:eastAsia="等线"/>
                <w:color w:val="7F7F7F" w:themeColor="background1" w:themeShade="80"/>
                <w:lang w:val="en-GB"/>
              </w:rPr>
              <w:t xml:space="preserve"> PUCCH </w:t>
            </w:r>
            <w:r>
              <w:rPr>
                <w:rFonts w:hint="eastAsia" w:eastAsia="等线"/>
                <w:color w:val="7F7F7F" w:themeColor="background1" w:themeShade="80"/>
                <w:lang w:val="en-GB"/>
              </w:rPr>
              <w:t>should</w:t>
            </w:r>
            <w:r>
              <w:rPr>
                <w:rFonts w:eastAsia="等线"/>
                <w:color w:val="7F7F7F" w:themeColor="background1" w:themeShade="80"/>
                <w:lang w:val="en-GB"/>
              </w:rPr>
              <w:t xml:space="preserve"> not be </w:t>
            </w:r>
            <w:r>
              <w:rPr>
                <w:rFonts w:hint="eastAsia" w:eastAsia="等线"/>
                <w:color w:val="7F7F7F" w:themeColor="background1" w:themeShade="80"/>
                <w:lang w:val="en-GB"/>
              </w:rPr>
              <w:t>configured</w:t>
            </w:r>
            <w:r>
              <w:rPr>
                <w:rFonts w:eastAsia="等线"/>
                <w:color w:val="7F7F7F" w:themeColor="background1" w:themeShade="80"/>
                <w:lang w:val="en-GB"/>
              </w:rPr>
              <w:t>/provided.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O</w:t>
            </w:r>
            <w:r>
              <w:rPr>
                <w:rFonts w:eastAsia="等线"/>
                <w:lang w:val="en-GB"/>
              </w:rPr>
              <w:t>PPO</w:t>
            </w:r>
          </w:p>
        </w:tc>
        <w:tc>
          <w:tcPr>
            <w:tcW w:w="7933" w:type="dxa"/>
          </w:tcPr>
          <w:p>
            <w:pPr>
              <w:rPr>
                <w:rFonts w:eastAsia="等线"/>
                <w:lang w:val="en-GB"/>
              </w:rPr>
            </w:pPr>
            <w:r>
              <w:rPr>
                <w:rFonts w:hint="eastAsia" w:eastAsia="等线"/>
                <w:lang w:val="en-GB"/>
              </w:rPr>
              <w:t>O</w:t>
            </w:r>
            <w:r>
              <w:rPr>
                <w:rFonts w:eastAsia="等线"/>
                <w:lang w:val="en-GB"/>
              </w:rPr>
              <w:t>ption B</w:t>
            </w:r>
          </w:p>
          <w:p>
            <w:pPr>
              <w:rPr>
                <w:rFonts w:eastAsia="等线"/>
                <w:lang w:val="en-GB"/>
              </w:rPr>
            </w:pPr>
            <w:r>
              <w:rPr>
                <w:rFonts w:hint="eastAsia" w:eastAsia="等线"/>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pPr>
              <w:rPr>
                <w:rFonts w:eastAsia="等线"/>
                <w:lang w:val="en-GB"/>
              </w:rPr>
            </w:pPr>
            <w:r>
              <w:rPr>
                <w:rFonts w:hint="eastAsia" w:eastAsia="等线"/>
                <w:lang w:val="en-GB"/>
              </w:rPr>
              <w:t>g</w:t>
            </w:r>
            <w:r>
              <w:rPr>
                <w:rFonts w:eastAsia="等线"/>
                <w:lang w:val="en-GB"/>
              </w:rPr>
              <w:t xml:space="preserve">NB can allocate the resource of PUCCH which has enough timing gap between the last PSFCH and PUCCH. </w:t>
            </w:r>
          </w:p>
          <w:p>
            <w:pPr>
              <w:rPr>
                <w:rFonts w:eastAsia="等线"/>
                <w:lang w:val="en-GB"/>
              </w:rPr>
            </w:pPr>
          </w:p>
          <w:p>
            <w:pPr>
              <w:rPr>
                <w:rFonts w:eastAsia="等线"/>
                <w:lang w:val="en-GB"/>
              </w:rPr>
            </w:pPr>
          </w:p>
          <w:p>
            <w:pPr>
              <w:rPr>
                <w:rFonts w:eastAsia="Calibri"/>
                <w:highlight w:val="green"/>
              </w:rPr>
            </w:pPr>
            <w:r>
              <w:rPr>
                <w:rFonts w:eastAsia="Calibri"/>
                <w:highlight w:val="green"/>
              </w:rPr>
              <w:t>Agreements:</w:t>
            </w:r>
          </w:p>
          <w:p>
            <w:pPr>
              <w:numPr>
                <w:ilvl w:val="0"/>
                <w:numId w:val="45"/>
              </w:numPr>
              <w:ind w:hanging="357"/>
              <w:rPr>
                <w:rFonts w:ascii="宋体" w:hAnsi="宋体" w:eastAsia="Calibri"/>
                <w:lang w:val="en-GB"/>
              </w:rPr>
            </w:pPr>
            <w:r>
              <w:rPr>
                <w:rFonts w:hint="eastAsia" w:eastAsia="Calibri"/>
                <w:szCs w:val="20"/>
                <w:lang w:val="en-GB"/>
              </w:rPr>
              <w:t xml:space="preserve">In Step 2, a UE ensures a minimum time gap Z = a + b between any two selected resources of a TB where a HARQ feedback for the first of these resources is expected </w:t>
            </w:r>
          </w:p>
          <w:p>
            <w:pPr>
              <w:numPr>
                <w:ilvl w:val="1"/>
                <w:numId w:val="45"/>
              </w:numPr>
              <w:ind w:hanging="357"/>
              <w:rPr>
                <w:rFonts w:eastAsia="Calibri"/>
                <w:lang w:val="en-GB"/>
              </w:rPr>
            </w:pPr>
            <w:r>
              <w:rPr>
                <w:rFonts w:hint="eastAsia" w:eastAsia="Calibri"/>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Pr>
                <w:rFonts w:hint="eastAsia" w:eastAsia="Calibri"/>
                <w:i/>
                <w:iCs/>
                <w:szCs w:val="20"/>
                <w:lang w:val="en-GB"/>
              </w:rPr>
              <w:t xml:space="preserve">MinTimeGapPSFCH </w:t>
            </w:r>
            <w:r>
              <w:rPr>
                <w:rFonts w:hint="eastAsia" w:eastAsia="Calibri"/>
                <w:szCs w:val="20"/>
                <w:lang w:val="en-GB"/>
              </w:rPr>
              <w:t xml:space="preserve">and </w:t>
            </w:r>
            <w:r>
              <w:rPr>
                <w:rFonts w:hint="eastAsia" w:eastAsia="Calibri"/>
                <w:i/>
                <w:iCs/>
                <w:szCs w:val="20"/>
                <w:lang w:val="en-GB"/>
              </w:rPr>
              <w:t>periodPSFCHresource</w:t>
            </w:r>
            <w:r>
              <w:rPr>
                <w:rFonts w:hint="eastAsia" w:eastAsia="Calibri"/>
                <w:lang w:val="en-GB"/>
              </w:rPr>
              <w:t xml:space="preserve"> </w:t>
            </w:r>
          </w:p>
          <w:p>
            <w:pPr>
              <w:numPr>
                <w:ilvl w:val="1"/>
                <w:numId w:val="45"/>
              </w:numPr>
              <w:spacing w:before="100" w:beforeAutospacing="1" w:after="100" w:afterAutospacing="1"/>
              <w:rPr>
                <w:rFonts w:eastAsia="Calibri"/>
                <w:lang w:val="en-GB"/>
              </w:rPr>
            </w:pPr>
            <w:r>
              <w:rPr>
                <w:rFonts w:hint="eastAsia" w:eastAsia="Calibri"/>
                <w:szCs w:val="20"/>
                <w:highlight w:val="yellow"/>
                <w:lang w:val="en-GB"/>
              </w:rPr>
              <w:t>‘b’</w:t>
            </w:r>
            <w:r>
              <w:rPr>
                <w:rFonts w:hint="eastAsia" w:eastAsia="Calibri"/>
                <w:szCs w:val="20"/>
                <w:lang w:val="en-GB"/>
              </w:rPr>
              <w:t xml:space="preserve"> is a time required for PSFCH reception and processing plus sidelink retransmission preparation including multiplexing of necessary physical channels and any TX-RX/RX-TX switching time </w:t>
            </w:r>
            <w:r>
              <w:rPr>
                <w:rFonts w:hint="eastAsia" w:eastAsia="Calibri"/>
                <w:szCs w:val="20"/>
                <w:highlight w:val="yellow"/>
                <w:lang w:val="en-GB"/>
              </w:rPr>
              <w:t>and is determined by UE implementation</w:t>
            </w:r>
          </w:p>
          <w:p>
            <w:pPr>
              <w:spacing w:before="100" w:beforeAutospacing="1" w:after="100" w:afterAutospacing="1"/>
              <w:rPr>
                <w:rFonts w:eastAsia="Calibri"/>
                <w:color w:val="FF0000"/>
                <w:lang w:val="en-GB"/>
              </w:rPr>
            </w:pPr>
            <w:r>
              <w:rPr>
                <w:rFonts w:eastAsia="Calibri"/>
                <w:color w:val="FF0000"/>
                <w:lang w:val="en-GB"/>
              </w:rPr>
              <w:t>FL reply (19/8/2020):</w:t>
            </w:r>
          </w:p>
          <w:p>
            <w:pPr>
              <w:spacing w:before="100" w:beforeAutospacing="1" w:after="100" w:afterAutospacing="1"/>
              <w:rPr>
                <w:rFonts w:eastAsia="Calibri"/>
                <w:color w:val="FF0000"/>
                <w:lang w:val="en-GB"/>
              </w:rPr>
            </w:pPr>
            <w:r>
              <w:rPr>
                <w:rFonts w:eastAsia="Calibri"/>
                <w:color w:val="FF0000"/>
                <w:lang w:val="en-GB"/>
              </w:rPr>
              <w:t>This is not about changing the agreement but just having an upper bound that the NW can use to know when to schedule the next transmission.</w:t>
            </w:r>
          </w:p>
          <w:p>
            <w:pPr>
              <w:spacing w:before="100" w:beforeAutospacing="1" w:after="100" w:afterAutospacing="1"/>
              <w:rPr>
                <w:rFonts w:eastAsia="等线"/>
                <w:lang w:val="en-GB"/>
              </w:rPr>
            </w:pPr>
            <w:r>
              <w:rPr>
                <w:rFonts w:hint="eastAsia" w:eastAsia="等线"/>
                <w:color w:val="4472C4" w:themeColor="accent1"/>
                <w:lang w:val="en-GB"/>
                <w14:textFill>
                  <w14:solidFill>
                    <w14:schemeClr w14:val="accent1"/>
                  </w14:solidFill>
                </w14:textFill>
              </w:rPr>
              <w:t>[</w:t>
            </w:r>
            <w:r>
              <w:rPr>
                <w:rFonts w:eastAsia="等线"/>
                <w:color w:val="4472C4" w:themeColor="accent1"/>
                <w:lang w:val="en-GB"/>
                <w14:textFill>
                  <w14:solidFill>
                    <w14:schemeClr w14:val="accent1"/>
                  </w14:solidFill>
                </w14:textFill>
              </w:rPr>
              <w:t xml:space="preserve">OPPO2] Agree with Intel’s proposal. It is more reasonable to resue the minimal timing gap between PSFCH and PUCCH resource descripted in 16.5 here. No necessary to define upper bound of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Theme="minorEastAsia"/>
                <w:lang w:val="en-GB"/>
              </w:rPr>
              <w:t>L</w:t>
            </w:r>
            <w:r>
              <w:rPr>
                <w:rFonts w:eastAsiaTheme="minorEastAsia"/>
                <w:lang w:val="en-GB"/>
              </w:rPr>
              <w:t>G Electronics</w:t>
            </w:r>
          </w:p>
        </w:tc>
        <w:tc>
          <w:tcPr>
            <w:tcW w:w="7933" w:type="dxa"/>
          </w:tcPr>
          <w:p>
            <w:pPr>
              <w:rPr>
                <w:rFonts w:eastAsiaTheme="minorEastAsia"/>
                <w:lang w:val="en-GB"/>
              </w:rPr>
            </w:pPr>
            <w:r>
              <w:rPr>
                <w:rFonts w:eastAsiaTheme="minorEastAsia"/>
                <w:lang w:val="en-GB"/>
              </w:rPr>
              <w:t>Just to be clear, we reformulated the issues to be discussed/resolved.</w:t>
            </w:r>
          </w:p>
          <w:p>
            <w:pPr>
              <w:rPr>
                <w:rFonts w:eastAsiaTheme="minorEastAsia"/>
                <w:lang w:val="en-GB"/>
              </w:rPr>
            </w:pPr>
            <w:r>
              <w:rPr>
                <w:rFonts w:eastAsiaTheme="minorEastAsia"/>
                <w:lang w:val="en-GB"/>
              </w:rPr>
              <w:t>Issue 1) How to avoid the case that the time gap between “PSFCH RX resource” and “re-TX resource” is smaller than UE’s capability (i.e., b)?</w:t>
            </w:r>
          </w:p>
          <w:p>
            <w:pPr>
              <w:pStyle w:val="133"/>
              <w:numPr>
                <w:ilvl w:val="0"/>
                <w:numId w:val="46"/>
              </w:numPr>
              <w:rPr>
                <w:rFonts w:eastAsiaTheme="minorEastAsia"/>
                <w:lang w:val="en-GB"/>
              </w:rPr>
            </w:pPr>
            <w:r>
              <w:rPr>
                <w:rFonts w:eastAsiaTheme="minorEastAsia"/>
                <w:lang w:val="en-GB"/>
              </w:rPr>
              <w:t>C</w:t>
            </w:r>
            <w:r>
              <w:rPr>
                <w:lang w:val="en-GB"/>
              </w:rPr>
              <w:t xml:space="preserve">onsidering an impact on RAN2 specification, it would not be desirable to define new UE capability signalling on “b”. </w:t>
            </w:r>
            <w:r>
              <w:rPr>
                <w:b/>
                <w:lang w:val="en-GB"/>
              </w:rPr>
              <w:t xml:space="preserve">We think that this issue can be resolved by defining </w:t>
            </w:r>
            <w:r>
              <w:rPr>
                <w:rFonts w:eastAsiaTheme="minorEastAsia"/>
                <w:b/>
                <w:lang w:val="en-GB"/>
              </w:rPr>
              <w:t>the maximum value of “b” that can be supported by all the UEs</w:t>
            </w:r>
            <w:r>
              <w:rPr>
                <w:rFonts w:eastAsiaTheme="minorEastAsia"/>
                <w:lang w:val="en-GB"/>
              </w:rPr>
              <w:t xml:space="preserve">. </w:t>
            </w:r>
          </w:p>
          <w:p>
            <w:pPr>
              <w:rPr>
                <w:rFonts w:eastAsiaTheme="minorEastAsia"/>
                <w:lang w:val="en-GB"/>
              </w:rPr>
            </w:pPr>
          </w:p>
          <w:p>
            <w:pPr>
              <w:rPr>
                <w:rFonts w:eastAsiaTheme="minorEastAsia"/>
                <w:lang w:val="en-GB"/>
              </w:rPr>
            </w:pPr>
            <w:r>
              <w:rPr>
                <w:rFonts w:hint="eastAsia" w:eastAsiaTheme="minorEastAsia"/>
                <w:lang w:val="en-GB"/>
              </w:rPr>
              <w:t>I</w:t>
            </w:r>
            <w:r>
              <w:rPr>
                <w:rFonts w:eastAsiaTheme="minorEastAsia"/>
                <w:lang w:val="en-GB"/>
              </w:rPr>
              <w:t>ssue 2) How to handle the case when multiple SL HARQ bits are multiplexed in the same PUCCH resource and some of the bits are related to PSFCHs not satisfying the minimum PSFCH-to-PUCCH processing time (i.e., T</w:t>
            </w:r>
            <w:r>
              <w:rPr>
                <w:rFonts w:eastAsiaTheme="minorEastAsia"/>
                <w:vertAlign w:val="subscript"/>
                <w:lang w:val="en-GB"/>
              </w:rPr>
              <w:t>prep</w:t>
            </w:r>
            <w:r>
              <w:rPr>
                <w:rFonts w:eastAsiaTheme="minorEastAsia"/>
                <w:lang w:val="en-GB"/>
              </w:rPr>
              <w:t>)?</w:t>
            </w:r>
          </w:p>
          <w:p>
            <w:pPr>
              <w:pStyle w:val="133"/>
              <w:numPr>
                <w:ilvl w:val="0"/>
                <w:numId w:val="46"/>
              </w:numPr>
              <w:rPr>
                <w:rFonts w:eastAsiaTheme="minorEastAsia"/>
                <w:lang w:val="en-GB"/>
              </w:rPr>
            </w:pPr>
            <w:r>
              <w:rPr>
                <w:rFonts w:eastAsiaTheme="minorEastAsia"/>
                <w:lang w:val="en-GB"/>
              </w:rPr>
              <w:t>This problematic case can occur due to a timing misalignment between gNB and UE’s sync source.</w:t>
            </w:r>
            <w:r>
              <w:rPr>
                <w:lang w:val="en-GB"/>
              </w:rPr>
              <w:t xml:space="preserve"> </w:t>
            </w:r>
            <w:r>
              <w:rPr>
                <w:rFonts w:eastAsiaTheme="minorEastAsia"/>
                <w:lang w:val="en-GB"/>
              </w:rPr>
              <w:t xml:space="preserve">In the example of figure below, a UE doesn’t have sufficient processing time to generate SL HARQ bit for the green PSFCH when compared with the red PSFCH. </w:t>
            </w:r>
            <w:r>
              <w:rPr>
                <w:rFonts w:eastAsiaTheme="minorEastAsia"/>
                <w:b/>
                <w:lang w:val="en-GB"/>
              </w:rPr>
              <w:t xml:space="preserve">From our perspective, it can be defined that the UE sets the SL HARQ bit with insufficient UE processing time as NACK state </w:t>
            </w:r>
            <w:r>
              <w:rPr>
                <w:rFonts w:eastAsiaTheme="minorEastAsia"/>
                <w:lang w:val="en-GB"/>
              </w:rPr>
              <w:t>(i.e., for the green PSFCH).</w:t>
            </w:r>
          </w:p>
          <w:p>
            <w:pPr>
              <w:pStyle w:val="133"/>
              <w:ind w:left="400"/>
              <w:rPr>
                <w:rFonts w:eastAsiaTheme="minorEastAsia"/>
                <w:lang w:val="en-GB"/>
              </w:rPr>
            </w:pPr>
          </w:p>
          <w:p>
            <w:pPr>
              <w:rPr>
                <w:rFonts w:eastAsia="Calibri"/>
                <w:lang w:val="en-GB"/>
              </w:rPr>
            </w:pPr>
            <w:r>
              <w:rPr>
                <w:rFonts w:eastAsia="Calibri" w:cs="Calibri"/>
              </w:rPr>
              <w:drawing>
                <wp:inline distT="0" distB="0" distL="0" distR="0">
                  <wp:extent cx="4301490" cy="2202815"/>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3701" cy="2203808"/>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ZTE, Sanechips</w:t>
            </w:r>
          </w:p>
        </w:tc>
        <w:tc>
          <w:tcPr>
            <w:tcW w:w="7933" w:type="dxa"/>
          </w:tcPr>
          <w:p>
            <w:pPr>
              <w:rPr>
                <w:rFonts w:eastAsia="Calibri"/>
                <w:lang w:val="en-GB"/>
              </w:rPr>
            </w:pPr>
            <w:r>
              <w:rPr>
                <w:rFonts w:eastAsia="Calibri"/>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S</w:t>
            </w:r>
            <w:r>
              <w:rPr>
                <w:rFonts w:eastAsia="等线"/>
                <w:lang w:val="en-GB"/>
              </w:rPr>
              <w:t>harp</w:t>
            </w:r>
          </w:p>
        </w:tc>
        <w:tc>
          <w:tcPr>
            <w:tcW w:w="7933" w:type="dxa"/>
          </w:tcPr>
          <w:p>
            <w:pPr>
              <w:rPr>
                <w:rFonts w:eastAsia="Calibri"/>
                <w:lang w:val="en-GB"/>
              </w:rPr>
            </w:pPr>
            <w:r>
              <w:rPr>
                <w:rFonts w:hint="eastAsia" w:eastAsia="等线"/>
                <w:lang w:val="en-GB"/>
              </w:rPr>
              <w:t>O</w:t>
            </w:r>
            <w:r>
              <w:rPr>
                <w:rFonts w:eastAsia="等线"/>
                <w:lang w:val="en-GB"/>
              </w:rPr>
              <w:t>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Qualcomm</w:t>
            </w:r>
          </w:p>
        </w:tc>
        <w:tc>
          <w:tcPr>
            <w:tcW w:w="7933" w:type="dxa"/>
          </w:tcPr>
          <w:p>
            <w:pPr>
              <w:rPr>
                <w:rFonts w:eastAsia="Calibri"/>
                <w:lang w:val="en-GB"/>
              </w:rPr>
            </w:pPr>
            <w:r>
              <w:rPr>
                <w:rFonts w:eastAsia="Calibri"/>
                <w:lang w:val="en-GB"/>
              </w:rPr>
              <w:t>Is the proposal to convey the exact value of ‘b’ to the gNB or to place an upper limit on ‘b’?</w:t>
            </w:r>
          </w:p>
          <w:p>
            <w:pPr>
              <w:rPr>
                <w:rFonts w:eastAsia="Calibri"/>
                <w:lang w:val="en-GB"/>
              </w:rPr>
            </w:pPr>
            <w:r>
              <w:rPr>
                <w:rFonts w:eastAsia="Calibri"/>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pPr>
              <w:rPr>
                <w:rFonts w:eastAsia="Calibri"/>
                <w:lang w:val="en-GB"/>
              </w:rPr>
            </w:pPr>
            <w:r>
              <w:rPr>
                <w:rFonts w:eastAsia="Calibri"/>
                <w:lang w:val="en-GB"/>
              </w:rPr>
              <w:t>On the other hand, the exact value of ‘b’ is already agreed to be left up to UE implementation and we don’t see the need to change the agreement.</w:t>
            </w:r>
          </w:p>
          <w:p>
            <w:pPr>
              <w:rPr>
                <w:rFonts w:eastAsia="Calibri"/>
                <w:b/>
                <w:bCs/>
                <w:lang w:val="en-GB"/>
              </w:rPr>
            </w:pPr>
            <w:r>
              <w:rPr>
                <w:rFonts w:eastAsia="Calibri"/>
                <w:b/>
                <w:bCs/>
                <w:lang w:val="en-GB"/>
              </w:rPr>
              <w:t xml:space="preserve">How should the UE proceed if the time between the last PSFCH reception and the SL HARQ report to the gNB is smaller than the processing time at the UE? </w:t>
            </w:r>
          </w:p>
          <w:p>
            <w:pPr>
              <w:rPr>
                <w:rFonts w:eastAsia="Calibri"/>
                <w:lang w:val="en-GB"/>
              </w:rPr>
            </w:pPr>
            <w:r>
              <w:rPr>
                <w:rFonts w:eastAsia="Calibri"/>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pPr>
              <w:rPr>
                <w:rFonts w:eastAsia="Calibri"/>
                <w:color w:val="4472C4" w:themeColor="accent1"/>
                <w:lang w:val="en-GB"/>
                <w14:textFill>
                  <w14:solidFill>
                    <w14:schemeClr w14:val="accent1"/>
                  </w14:solidFill>
                </w14:textFill>
              </w:rPr>
            </w:pPr>
            <w:r>
              <w:rPr>
                <w:rFonts w:eastAsia="Calibri"/>
                <w:color w:val="4472C4" w:themeColor="accent1"/>
                <w:lang w:val="en-GB"/>
                <w14:textFill>
                  <w14:solidFill>
                    <w14:schemeClr w14:val="accent1"/>
                  </w14:solidFill>
                </w14:textFill>
              </w:rPr>
              <w:t>[QC2]: We disagree with the proposal. The maximum value of ‘b’ has significant impact on Mode 2 operation and should be discussed there. For Mode 1 purposes, we can agree that a bound on ‘b’ exists, which is what matters to the gNB, then discuss the bound value in the Mode 2 AI.</w:t>
            </w:r>
          </w:p>
          <w:p>
            <w:pPr>
              <w:rPr>
                <w:rFonts w:eastAsia="Calibri"/>
                <w:color w:val="4472C4" w:themeColor="accent1"/>
                <w:lang w:val="en-GB"/>
                <w14:textFill>
                  <w14:solidFill>
                    <w14:schemeClr w14:val="accent1"/>
                  </w14:solidFill>
                </w14:textFill>
              </w:rPr>
            </w:pPr>
            <w:r>
              <w:rPr>
                <w:rFonts w:eastAsia="Calibri"/>
                <w:color w:val="4472C4" w:themeColor="accent1"/>
                <w:lang w:val="en-GB"/>
                <w14:textFill>
                  <w14:solidFill>
                    <w14:schemeClr w14:val="accent1"/>
                  </w14:solidFill>
                </w14:textFill>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pPr>
              <w:rPr>
                <w:rFonts w:eastAsia="Calibri"/>
                <w:color w:val="FF0000"/>
                <w:lang w:val="en-GB"/>
              </w:rPr>
            </w:pPr>
            <w:r>
              <w:rPr>
                <w:rFonts w:eastAsia="Calibri"/>
                <w:color w:val="FF0000"/>
                <w:lang w:val="en-GB"/>
              </w:rPr>
              <w:t>FL reply (20/8/20):</w:t>
            </w:r>
          </w:p>
          <w:p>
            <w:pPr>
              <w:rPr>
                <w:rFonts w:eastAsia="Calibri"/>
                <w:color w:val="FF0000"/>
                <w:lang w:val="en-GB"/>
              </w:rPr>
            </w:pPr>
            <w:r>
              <w:rPr>
                <w:rFonts w:eastAsia="Calibri"/>
                <w:color w:val="FF0000"/>
                <w:lang w:val="en-GB"/>
              </w:rPr>
              <w:t>I do not think it makes a difference under which AI we make the decision. Could you clarify what the difference would be?</w:t>
            </w:r>
          </w:p>
          <w:p>
            <w:pPr>
              <w:rPr>
                <w:rFonts w:eastAsia="Calibri"/>
                <w:color w:val="4472C4" w:themeColor="accent1"/>
                <w:lang w:val="en-GB"/>
                <w14:textFill>
                  <w14:solidFill>
                    <w14:schemeClr w14:val="accent1"/>
                  </w14:solidFill>
                </w14:textFill>
              </w:rPr>
            </w:pPr>
            <w:r>
              <w:rPr>
                <w:rFonts w:eastAsia="Calibri"/>
                <w:color w:val="FF0000"/>
                <w:lang w:val="en-GB"/>
              </w:rPr>
              <w:t>What is your proposal for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hint="eastAsia" w:eastAsia="等线"/>
                <w:lang w:val="en-GB"/>
              </w:rPr>
              <w:t>C</w:t>
            </w:r>
            <w:r>
              <w:rPr>
                <w:rFonts w:eastAsia="等线"/>
                <w:lang w:val="en-GB"/>
              </w:rPr>
              <w:t>MCC</w:t>
            </w:r>
          </w:p>
        </w:tc>
        <w:tc>
          <w:tcPr>
            <w:tcW w:w="7933" w:type="dxa"/>
          </w:tcPr>
          <w:p>
            <w:pPr>
              <w:rPr>
                <w:rFonts w:eastAsia="等线"/>
                <w:lang w:val="en-GB"/>
              </w:rPr>
            </w:pPr>
            <w:r>
              <w:rPr>
                <w:rFonts w:hint="eastAsia" w:eastAsia="等线"/>
                <w:lang w:val="en-GB"/>
              </w:rPr>
              <w:t>O</w:t>
            </w:r>
            <w:r>
              <w:rPr>
                <w:rFonts w:eastAsia="等线"/>
                <w:lang w:val="en-GB"/>
              </w:rPr>
              <w:t>ption A. We share the similar view with intel and vivo that a mix of blind and feedback-based retransmissions should be avoided in mode-1. The time of b is based on UE implementation in mode-2, for simplicity, a definition of upper-bound of “b” can be specified for mode-1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F</w:t>
            </w:r>
            <w:r>
              <w:rPr>
                <w:rFonts w:eastAsia="等线"/>
                <w:lang w:val="en-GB"/>
              </w:rPr>
              <w:t>ujitsu</w:t>
            </w:r>
          </w:p>
        </w:tc>
        <w:tc>
          <w:tcPr>
            <w:tcW w:w="7933" w:type="dxa"/>
          </w:tcPr>
          <w:p>
            <w:pPr>
              <w:rPr>
                <w:rFonts w:eastAsia="Calibri"/>
                <w:lang w:val="en-GB"/>
              </w:rPr>
            </w:pPr>
            <w:r>
              <w:rPr>
                <w:rFonts w:hint="eastAsia" w:eastAsia="等线"/>
                <w:lang w:val="en-GB"/>
              </w:rPr>
              <w:t>O</w:t>
            </w:r>
            <w:r>
              <w:rPr>
                <w:rFonts w:eastAsia="等线"/>
                <w:lang w:val="en-GB"/>
              </w:rPr>
              <w:t>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hint="eastAsia" w:eastAsia="等线"/>
                <w:lang w:val="en-GB"/>
              </w:rPr>
              <w:t>CATT</w:t>
            </w:r>
          </w:p>
        </w:tc>
        <w:tc>
          <w:tcPr>
            <w:tcW w:w="7933" w:type="dxa"/>
          </w:tcPr>
          <w:p>
            <w:pPr>
              <w:rPr>
                <w:rFonts w:eastAsia="等线"/>
                <w:lang w:val="en-GB"/>
              </w:rPr>
            </w:pPr>
            <w:r>
              <w:rPr>
                <w:rFonts w:hint="eastAsia" w:eastAsia="等线"/>
                <w:lang w:val="en-GB"/>
              </w:rPr>
              <w:t>Option A.</w:t>
            </w:r>
          </w:p>
          <w:p>
            <w:pPr>
              <w:rPr>
                <w:rFonts w:eastAsia="Calibri"/>
                <w:lang w:val="en-GB"/>
              </w:rPr>
            </w:pPr>
            <w:r>
              <w:rPr>
                <w:rFonts w:eastAsia="等线"/>
                <w:lang w:val="en-GB"/>
              </w:rPr>
              <w:t>S</w:t>
            </w:r>
            <w:r>
              <w:rPr>
                <w:rFonts w:hint="eastAsia" w:eastAsia="等线"/>
                <w:lang w:val="en-GB"/>
              </w:rPr>
              <w:t xml:space="preserve">imilar view with Intel and vivo. </w:t>
            </w:r>
            <w:r>
              <w:rPr>
                <w:rFonts w:eastAsia="等线"/>
                <w:lang w:val="en-GB"/>
              </w:rPr>
              <w:t>W</w:t>
            </w:r>
            <w:r>
              <w:rPr>
                <w:rFonts w:hint="eastAsia" w:eastAsia="等线"/>
                <w:lang w:val="en-GB"/>
              </w:rPr>
              <w:t xml:space="preserve">ith knowing the HARQ RTT, mixture transmission of blind and HARQ based will be avoided. </w:t>
            </w:r>
            <w:r>
              <w:rPr>
                <w:rFonts w:eastAsia="等线"/>
                <w:lang w:val="en-GB"/>
              </w:rPr>
              <w:t>F</w:t>
            </w:r>
            <w:r>
              <w:rPr>
                <w:rFonts w:hint="eastAsia" w:eastAsia="等线"/>
                <w:lang w:val="en-GB"/>
              </w:rPr>
              <w:t>urthermore, resources will not be wasted.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Huawei, HiSilicon</w:t>
            </w:r>
          </w:p>
        </w:tc>
        <w:tc>
          <w:tcPr>
            <w:tcW w:w="7933" w:type="dxa"/>
          </w:tcPr>
          <w:p>
            <w:pPr>
              <w:rPr>
                <w:rFonts w:eastAsia="Calibri"/>
                <w:lang w:val="en-GB"/>
              </w:rPr>
            </w:pPr>
            <w:r>
              <w:rPr>
                <w:rFonts w:eastAsia="Calibri"/>
                <w:lang w:val="en-GB"/>
              </w:rPr>
              <w:t>Option B</w:t>
            </w:r>
          </w:p>
          <w:p>
            <w:pPr>
              <w:rPr>
                <w:rFonts w:eastAsia="Calibri"/>
                <w:bCs/>
                <w:lang w:val="en-GB"/>
              </w:rPr>
            </w:pPr>
            <w:r>
              <w:rPr>
                <w:rFonts w:eastAsia="Calibri"/>
                <w:bCs/>
                <w:lang w:val="en-GB"/>
              </w:rPr>
              <w:t>As the previous agreement in mode-2, “b”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the UE behaviour is unnecessary to specify if the timeline is not met.</w:t>
            </w:r>
          </w:p>
          <w:p>
            <w:pPr>
              <w:rPr>
                <w:rFonts w:eastAsia="Calibri"/>
                <w:bCs/>
                <w:color w:val="FF0000"/>
                <w:lang w:val="en-GB"/>
              </w:rPr>
            </w:pPr>
            <w:r>
              <w:rPr>
                <w:rFonts w:eastAsia="Calibri"/>
                <w:bCs/>
                <w:color w:val="FF0000"/>
                <w:lang w:val="en-GB"/>
              </w:rPr>
              <w:t>FL reply (19/8/2020):</w:t>
            </w:r>
          </w:p>
          <w:p>
            <w:pPr>
              <w:rPr>
                <w:rFonts w:eastAsia="Calibri"/>
                <w:bCs/>
                <w:color w:val="FF0000"/>
                <w:lang w:val="en-GB"/>
              </w:rPr>
            </w:pPr>
            <w:r>
              <w:rPr>
                <w:rFonts w:eastAsia="Calibri"/>
                <w:bCs/>
                <w:color w:val="FF0000"/>
                <w:lang w:val="en-GB"/>
              </w:rPr>
              <w:t>The gNB would need to know something about b to schedule the transmissions. For example, an upper bound on ‘b’. The actual value would still be up to UE implementation.</w:t>
            </w:r>
          </w:p>
          <w:p>
            <w:pPr>
              <w:rPr>
                <w:rFonts w:eastAsia="Calibri"/>
                <w:bCs/>
                <w:color w:val="FF0000"/>
                <w:lang w:val="en-GB"/>
              </w:rPr>
            </w:pPr>
          </w:p>
          <w:p>
            <w:pPr>
              <w:rPr>
                <w:rFonts w:eastAsia="Calibri"/>
                <w:bCs/>
                <w:color w:val="00B050"/>
                <w:lang w:val="en-GB"/>
              </w:rPr>
            </w:pPr>
            <w:r>
              <w:rPr>
                <w:rFonts w:hint="eastAsia" w:eastAsia="Calibri"/>
                <w:bCs/>
                <w:color w:val="00B050"/>
                <w:lang w:val="en-GB"/>
              </w:rPr>
              <w:t>[</w:t>
            </w:r>
            <w:r>
              <w:rPr>
                <w:rFonts w:eastAsia="Calibri"/>
                <w:bCs/>
                <w:color w:val="00B050"/>
                <w:lang w:val="en-GB"/>
              </w:rPr>
              <w:t>HWHiSi_</w:t>
            </w:r>
            <w:r>
              <w:rPr>
                <w:rFonts w:hint="eastAsia" w:eastAsia="Calibri"/>
                <w:bCs/>
                <w:color w:val="00B050"/>
                <w:lang w:val="en-GB"/>
              </w:rPr>
              <w:t>2]</w:t>
            </w:r>
          </w:p>
          <w:p>
            <w:pPr>
              <w:rPr>
                <w:rFonts w:eastAsia="Calibri"/>
                <w:bCs/>
                <w:lang w:val="en-GB"/>
              </w:rPr>
            </w:pPr>
            <w:r>
              <w:rPr>
                <w:rFonts w:eastAsia="Calibri"/>
                <w:bCs/>
                <w:color w:val="00B050"/>
                <w:lang w:val="en-GB"/>
              </w:rPr>
              <w:t xml:space="preserve">Thanks for reply. Indeed, we still do not see the necessity to have this upper bound. UEs will have different capabilities and a gNB is aware of the capabilities by UE’s capability reporting, so the gNB could schedule the transmission based on the information it receives to satisfy a UE specific “Z”. This is all gNB implementation. As the value of upper bound, I am not sure it is proper to use </w:t>
            </w:r>
            <w:r>
              <w:rPr>
                <w:rFonts w:eastAsia="Calibri"/>
                <w:color w:val="00B050"/>
                <w:lang w:val="en-GB"/>
              </w:rPr>
              <w:t>Tprep</w:t>
            </w:r>
            <w:r>
              <w:rPr>
                <w:rFonts w:eastAsia="Calibri"/>
                <w:bCs/>
                <w:color w:val="00B050"/>
                <w:lang w:val="en-GB"/>
              </w:rPr>
              <w:t>. As explained by Intel, it is the processing time to decode PSFCH and preparing PUCCH which may be not comparable for PSFCH preparing PSCCH+PSSCH, because no serious calculation we had before. Hence, I think we do not need to introduce such a bound at late CR phase, especially we do not have enough eavulation about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hint="eastAsia" w:eastAsia="等线"/>
                <w:lang w:val="en-GB"/>
              </w:rPr>
              <w:t>S</w:t>
            </w:r>
            <w:r>
              <w:rPr>
                <w:rFonts w:eastAsia="等线"/>
                <w:lang w:val="en-GB"/>
              </w:rPr>
              <w:t>amsung</w:t>
            </w:r>
          </w:p>
        </w:tc>
        <w:tc>
          <w:tcPr>
            <w:tcW w:w="7933" w:type="dxa"/>
          </w:tcPr>
          <w:p>
            <w:pPr>
              <w:rPr>
                <w:rFonts w:eastAsia="等线"/>
                <w:lang w:val="en-GB"/>
              </w:rPr>
            </w:pPr>
            <w:r>
              <w:rPr>
                <w:rFonts w:eastAsia="等线"/>
                <w:lang w:val="en-GB"/>
              </w:rPr>
              <w:t>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等线"/>
                <w:lang w:val="en-GB"/>
              </w:rPr>
            </w:pPr>
            <w:r>
              <w:rPr>
                <w:rFonts w:eastAsia="Calibri"/>
                <w:lang w:val="en-GB"/>
              </w:rPr>
              <w:t xml:space="preserve">Fraunhofer </w:t>
            </w:r>
          </w:p>
        </w:tc>
        <w:tc>
          <w:tcPr>
            <w:tcW w:w="7933" w:type="dxa"/>
          </w:tcPr>
          <w:p>
            <w:pPr>
              <w:rPr>
                <w:rFonts w:eastAsia="Calibri"/>
                <w:lang w:val="en-GB"/>
              </w:rPr>
            </w:pPr>
            <w:r>
              <w:rPr>
                <w:rFonts w:eastAsia="Calibri"/>
                <w:lang w:val="en-GB"/>
              </w:rPr>
              <w:t>Option A</w:t>
            </w:r>
          </w:p>
          <w:p>
            <w:pPr>
              <w:rPr>
                <w:rFonts w:eastAsia="等线"/>
                <w:lang w:val="en-GB"/>
              </w:rPr>
            </w:pPr>
            <w:r>
              <w:rPr>
                <w:rFonts w:eastAsia="Calibri"/>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lang w:val="en-GB"/>
              </w:rPr>
            </w:pPr>
            <w:r>
              <w:rPr>
                <w:rFonts w:eastAsia="Calibri"/>
                <w:lang w:val="en-GB"/>
              </w:rPr>
              <w:t>Ericsson</w:t>
            </w:r>
          </w:p>
        </w:tc>
        <w:tc>
          <w:tcPr>
            <w:tcW w:w="7933" w:type="dxa"/>
          </w:tcPr>
          <w:p>
            <w:pPr>
              <w:rPr>
                <w:rFonts w:eastAsia="Calibri"/>
                <w:lang w:val="en-GB"/>
              </w:rPr>
            </w:pPr>
            <w:r>
              <w:rPr>
                <w:rFonts w:eastAsia="Calibri"/>
                <w:lang w:val="en-GB"/>
              </w:rPr>
              <w:t>Option A. We are fine with a clarification. With such clarification, the gNB can avoid problematic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rPr>
            </w:pPr>
            <w:r>
              <w:rPr>
                <w:rFonts w:eastAsia="Calibri"/>
              </w:rPr>
              <w:t>Nokia, NSB</w:t>
            </w:r>
          </w:p>
        </w:tc>
        <w:tc>
          <w:tcPr>
            <w:tcW w:w="7933" w:type="dxa"/>
          </w:tcPr>
          <w:p>
            <w:pPr>
              <w:rPr>
                <w:rFonts w:eastAsia="Calibri"/>
                <w:lang w:val="en-GB"/>
              </w:rPr>
            </w:pPr>
            <w:r>
              <w:rPr>
                <w:rFonts w:eastAsia="Calibri"/>
                <w:lang w:val="en-GB"/>
              </w:rPr>
              <w:t>Option A – OK to specify an upper bound on b</w:t>
            </w:r>
          </w:p>
          <w:p>
            <w:pPr>
              <w:rPr>
                <w:rFonts w:eastAsia="Calibri"/>
                <w:lang w:val="en-GB"/>
              </w:rPr>
            </w:pPr>
            <w:r>
              <w:rPr>
                <w:rFonts w:eastAsia="Calibri"/>
                <w:color w:val="00B0F0"/>
                <w:lang w:val="en-GB"/>
              </w:rPr>
              <w:t>[NOK2] Fine with the principle, but as others have pointed out T_proc may not be the appropriate upper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rPr>
            </w:pPr>
            <w:r>
              <w:rPr>
                <w:rFonts w:eastAsia="Calibri"/>
              </w:rPr>
              <w:t>Apple</w:t>
            </w:r>
          </w:p>
        </w:tc>
        <w:tc>
          <w:tcPr>
            <w:tcW w:w="7933" w:type="dxa"/>
          </w:tcPr>
          <w:p>
            <w:pPr>
              <w:rPr>
                <w:rFonts w:eastAsia="Calibri"/>
                <w:lang w:val="en-GB"/>
              </w:rPr>
            </w:pPr>
            <w:r>
              <w:rPr>
                <w:rFonts w:eastAsia="Calibri"/>
                <w:lang w:val="en-GB"/>
              </w:rPr>
              <w:t xml:space="preserve">Option A. An upper bound on b could be used by gNB for its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rPr>
                <w:rFonts w:eastAsia="Calibri"/>
              </w:rPr>
            </w:pPr>
            <w:r>
              <w:rPr>
                <w:rFonts w:hint="eastAsia" w:eastAsia="等线"/>
                <w:lang w:val="en-GB"/>
              </w:rPr>
              <w:t xml:space="preserve">Spreadtrum </w:t>
            </w:r>
          </w:p>
        </w:tc>
        <w:tc>
          <w:tcPr>
            <w:tcW w:w="7933" w:type="dxa"/>
          </w:tcPr>
          <w:p>
            <w:pPr>
              <w:rPr>
                <w:rFonts w:eastAsia="等线"/>
                <w:lang w:val="en-GB"/>
              </w:rPr>
            </w:pPr>
            <w:r>
              <w:rPr>
                <w:rFonts w:hint="eastAsia" w:eastAsia="等线"/>
                <w:lang w:val="en-GB"/>
              </w:rPr>
              <w:t>O</w:t>
            </w:r>
            <w:r>
              <w:rPr>
                <w:rFonts w:eastAsia="等线"/>
                <w:lang w:val="en-GB"/>
              </w:rPr>
              <w:t xml:space="preserve">ption A. </w:t>
            </w:r>
          </w:p>
          <w:p>
            <w:pPr>
              <w:rPr>
                <w:rFonts w:eastAsia="Calibri"/>
                <w:lang w:val="en-GB"/>
              </w:rPr>
            </w:pPr>
            <w:r>
              <w:rPr>
                <w:rFonts w:eastAsia="等线"/>
                <w:lang w:val="en-GB"/>
              </w:rPr>
              <w:t>In mode 2, it has been agreed that</w:t>
            </w:r>
            <w:r>
              <w:rPr>
                <w:rFonts w:hint="eastAsia" w:eastAsia="等线"/>
                <w:szCs w:val="20"/>
                <w:lang w:val="en-GB"/>
              </w:rPr>
              <w:t>‘b</w:t>
            </w:r>
            <w:r>
              <w:rPr>
                <w:rFonts w:eastAsia="等线"/>
                <w:szCs w:val="20"/>
                <w:lang w:val="en-GB"/>
              </w:rPr>
              <w:t>’</w:t>
            </w:r>
            <w:r>
              <w:rPr>
                <w:rFonts w:hint="eastAsia" w:eastAsia="Calibri"/>
                <w:szCs w:val="20"/>
                <w:lang w:val="en-GB"/>
              </w:rPr>
              <w:t xml:space="preserve"> </w:t>
            </w:r>
            <w:r>
              <w:rPr>
                <w:rFonts w:eastAsia="Calibri"/>
                <w:szCs w:val="20"/>
                <w:lang w:val="en-GB"/>
              </w:rPr>
              <w:t xml:space="preserve"> </w:t>
            </w:r>
            <w:r>
              <w:rPr>
                <w:rFonts w:hint="eastAsia" w:eastAsia="Calibri"/>
                <w:szCs w:val="20"/>
                <w:lang w:val="en-GB"/>
              </w:rPr>
              <w:t>is determined by UE implementation</w:t>
            </w:r>
            <w:r>
              <w:rPr>
                <w:rFonts w:hint="eastAsia" w:eastAsia="等线"/>
                <w:szCs w:val="20"/>
                <w:lang w:val="en-GB"/>
              </w:rPr>
              <w:t xml:space="preserve">. </w:t>
            </w:r>
            <w:r>
              <w:rPr>
                <w:rFonts w:eastAsia="等线"/>
                <w:szCs w:val="20"/>
                <w:lang w:val="en-GB"/>
              </w:rPr>
              <w:t xml:space="preserve">So, </w:t>
            </w:r>
            <w:r>
              <w:rPr>
                <w:rFonts w:eastAsia="Calibri"/>
                <w:lang w:val="en-GB"/>
              </w:rPr>
              <w:t>upper-bound of “b” should be defined to ensure that the SL resource allocated by gNB can satisfy the HARQ RTT.</w:t>
            </w:r>
          </w:p>
        </w:tc>
      </w:tr>
    </w:tbl>
    <w:p>
      <w:pPr>
        <w:rPr>
          <w:b/>
          <w:bCs/>
        </w:rPr>
      </w:pPr>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655E200D">
      <w:pPr>
        <w:pStyle w:val="17"/>
      </w:pPr>
      <w:r>
        <w:t>To be replaced by sl-PSFCH-ToPUCCH Type1 (here and in subsequent places)</w:t>
      </w:r>
    </w:p>
  </w:comment>
  <w:comment w:id="1" w:author="作者" w:date="" w:initials="A">
    <w:p w14:paraId="25965A7E">
      <w:pPr>
        <w:pStyle w:val="17"/>
      </w:pPr>
      <w:r>
        <w:t>To be replaced by sl-PSFCH-ToPUCCH-CG-Type1 (here and in subsequent places)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5E200D" w15:done="0"/>
  <w15:commentEx w15:paraId="25965A7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Yu Mincho">
    <w:altName w:val="MS Mincho"/>
    <w:panose1 w:val="00000000000000000000"/>
    <w:charset w:val="80"/>
    <w:family w:val="roman"/>
    <w:pitch w:val="default"/>
    <w:sig w:usb0="00000000" w:usb1="00000000" w:usb2="00000012" w:usb3="00000000" w:csb0="0002009F" w:csb1="00000000"/>
  </w:font>
  <w:font w:name="等线">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1321435"/>
    <w:multiLevelType w:val="multilevel"/>
    <w:tmpl w:val="01321435"/>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780FF5"/>
    <w:multiLevelType w:val="multilevel"/>
    <w:tmpl w:val="04780F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8F1D44"/>
    <w:multiLevelType w:val="multilevel"/>
    <w:tmpl w:val="048F1D4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4A2676D"/>
    <w:multiLevelType w:val="multilevel"/>
    <w:tmpl w:val="04A2676D"/>
    <w:lvl w:ilvl="0" w:tentative="0">
      <w:start w:val="1"/>
      <w:numFmt w:val="bullet"/>
      <w:lvlText w:val=""/>
      <w:lvlJc w:val="left"/>
      <w:pPr>
        <w:ind w:left="720" w:hanging="360"/>
      </w:pPr>
      <w:rPr>
        <w:rFonts w:hint="default" w:ascii="Wingdings" w:hAnsi="Wingdings" w:eastAsia="Calibr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8A3C98"/>
    <w:multiLevelType w:val="multilevel"/>
    <w:tmpl w:val="058A3C98"/>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644" w:hanging="564"/>
      </w:pPr>
      <w:rPr>
        <w:rFonts w:hint="default" w:ascii="Calibri" w:hAnsi="Calibri" w:eastAsia="Yu Mincho" w:cs="Calibr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AE1DD4"/>
    <w:multiLevelType w:val="multilevel"/>
    <w:tmpl w:val="05AE1D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0AC42384"/>
    <w:multiLevelType w:val="multilevel"/>
    <w:tmpl w:val="0AC42384"/>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F847706"/>
    <w:multiLevelType w:val="multilevel"/>
    <w:tmpl w:val="0F847706"/>
    <w:lvl w:ilvl="0" w:tentative="0">
      <w:start w:val="1"/>
      <w:numFmt w:val="bullet"/>
      <w:pStyle w:val="27"/>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17C6E6D"/>
    <w:multiLevelType w:val="multilevel"/>
    <w:tmpl w:val="117C6E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2AF7B54"/>
    <w:multiLevelType w:val="multilevel"/>
    <w:tmpl w:val="12AF7B54"/>
    <w:lvl w:ilvl="0" w:tentative="0">
      <w:start w:val="0"/>
      <w:numFmt w:val="bullet"/>
      <w:lvlText w:val=""/>
      <w:lvlJc w:val="left"/>
      <w:pPr>
        <w:ind w:left="360" w:hanging="360"/>
      </w:pPr>
      <w:rPr>
        <w:rFonts w:hint="default" w:ascii="Wingdings" w:hAnsi="Wingdings"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3F01046"/>
    <w:multiLevelType w:val="multilevel"/>
    <w:tmpl w:val="13F01046"/>
    <w:lvl w:ilvl="0" w:tentative="0">
      <w:start w:val="1"/>
      <w:numFmt w:val="bullet"/>
      <w:lvlText w:val="•"/>
      <w:lvlJc w:val="left"/>
      <w:pPr>
        <w:ind w:left="400" w:hanging="400"/>
      </w:pPr>
      <w:rPr>
        <w:rFonts w:hint="default" w:ascii="Arial" w:hAnsi="Arial"/>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12">
    <w:nsid w:val="13F2500B"/>
    <w:multiLevelType w:val="multilevel"/>
    <w:tmpl w:val="13F250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89E0A57"/>
    <w:multiLevelType w:val="multilevel"/>
    <w:tmpl w:val="189E0A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D561A41"/>
    <w:multiLevelType w:val="multilevel"/>
    <w:tmpl w:val="1D561A4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0396CDA"/>
    <w:multiLevelType w:val="multilevel"/>
    <w:tmpl w:val="20396CDA"/>
    <w:lvl w:ilvl="0" w:tentative="0">
      <w:start w:val="1"/>
      <w:numFmt w:val="bullet"/>
      <w:pStyle w:val="29"/>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6">
    <w:nsid w:val="230A795F"/>
    <w:multiLevelType w:val="multilevel"/>
    <w:tmpl w:val="230A795F"/>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3582DBE"/>
    <w:multiLevelType w:val="multilevel"/>
    <w:tmpl w:val="23582D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5D05F88"/>
    <w:multiLevelType w:val="multilevel"/>
    <w:tmpl w:val="25D05F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274A75A3"/>
    <w:multiLevelType w:val="multilevel"/>
    <w:tmpl w:val="274A75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8"/>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A110D7B"/>
    <w:multiLevelType w:val="multilevel"/>
    <w:tmpl w:val="2A110D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3A92560"/>
    <w:multiLevelType w:val="multilevel"/>
    <w:tmpl w:val="33A925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4">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B11445D"/>
    <w:multiLevelType w:val="multilevel"/>
    <w:tmpl w:val="3B1144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BCA76DD"/>
    <w:multiLevelType w:val="multilevel"/>
    <w:tmpl w:val="3BCA76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1D4243F"/>
    <w:multiLevelType w:val="multilevel"/>
    <w:tmpl w:val="41D4243F"/>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574956E7"/>
    <w:multiLevelType w:val="multilevel"/>
    <w:tmpl w:val="574956E7"/>
    <w:lvl w:ilvl="0" w:tentative="0">
      <w:start w:val="1"/>
      <w:numFmt w:val="decimal"/>
      <w:lvlText w:val="%1)"/>
      <w:lvlJc w:val="left"/>
      <w:pPr>
        <w:ind w:left="826" w:hanging="360"/>
      </w:pPr>
    </w:lvl>
    <w:lvl w:ilvl="1" w:tentative="0">
      <w:start w:val="1"/>
      <w:numFmt w:val="lowerLetter"/>
      <w:lvlText w:val="%2."/>
      <w:lvlJc w:val="left"/>
      <w:pPr>
        <w:ind w:left="1546" w:hanging="360"/>
      </w:pPr>
    </w:lvl>
    <w:lvl w:ilvl="2" w:tentative="0">
      <w:start w:val="1"/>
      <w:numFmt w:val="lowerRoman"/>
      <w:lvlText w:val="%3."/>
      <w:lvlJc w:val="right"/>
      <w:pPr>
        <w:ind w:left="2266" w:hanging="180"/>
      </w:pPr>
    </w:lvl>
    <w:lvl w:ilvl="3" w:tentative="0">
      <w:start w:val="1"/>
      <w:numFmt w:val="decimal"/>
      <w:lvlText w:val="%4."/>
      <w:lvlJc w:val="left"/>
      <w:pPr>
        <w:ind w:left="2986" w:hanging="360"/>
      </w:pPr>
    </w:lvl>
    <w:lvl w:ilvl="4" w:tentative="0">
      <w:start w:val="1"/>
      <w:numFmt w:val="lowerLetter"/>
      <w:lvlText w:val="%5."/>
      <w:lvlJc w:val="left"/>
      <w:pPr>
        <w:ind w:left="3706" w:hanging="360"/>
      </w:pPr>
    </w:lvl>
    <w:lvl w:ilvl="5" w:tentative="0">
      <w:start w:val="1"/>
      <w:numFmt w:val="lowerRoman"/>
      <w:lvlText w:val="%6."/>
      <w:lvlJc w:val="right"/>
      <w:pPr>
        <w:ind w:left="4426" w:hanging="180"/>
      </w:pPr>
    </w:lvl>
    <w:lvl w:ilvl="6" w:tentative="0">
      <w:start w:val="1"/>
      <w:numFmt w:val="decimal"/>
      <w:lvlText w:val="%7."/>
      <w:lvlJc w:val="left"/>
      <w:pPr>
        <w:ind w:left="5146" w:hanging="360"/>
      </w:pPr>
    </w:lvl>
    <w:lvl w:ilvl="7" w:tentative="0">
      <w:start w:val="1"/>
      <w:numFmt w:val="lowerLetter"/>
      <w:lvlText w:val="%8."/>
      <w:lvlJc w:val="left"/>
      <w:pPr>
        <w:ind w:left="5866" w:hanging="360"/>
      </w:pPr>
    </w:lvl>
    <w:lvl w:ilvl="8" w:tentative="0">
      <w:start w:val="1"/>
      <w:numFmt w:val="lowerRoman"/>
      <w:lvlText w:val="%9."/>
      <w:lvlJc w:val="right"/>
      <w:pPr>
        <w:ind w:left="6586" w:hanging="180"/>
      </w:pPr>
    </w:lvl>
  </w:abstractNum>
  <w:abstractNum w:abstractNumId="32">
    <w:nsid w:val="5AA41C66"/>
    <w:multiLevelType w:val="multilevel"/>
    <w:tmpl w:val="5AA41C6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BDE1D10"/>
    <w:multiLevelType w:val="multilevel"/>
    <w:tmpl w:val="5BDE1D10"/>
    <w:lvl w:ilvl="0" w:tentative="0">
      <w:start w:val="1"/>
      <w:numFmt w:val="bullet"/>
      <w:pStyle w:val="3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4">
    <w:nsid w:val="5DC92FD9"/>
    <w:multiLevelType w:val="multilevel"/>
    <w:tmpl w:val="5DC92F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DF54E00"/>
    <w:multiLevelType w:val="multilevel"/>
    <w:tmpl w:val="5DF54E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F1912B1"/>
    <w:multiLevelType w:val="multilevel"/>
    <w:tmpl w:val="5F1912B1"/>
    <w:lvl w:ilvl="0" w:tentative="0">
      <w:start w:val="1"/>
      <w:numFmt w:val="bullet"/>
      <w:pStyle w:val="157"/>
      <w:lvlText w:val=""/>
      <w:lvlJc w:val="left"/>
      <w:pPr>
        <w:ind w:left="720" w:hanging="360"/>
      </w:pPr>
      <w:rPr>
        <w:rFonts w:hint="default" w:ascii="Symbol" w:hAnsi="Symbol"/>
      </w:rPr>
    </w:lvl>
    <w:lvl w:ilvl="1" w:tentative="0">
      <w:start w:val="1"/>
      <w:numFmt w:val="bullet"/>
      <w:pStyle w:val="158"/>
      <w:lvlText w:val="o"/>
      <w:lvlJc w:val="left"/>
      <w:pPr>
        <w:ind w:left="1440" w:hanging="360"/>
      </w:pPr>
      <w:rPr>
        <w:rFonts w:hint="default" w:ascii="Courier New" w:hAnsi="Courier New" w:cs="Courier New"/>
      </w:rPr>
    </w:lvl>
    <w:lvl w:ilvl="2" w:tentative="0">
      <w:start w:val="1"/>
      <w:numFmt w:val="bullet"/>
      <w:pStyle w:val="160"/>
      <w:lvlText w:val=""/>
      <w:lvlJc w:val="left"/>
      <w:pPr>
        <w:ind w:left="2769" w:hanging="360"/>
      </w:pPr>
      <w:rPr>
        <w:rFonts w:hint="default" w:ascii="Wingdings" w:hAnsi="Wingdings"/>
      </w:rPr>
    </w:lvl>
    <w:lvl w:ilvl="3" w:tentative="0">
      <w:start w:val="1"/>
      <w:numFmt w:val="bullet"/>
      <w:pStyle w:val="16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08B791D"/>
    <w:multiLevelType w:val="multilevel"/>
    <w:tmpl w:val="608B79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19A285B"/>
    <w:multiLevelType w:val="multilevel"/>
    <w:tmpl w:val="619A28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2522A17"/>
    <w:multiLevelType w:val="multilevel"/>
    <w:tmpl w:val="62522A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7514C42"/>
    <w:multiLevelType w:val="multilevel"/>
    <w:tmpl w:val="67514C42"/>
    <w:lvl w:ilvl="0" w:tentative="0">
      <w:start w:val="1"/>
      <w:numFmt w:val="bullet"/>
      <w:lvlText w:val=""/>
      <w:lvlJc w:val="left"/>
      <w:pPr>
        <w:ind w:left="1600" w:hanging="400"/>
      </w:pPr>
      <w:rPr>
        <w:rFonts w:hint="default" w:ascii="Wingdings" w:hAnsi="Wingdings"/>
      </w:rPr>
    </w:lvl>
    <w:lvl w:ilvl="1" w:tentative="0">
      <w:start w:val="1"/>
      <w:numFmt w:val="bullet"/>
      <w:lvlText w:val=""/>
      <w:lvlJc w:val="left"/>
      <w:pPr>
        <w:ind w:left="2000" w:hanging="400"/>
      </w:pPr>
      <w:rPr>
        <w:rFonts w:hint="default" w:ascii="Wingdings" w:hAnsi="Wingdings"/>
      </w:rPr>
    </w:lvl>
    <w:lvl w:ilvl="2" w:tentative="0">
      <w:start w:val="1"/>
      <w:numFmt w:val="bullet"/>
      <w:lvlText w:val=""/>
      <w:lvlJc w:val="left"/>
      <w:pPr>
        <w:ind w:left="2400" w:hanging="400"/>
      </w:pPr>
      <w:rPr>
        <w:rFonts w:hint="default" w:ascii="Wingdings" w:hAnsi="Wingdings"/>
      </w:rPr>
    </w:lvl>
    <w:lvl w:ilvl="3" w:tentative="0">
      <w:start w:val="1"/>
      <w:numFmt w:val="bullet"/>
      <w:lvlText w:val=""/>
      <w:lvlJc w:val="left"/>
      <w:pPr>
        <w:ind w:left="2800" w:hanging="400"/>
      </w:pPr>
      <w:rPr>
        <w:rFonts w:hint="default" w:ascii="Wingdings" w:hAnsi="Wingdings"/>
      </w:rPr>
    </w:lvl>
    <w:lvl w:ilvl="4" w:tentative="0">
      <w:start w:val="1"/>
      <w:numFmt w:val="bullet"/>
      <w:lvlText w:val=""/>
      <w:lvlJc w:val="left"/>
      <w:pPr>
        <w:ind w:left="3200" w:hanging="400"/>
      </w:pPr>
      <w:rPr>
        <w:rFonts w:hint="default" w:ascii="Wingdings" w:hAnsi="Wingdings"/>
      </w:rPr>
    </w:lvl>
    <w:lvl w:ilvl="5" w:tentative="0">
      <w:start w:val="1"/>
      <w:numFmt w:val="bullet"/>
      <w:lvlText w:val=""/>
      <w:lvlJc w:val="left"/>
      <w:pPr>
        <w:ind w:left="3600" w:hanging="400"/>
      </w:pPr>
      <w:rPr>
        <w:rFonts w:hint="default" w:ascii="Wingdings" w:hAnsi="Wingdings"/>
      </w:rPr>
    </w:lvl>
    <w:lvl w:ilvl="6" w:tentative="0">
      <w:start w:val="1"/>
      <w:numFmt w:val="bullet"/>
      <w:lvlText w:val=""/>
      <w:lvlJc w:val="left"/>
      <w:pPr>
        <w:ind w:left="4000" w:hanging="400"/>
      </w:pPr>
      <w:rPr>
        <w:rFonts w:hint="default" w:ascii="Wingdings" w:hAnsi="Wingdings"/>
      </w:rPr>
    </w:lvl>
    <w:lvl w:ilvl="7" w:tentative="0">
      <w:start w:val="1"/>
      <w:numFmt w:val="bullet"/>
      <w:lvlText w:val=""/>
      <w:lvlJc w:val="left"/>
      <w:pPr>
        <w:ind w:left="4400" w:hanging="400"/>
      </w:pPr>
      <w:rPr>
        <w:rFonts w:hint="default" w:ascii="Wingdings" w:hAnsi="Wingdings"/>
      </w:rPr>
    </w:lvl>
    <w:lvl w:ilvl="8" w:tentative="0">
      <w:start w:val="1"/>
      <w:numFmt w:val="bullet"/>
      <w:lvlText w:val=""/>
      <w:lvlJc w:val="left"/>
      <w:pPr>
        <w:ind w:left="4800" w:hanging="400"/>
      </w:pPr>
      <w:rPr>
        <w:rFonts w:hint="default" w:ascii="Wingdings" w:hAnsi="Wingdings"/>
      </w:rPr>
    </w:lvl>
  </w:abstractNum>
  <w:abstractNum w:abstractNumId="41">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2">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3">
    <w:nsid w:val="782034D9"/>
    <w:multiLevelType w:val="multilevel"/>
    <w:tmpl w:val="782034D9"/>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BDE40EF"/>
    <w:multiLevelType w:val="multilevel"/>
    <w:tmpl w:val="7BDE40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7F083B60"/>
    <w:multiLevelType w:val="multilevel"/>
    <w:tmpl w:val="7F083B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1"/>
  </w:num>
  <w:num w:numId="2">
    <w:abstractNumId w:val="23"/>
  </w:num>
  <w:num w:numId="3">
    <w:abstractNumId w:val="8"/>
  </w:num>
  <w:num w:numId="4">
    <w:abstractNumId w:val="20"/>
  </w:num>
  <w:num w:numId="5">
    <w:abstractNumId w:val="15"/>
  </w:num>
  <w:num w:numId="6">
    <w:abstractNumId w:val="33"/>
  </w:num>
  <w:num w:numId="7">
    <w:abstractNumId w:val="0"/>
  </w:num>
  <w:num w:numId="8">
    <w:abstractNumId w:val="42"/>
  </w:num>
  <w:num w:numId="9">
    <w:abstractNumId w:val="28"/>
  </w:num>
  <w:num w:numId="10">
    <w:abstractNumId w:val="24"/>
  </w:num>
  <w:num w:numId="11">
    <w:abstractNumId w:val="29"/>
  </w:num>
  <w:num w:numId="12">
    <w:abstractNumId w:val="30"/>
  </w:num>
  <w:num w:numId="13">
    <w:abstractNumId w:val="36"/>
  </w:num>
  <w:num w:numId="14">
    <w:abstractNumId w:val="9"/>
  </w:num>
  <w:num w:numId="15">
    <w:abstractNumId w:val="2"/>
  </w:num>
  <w:num w:numId="16">
    <w:abstractNumId w:val="16"/>
  </w:num>
  <w:num w:numId="17">
    <w:abstractNumId w:val="17"/>
  </w:num>
  <w:num w:numId="18">
    <w:abstractNumId w:val="12"/>
  </w:num>
  <w:num w:numId="19">
    <w:abstractNumId w:val="35"/>
  </w:num>
  <w:num w:numId="20">
    <w:abstractNumId w:val="10"/>
  </w:num>
  <w:num w:numId="21">
    <w:abstractNumId w:val="39"/>
  </w:num>
  <w:num w:numId="22">
    <w:abstractNumId w:val="22"/>
  </w:num>
  <w:num w:numId="23">
    <w:abstractNumId w:val="32"/>
  </w:num>
  <w:num w:numId="24">
    <w:abstractNumId w:val="43"/>
  </w:num>
  <w:num w:numId="25">
    <w:abstractNumId w:val="13"/>
  </w:num>
  <w:num w:numId="26">
    <w:abstractNumId w:val="21"/>
  </w:num>
  <w:num w:numId="27">
    <w:abstractNumId w:val="45"/>
  </w:num>
  <w:num w:numId="28">
    <w:abstractNumId w:val="5"/>
  </w:num>
  <w:num w:numId="29">
    <w:abstractNumId w:val="14"/>
  </w:num>
  <w:num w:numId="30">
    <w:abstractNumId w:val="37"/>
  </w:num>
  <w:num w:numId="31">
    <w:abstractNumId w:val="4"/>
  </w:num>
  <w:num w:numId="32">
    <w:abstractNumId w:val="44"/>
  </w:num>
  <w:num w:numId="33">
    <w:abstractNumId w:val="31"/>
  </w:num>
  <w:num w:numId="34">
    <w:abstractNumId w:val="26"/>
  </w:num>
  <w:num w:numId="35">
    <w:abstractNumId w:val="1"/>
  </w:num>
  <w:num w:numId="36">
    <w:abstractNumId w:val="40"/>
  </w:num>
  <w:num w:numId="37">
    <w:abstractNumId w:val="7"/>
  </w:num>
  <w:num w:numId="38">
    <w:abstractNumId w:val="19"/>
  </w:num>
  <w:num w:numId="39">
    <w:abstractNumId w:val="18"/>
  </w:num>
  <w:num w:numId="40">
    <w:abstractNumId w:val="38"/>
  </w:num>
  <w:num w:numId="41">
    <w:abstractNumId w:val="27"/>
  </w:num>
  <w:num w:numId="42">
    <w:abstractNumId w:val="3"/>
  </w:num>
  <w:num w:numId="43">
    <w:abstractNumId w:val="25"/>
  </w:num>
  <w:num w:numId="44">
    <w:abstractNumId w:val="34"/>
  </w:num>
  <w:num w:numId="45">
    <w:abstractNumId w:val="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mwrAUARww6a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2EE9"/>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F93"/>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945"/>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CF5"/>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5ADF"/>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3E31"/>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4EEC"/>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A13"/>
    <w:rsid w:val="003B0DD1"/>
    <w:rsid w:val="003B1357"/>
    <w:rsid w:val="003B159C"/>
    <w:rsid w:val="003B15A2"/>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6CD"/>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EFC"/>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CD4"/>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0E2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0F4"/>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C79"/>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58F7"/>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0A4E"/>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236"/>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21"/>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767"/>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392"/>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0D9"/>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0CFC"/>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2CF"/>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4FB0"/>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5725"/>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7A8"/>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9E8"/>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3A7C"/>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16E"/>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5063"/>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3A87"/>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A65"/>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7B"/>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08F6"/>
    <w:rsid w:val="00D7141F"/>
    <w:rsid w:val="00D71CCA"/>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63A"/>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1CDC"/>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1ACF"/>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2C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6EE8"/>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959"/>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5B6B"/>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3F0D"/>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 w:val="2E120A5C"/>
    <w:rsid w:val="50405DE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8"/>
    <w:qFormat/>
    <w:uiPriority w:val="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1">
    <w:name w:val="Default Paragraph Font"/>
    <w:semiHidden/>
    <w:unhideWhenUsed/>
    <w:qFormat/>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5"/>
    <w:qFormat/>
    <w:uiPriority w:val="0"/>
    <w:pPr>
      <w:ind w:left="568" w:hanging="284"/>
    </w:pPr>
  </w:style>
  <w:style w:type="paragraph" w:styleId="15">
    <w:name w:val="Body Text"/>
    <w:basedOn w:val="1"/>
    <w:link w:val="74"/>
    <w:qFormat/>
    <w:uiPriority w:val="0"/>
    <w:pPr>
      <w:spacing w:after="120"/>
    </w:pPr>
  </w:style>
  <w:style w:type="paragraph" w:styleId="16">
    <w:name w:val="annotation subject"/>
    <w:basedOn w:val="17"/>
    <w:next w:val="17"/>
    <w:link w:val="110"/>
    <w:qFormat/>
    <w:uiPriority w:val="0"/>
    <w:rPr>
      <w:b/>
      <w:bCs/>
    </w:rPr>
  </w:style>
  <w:style w:type="paragraph" w:styleId="17">
    <w:name w:val="annotation text"/>
    <w:basedOn w:val="1"/>
    <w:link w:val="109"/>
    <w:qFormat/>
    <w:uiPriority w:val="0"/>
  </w:style>
  <w:style w:type="paragraph" w:styleId="18">
    <w:name w:val="toc 7"/>
    <w:basedOn w:val="19"/>
    <w:next w:val="1"/>
    <w:qFormat/>
    <w:uiPriority w:val="39"/>
    <w:pPr>
      <w:tabs>
        <w:tab w:val="right" w:leader="dot" w:pos="9639"/>
      </w:tabs>
      <w:ind w:left="2268" w:hanging="2268"/>
    </w:pPr>
  </w:style>
  <w:style w:type="paragraph" w:styleId="19">
    <w:name w:val="toc 6"/>
    <w:basedOn w:val="20"/>
    <w:next w:val="1"/>
    <w:qFormat/>
    <w:uiPriority w:val="39"/>
    <w:pPr>
      <w:tabs>
        <w:tab w:val="right" w:leader="dot" w:pos="9639"/>
      </w:tabs>
      <w:ind w:left="1985" w:hanging="1985"/>
    </w:pPr>
  </w:style>
  <w:style w:type="paragraph" w:styleId="20">
    <w:name w:val="toc 5"/>
    <w:basedOn w:val="21"/>
    <w:next w:val="1"/>
    <w:qFormat/>
    <w:uiPriority w:val="39"/>
    <w:pPr>
      <w:tabs>
        <w:tab w:val="right" w:leader="dot" w:pos="9639"/>
      </w:tabs>
      <w:ind w:left="1701" w:hanging="1701"/>
    </w:pPr>
  </w:style>
  <w:style w:type="paragraph" w:styleId="21">
    <w:name w:val="toc 4"/>
    <w:basedOn w:val="22"/>
    <w:next w:val="1"/>
    <w:qFormat/>
    <w:uiPriority w:val="39"/>
    <w:pPr>
      <w:tabs>
        <w:tab w:val="right" w:leader="dot" w:pos="9639"/>
      </w:tabs>
      <w:ind w:left="1418" w:hanging="1418"/>
    </w:pPr>
  </w:style>
  <w:style w:type="paragraph" w:styleId="22">
    <w:name w:val="toc 3"/>
    <w:basedOn w:val="23"/>
    <w:next w:val="1"/>
    <w:qFormat/>
    <w:uiPriority w:val="39"/>
    <w:pPr>
      <w:tabs>
        <w:tab w:val="right" w:leader="dot" w:pos="9639"/>
      </w:tabs>
      <w:ind w:left="1134" w:hanging="1134"/>
    </w:pPr>
  </w:style>
  <w:style w:type="paragraph" w:styleId="23">
    <w:name w:val="toc 2"/>
    <w:basedOn w:val="24"/>
    <w:next w:val="1"/>
    <w:qFormat/>
    <w:uiPriority w:val="39"/>
    <w:pPr>
      <w:keepNext w:val="0"/>
      <w:tabs>
        <w:tab w:val="right" w:leader="dot" w:pos="9639"/>
      </w:tabs>
      <w:spacing w:before="0"/>
      <w:ind w:left="851" w:hanging="851"/>
    </w:pPr>
    <w:rPr>
      <w:sz w:val="20"/>
    </w:rPr>
  </w:style>
  <w:style w:type="paragraph" w:styleId="24">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5">
    <w:name w:val="List Number 2"/>
    <w:basedOn w:val="26"/>
    <w:qFormat/>
    <w:uiPriority w:val="0"/>
    <w:pPr>
      <w:numPr>
        <w:ilvl w:val="0"/>
        <w:numId w:val="1"/>
      </w:numPr>
    </w:pPr>
  </w:style>
  <w:style w:type="paragraph" w:styleId="26">
    <w:name w:val="List Number"/>
    <w:basedOn w:val="14"/>
    <w:qFormat/>
    <w:uiPriority w:val="0"/>
    <w:pPr>
      <w:numPr>
        <w:ilvl w:val="0"/>
        <w:numId w:val="2"/>
      </w:numPr>
    </w:pPr>
  </w:style>
  <w:style w:type="paragraph" w:styleId="27">
    <w:name w:val="List Bullet 4"/>
    <w:basedOn w:val="28"/>
    <w:qFormat/>
    <w:uiPriority w:val="0"/>
    <w:pPr>
      <w:numPr>
        <w:numId w:val="3"/>
      </w:numPr>
    </w:pPr>
  </w:style>
  <w:style w:type="paragraph" w:styleId="28">
    <w:name w:val="List Bullet 3"/>
    <w:basedOn w:val="29"/>
    <w:qFormat/>
    <w:uiPriority w:val="0"/>
    <w:pPr>
      <w:numPr>
        <w:numId w:val="4"/>
      </w:numPr>
    </w:pPr>
  </w:style>
  <w:style w:type="paragraph" w:styleId="29">
    <w:name w:val="List Bullet 2"/>
    <w:basedOn w:val="30"/>
    <w:qFormat/>
    <w:uiPriority w:val="0"/>
    <w:pPr>
      <w:numPr>
        <w:ilvl w:val="0"/>
        <w:numId w:val="5"/>
      </w:numPr>
    </w:pPr>
  </w:style>
  <w:style w:type="paragraph" w:styleId="30">
    <w:name w:val="List Bullet"/>
    <w:basedOn w:val="14"/>
    <w:qFormat/>
    <w:uiPriority w:val="0"/>
    <w:pPr>
      <w:numPr>
        <w:ilvl w:val="0"/>
        <w:numId w:val="6"/>
      </w:numPr>
    </w:pPr>
  </w:style>
  <w:style w:type="paragraph" w:styleId="31">
    <w:name w:val="caption"/>
    <w:basedOn w:val="1"/>
    <w:next w:val="1"/>
    <w:qFormat/>
    <w:uiPriority w:val="0"/>
    <w:pPr>
      <w:spacing w:before="120" w:after="120"/>
    </w:pPr>
    <w:rPr>
      <w:b/>
      <w:lang w:eastAsia="en-GB"/>
    </w:rPr>
  </w:style>
  <w:style w:type="paragraph" w:styleId="32">
    <w:name w:val="Document Map"/>
    <w:basedOn w:val="1"/>
    <w:link w:val="115"/>
    <w:qFormat/>
    <w:uiPriority w:val="0"/>
    <w:pPr>
      <w:shd w:val="clear" w:color="auto" w:fill="000080"/>
    </w:pPr>
    <w:rPr>
      <w:rFonts w:ascii="Tahoma" w:hAnsi="Tahoma" w:cs="Tahoma"/>
    </w:rPr>
  </w:style>
  <w:style w:type="paragraph" w:styleId="33">
    <w:name w:val="List Number 3"/>
    <w:basedOn w:val="25"/>
    <w:qFormat/>
    <w:uiPriority w:val="0"/>
    <w:pPr>
      <w:numPr>
        <w:numId w:val="7"/>
      </w:numPr>
      <w:contextualSpacing/>
    </w:pPr>
  </w:style>
  <w:style w:type="paragraph" w:styleId="34">
    <w:name w:val="List Continue"/>
    <w:basedOn w:val="1"/>
    <w:qFormat/>
    <w:uiPriority w:val="0"/>
    <w:pPr>
      <w:spacing w:after="120"/>
      <w:ind w:left="283"/>
      <w:contextualSpacing/>
    </w:pPr>
  </w:style>
  <w:style w:type="paragraph" w:styleId="35">
    <w:name w:val="Plain Text"/>
    <w:basedOn w:val="1"/>
    <w:link w:val="139"/>
    <w:qFormat/>
    <w:uiPriority w:val="0"/>
    <w:rPr>
      <w:rFonts w:ascii="Courier New" w:hAnsi="Courier New"/>
      <w:lang w:val="nb-NO"/>
    </w:rPr>
  </w:style>
  <w:style w:type="paragraph" w:styleId="36">
    <w:name w:val="List Bullet 5"/>
    <w:basedOn w:val="27"/>
    <w:qFormat/>
    <w:uiPriority w:val="0"/>
    <w:pPr>
      <w:numPr>
        <w:numId w:val="8"/>
      </w:numPr>
    </w:pPr>
  </w:style>
  <w:style w:type="paragraph" w:styleId="37">
    <w:name w:val="toc 8"/>
    <w:basedOn w:val="24"/>
    <w:next w:val="1"/>
    <w:qFormat/>
    <w:uiPriority w:val="39"/>
    <w:pPr>
      <w:spacing w:before="180"/>
      <w:ind w:left="2693" w:hanging="2693"/>
    </w:pPr>
    <w:rPr>
      <w:b/>
    </w:rPr>
  </w:style>
  <w:style w:type="paragraph" w:styleId="38">
    <w:name w:val="Balloon Text"/>
    <w:basedOn w:val="1"/>
    <w:link w:val="108"/>
    <w:qFormat/>
    <w:uiPriority w:val="0"/>
    <w:rPr>
      <w:rFonts w:ascii="Segoe UI" w:hAnsi="Segoe UI" w:cs="Segoe UI"/>
      <w:sz w:val="18"/>
      <w:szCs w:val="18"/>
    </w:rPr>
  </w:style>
  <w:style w:type="paragraph" w:styleId="39">
    <w:name w:val="footer"/>
    <w:basedOn w:val="40"/>
    <w:link w:val="121"/>
    <w:qFormat/>
    <w:uiPriority w:val="0"/>
    <w:pPr>
      <w:jc w:val="center"/>
    </w:pPr>
    <w:rPr>
      <w:i/>
    </w:rPr>
  </w:style>
  <w:style w:type="paragraph" w:styleId="40">
    <w:name w:val="header"/>
    <w:link w:val="120"/>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2"/>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style>
  <w:style w:type="paragraph" w:styleId="48">
    <w:name w:val="Normal (Web)"/>
    <w:basedOn w:val="1"/>
    <w:qFormat/>
    <w:uiPriority w:val="0"/>
    <w:pPr>
      <w:spacing w:before="100" w:beforeAutospacing="1" w:after="100" w:afterAutospacing="1"/>
    </w:p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unhideWhenUsed/>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HTML Code"/>
    <w:unhideWhenUsed/>
    <w:qFormat/>
    <w:uiPriority w:val="99"/>
    <w:rPr>
      <w:rFonts w:ascii="Courier New" w:hAnsi="Courier New" w:eastAsia="Times New Roman" w:cs="Courier New"/>
      <w:sz w:val="20"/>
      <w:szCs w:val="20"/>
    </w:rPr>
  </w:style>
  <w:style w:type="character" w:styleId="58">
    <w:name w:val="annotation reference"/>
    <w:qFormat/>
    <w:uiPriority w:val="0"/>
    <w:rPr>
      <w:sz w:val="16"/>
      <w:szCs w:val="16"/>
    </w:rPr>
  </w:style>
  <w:style w:type="character" w:styleId="59">
    <w:name w:val="footnote reference"/>
    <w:qFormat/>
    <w:uiPriority w:val="0"/>
    <w:rPr>
      <w:b/>
      <w:position w:val="6"/>
      <w:sz w:val="16"/>
    </w:rPr>
  </w:style>
  <w:style w:type="table" w:styleId="61">
    <w:name w:val="Table Grid"/>
    <w:basedOn w:val="60"/>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2">
    <w:name w:val="Figure"/>
    <w:basedOn w:val="1"/>
    <w:next w:val="31"/>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字符"/>
    <w:link w:val="2"/>
    <w:qFormat/>
    <w:uiPriority w:val="0"/>
    <w:rPr>
      <w:rFonts w:ascii="Arial" w:hAnsi="Arial"/>
      <w:sz w:val="36"/>
      <w:lang w:eastAsia="ja-JP"/>
    </w:rPr>
  </w:style>
  <w:style w:type="paragraph" w:customStyle="1" w:styleId="69">
    <w:name w:val="B1"/>
    <w:basedOn w:val="14"/>
    <w:link w:val="98"/>
    <w:qFormat/>
    <w:uiPriority w:val="0"/>
  </w:style>
  <w:style w:type="paragraph" w:customStyle="1" w:styleId="70">
    <w:name w:val="B2"/>
    <w:basedOn w:val="13"/>
    <w:link w:val="99"/>
    <w:uiPriority w:val="0"/>
  </w:style>
  <w:style w:type="paragraph" w:customStyle="1" w:styleId="71">
    <w:name w:val="B3"/>
    <w:basedOn w:val="12"/>
    <w:link w:val="100"/>
    <w:uiPriority w:val="0"/>
  </w:style>
  <w:style w:type="paragraph" w:customStyle="1" w:styleId="72">
    <w:name w:val="B4"/>
    <w:basedOn w:val="44"/>
    <w:link w:val="101"/>
    <w:uiPriority w:val="0"/>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正文文本 字符"/>
    <w:link w:val="15"/>
    <w:uiPriority w:val="0"/>
    <w:rPr>
      <w:rFonts w:ascii="Arial" w:hAnsi="Arial"/>
      <w:lang w:eastAsia="zh-CN"/>
    </w:rPr>
  </w:style>
  <w:style w:type="paragraph" w:customStyle="1" w:styleId="75">
    <w:name w:val="B5"/>
    <w:basedOn w:val="43"/>
    <w:link w:val="102"/>
    <w:uiPriority w:val="0"/>
  </w:style>
  <w:style w:type="paragraph" w:customStyle="1" w:styleId="76">
    <w:name w:val="EX"/>
    <w:basedOn w:val="1"/>
    <w:uiPriority w:val="0"/>
    <w:pPr>
      <w:keepLines/>
      <w:ind w:left="1702" w:hanging="1418"/>
    </w:pPr>
  </w:style>
  <w:style w:type="paragraph" w:customStyle="1" w:styleId="77">
    <w:name w:val="EW"/>
    <w:basedOn w:val="76"/>
    <w:uiPriority w:val="0"/>
  </w:style>
  <w:style w:type="paragraph" w:customStyle="1" w:styleId="78">
    <w:name w:val="TAL"/>
    <w:basedOn w:val="1"/>
    <w:link w:val="140"/>
    <w:qFormat/>
    <w:uiPriority w:val="0"/>
    <w:pPr>
      <w:keepNext/>
      <w:keepLines/>
    </w:pPr>
    <w:rPr>
      <w:sz w:val="18"/>
    </w:rPr>
  </w:style>
  <w:style w:type="paragraph" w:customStyle="1" w:styleId="79">
    <w:name w:val="TAC"/>
    <w:basedOn w:val="78"/>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uiPriority w:val="0"/>
    <w:pPr>
      <w:jc w:val="right"/>
    </w:pPr>
  </w:style>
  <w:style w:type="paragraph" w:customStyle="1" w:styleId="83">
    <w:name w:val="TH"/>
    <w:basedOn w:val="1"/>
    <w:link w:val="142"/>
    <w:uiPriority w:val="0"/>
    <w:pPr>
      <w:keepNext/>
      <w:keepLines/>
      <w:spacing w:before="60"/>
      <w:jc w:val="center"/>
    </w:pPr>
    <w:rPr>
      <w:b/>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uiPriority w:val="0"/>
    <w:pPr>
      <w:framePr w:y="16161"/>
    </w:pPr>
  </w:style>
  <w:style w:type="paragraph" w:customStyle="1" w:styleId="96">
    <w:name w:val="FP"/>
    <w:basedOn w:val="1"/>
    <w:uiPriority w:val="0"/>
  </w:style>
  <w:style w:type="paragraph" w:customStyle="1" w:styleId="97">
    <w:name w:val="Observation"/>
    <w:basedOn w:val="73"/>
    <w:qFormat/>
    <w:uiPriority w:val="0"/>
    <w:pPr>
      <w:numPr>
        <w:ilvl w:val="0"/>
        <w:numId w:val="11"/>
      </w:numPr>
      <w:ind w:left="1701" w:hanging="1701"/>
    </w:p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字符"/>
    <w:link w:val="38"/>
    <w:qFormat/>
    <w:uiPriority w:val="0"/>
    <w:rPr>
      <w:rFonts w:ascii="Segoe UI" w:hAnsi="Segoe UI" w:cs="Segoe UI"/>
      <w:sz w:val="18"/>
      <w:szCs w:val="18"/>
      <w:lang w:eastAsia="ja-JP"/>
    </w:rPr>
  </w:style>
  <w:style w:type="character" w:customStyle="1" w:styleId="109">
    <w:name w:val="批注文字 字符"/>
    <w:link w:val="17"/>
    <w:qFormat/>
    <w:uiPriority w:val="0"/>
    <w:rPr>
      <w:rFonts w:ascii="Times New Roman" w:hAnsi="Times New Roman"/>
      <w:lang w:eastAsia="ja-JP"/>
    </w:rPr>
  </w:style>
  <w:style w:type="character" w:customStyle="1" w:styleId="110">
    <w:name w:val="批注主题 字符"/>
    <w:link w:val="16"/>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eastAsia="MS Mincho"/>
    </w:rPr>
  </w:style>
  <w:style w:type="character" w:customStyle="1" w:styleId="114">
    <w:name w:val="Doc-text2 Char"/>
    <w:link w:val="113"/>
    <w:qFormat/>
    <w:locked/>
    <w:uiPriority w:val="0"/>
    <w:rPr>
      <w:rFonts w:ascii="Arial" w:hAnsi="Arial" w:eastAsia="MS Mincho"/>
      <w:szCs w:val="24"/>
    </w:rPr>
  </w:style>
  <w:style w:type="character" w:customStyle="1" w:styleId="115">
    <w:name w:val="文档结构图 字符"/>
    <w:link w:val="32"/>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rPr>
  </w:style>
  <w:style w:type="paragraph" w:customStyle="1" w:styleId="118">
    <w:name w:val="EmailDiscussion"/>
    <w:basedOn w:val="1"/>
    <w:next w:val="1"/>
    <w:qFormat/>
    <w:uiPriority w:val="0"/>
    <w:pPr>
      <w:numPr>
        <w:ilvl w:val="0"/>
        <w:numId w:val="12"/>
      </w:numPr>
      <w:spacing w:before="40"/>
    </w:pPr>
    <w:rPr>
      <w:rFonts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页眉 字符"/>
    <w:link w:val="40"/>
    <w:qFormat/>
    <w:uiPriority w:val="0"/>
    <w:rPr>
      <w:rFonts w:ascii="Arial" w:hAnsi="Arial"/>
      <w:b/>
      <w:sz w:val="18"/>
      <w:lang w:eastAsia="ja-JP"/>
    </w:rPr>
  </w:style>
  <w:style w:type="character" w:customStyle="1" w:styleId="121">
    <w:name w:val="页脚 字符"/>
    <w:link w:val="39"/>
    <w:qFormat/>
    <w:uiPriority w:val="0"/>
    <w:rPr>
      <w:rFonts w:ascii="Arial" w:hAnsi="Arial"/>
      <w:b/>
      <w:i/>
      <w:sz w:val="18"/>
      <w:lang w:eastAsia="ja-JP"/>
    </w:rPr>
  </w:style>
  <w:style w:type="character" w:customStyle="1" w:styleId="122">
    <w:name w:val="脚注文本 字符"/>
    <w:link w:val="42"/>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ind w:left="720"/>
    </w:pPr>
    <w:rPr>
      <w:rFonts w:ascii="Calibri" w:hAnsi="Calibri" w:eastAsia="Calibri"/>
    </w:rPr>
  </w:style>
  <w:style w:type="character" w:customStyle="1" w:styleId="134">
    <w:name w:val="列表段落 字符"/>
    <w:link w:val="133"/>
    <w:qFormat/>
    <w:locked/>
    <w:uiPriority w:val="34"/>
    <w:rPr>
      <w:rFonts w:ascii="Calibri" w:hAnsi="Calibri" w:eastAsia="Calibri"/>
      <w:sz w:val="22"/>
      <w:szCs w:val="22"/>
      <w:lang w:eastAsia="en-US"/>
    </w:rPr>
  </w:style>
  <w:style w:type="paragraph" w:customStyle="1" w:styleId="135">
    <w:name w:val="NF"/>
    <w:basedOn w:val="66"/>
    <w:qFormat/>
    <w:uiPriority w:val="0"/>
    <w:pPr>
      <w:keepNext/>
    </w:pPr>
    <w:rPr>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5"/>
    <w:qFormat/>
    <w:uiPriority w:val="0"/>
    <w:rPr>
      <w:rFonts w:ascii="Courier New" w:hAnsi="Courier New"/>
      <w:lang w:val="nb-NO" w:eastAsia="ja-JP"/>
    </w:rPr>
  </w:style>
  <w:style w:type="character" w:customStyle="1" w:styleId="140">
    <w:name w:val="TAL Car"/>
    <w:link w:val="78"/>
    <w:qFormat/>
    <w:uiPriority w:val="0"/>
    <w:rPr>
      <w:rFonts w:ascii="Arial" w:hAnsi="Arial"/>
      <w:sz w:val="18"/>
    </w:rPr>
  </w:style>
  <w:style w:type="character" w:customStyle="1" w:styleId="141">
    <w:name w:val="TAH Car"/>
    <w:link w:val="80"/>
    <w:qFormat/>
    <w:locked/>
    <w:uiPriority w:val="0"/>
    <w:rPr>
      <w:rFonts w:ascii="Arial" w:hAnsi="Arial"/>
      <w:b/>
      <w:sz w:val="18"/>
    </w:rPr>
  </w:style>
  <w:style w:type="character" w:customStyle="1" w:styleId="142">
    <w:name w:val="TH Char"/>
    <w:link w:val="83"/>
    <w:qFormat/>
    <w:uiPriority w:val="0"/>
    <w:rPr>
      <w:rFonts w:ascii="Arial" w:hAnsi="Arial"/>
      <w:b/>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eastAsia="Malgun Gothic"/>
      <w:sz w:val="18"/>
    </w:rPr>
  </w:style>
  <w:style w:type="character" w:customStyle="1" w:styleId="145">
    <w:name w:val="TAL Char Char Char"/>
    <w:link w:val="144"/>
    <w:qFormat/>
    <w:uiPriority w:val="0"/>
    <w:rPr>
      <w:rFonts w:ascii="Arial" w:hAnsi="Arial" w:eastAsia="Malgun Gothic"/>
      <w:sz w:val="18"/>
    </w:rPr>
  </w:style>
  <w:style w:type="character" w:customStyle="1" w:styleId="146">
    <w:name w:val="TF Char"/>
    <w:link w:val="84"/>
    <w:qFormat/>
    <w:uiPriority w:val="0"/>
    <w:rPr>
      <w:rFonts w:ascii="Arial" w:hAnsi="Arial"/>
      <w:b/>
    </w:rPr>
  </w:style>
  <w:style w:type="character" w:styleId="147">
    <w:name w:val="Placeholder Text"/>
    <w:basedOn w:val="51"/>
    <w:semiHidden/>
    <w:qFormat/>
    <w:uiPriority w:val="99"/>
    <w:rPr>
      <w:color w:val="808080"/>
    </w:rPr>
  </w:style>
  <w:style w:type="paragraph" w:customStyle="1" w:styleId="148">
    <w:name w:val="3GPP Normal Text"/>
    <w:basedOn w:val="15"/>
    <w:link w:val="149"/>
    <w:qFormat/>
    <w:uiPriority w:val="0"/>
    <w:rPr>
      <w:rFonts w:eastAsia="MS Mincho"/>
    </w:rPr>
  </w:style>
  <w:style w:type="character" w:customStyle="1" w:styleId="149">
    <w:name w:val="3GPP Normal Text Char"/>
    <w:link w:val="148"/>
    <w:qFormat/>
    <w:uiPriority w:val="0"/>
    <w:rPr>
      <w:rFonts w:ascii="Times New Roman" w:hAnsi="Times New Roman" w:eastAsia="MS Mincho" w:cstheme="minorBidi"/>
      <w:sz w:val="22"/>
      <w:szCs w:val="24"/>
      <w:lang w:val="fi-FI" w:eastAsia="en-US"/>
    </w:rPr>
  </w:style>
  <w:style w:type="paragraph" w:customStyle="1" w:styleId="150">
    <w:name w:val="0 Main text"/>
    <w:basedOn w:val="1"/>
    <w:link w:val="151"/>
    <w:qFormat/>
    <w:uiPriority w:val="0"/>
    <w:pPr>
      <w:spacing w:before="100" w:beforeAutospacing="1" w:after="100" w:afterAutospacing="1"/>
      <w:ind w:firstLine="360"/>
    </w:pPr>
    <w:rPr>
      <w:rFonts w:eastAsia="Malgun Gothic" w:cs="Batang"/>
    </w:rPr>
  </w:style>
  <w:style w:type="character" w:customStyle="1" w:styleId="151">
    <w:name w:val="0 Main text Char"/>
    <w:basedOn w:val="51"/>
    <w:link w:val="150"/>
    <w:qFormat/>
    <w:uiPriority w:val="0"/>
    <w:rPr>
      <w:rFonts w:ascii="Times New Roman" w:hAnsi="Times New Roman" w:eastAsia="Malgun Gothic" w:cs="Batang"/>
      <w:lang w:eastAsia="en-US"/>
    </w:rPr>
  </w:style>
  <w:style w:type="paragraph" w:customStyle="1" w:styleId="152">
    <w:name w:val="3GPP Text"/>
    <w:basedOn w:val="1"/>
    <w:link w:val="153"/>
    <w:qFormat/>
    <w:uiPriority w:val="0"/>
    <w:pPr>
      <w:spacing w:before="120" w:after="120"/>
    </w:pPr>
    <w:rPr>
      <w:rFonts w:eastAsia="宋体"/>
    </w:rPr>
  </w:style>
  <w:style w:type="character" w:customStyle="1" w:styleId="153">
    <w:name w:val="3GPP Text Char"/>
    <w:link w:val="152"/>
    <w:qFormat/>
    <w:uiPriority w:val="0"/>
    <w:rPr>
      <w:rFonts w:ascii="Times New Roman" w:hAnsi="Times New Roman" w:eastAsia="宋体"/>
      <w:sz w:val="22"/>
      <w:lang w:val="en-US" w:eastAsia="en-US"/>
    </w:rPr>
  </w:style>
  <w:style w:type="paragraph" w:customStyle="1" w:styleId="154">
    <w:name w:val="LGTdoc_본문"/>
    <w:basedOn w:val="1"/>
    <w:link w:val="155"/>
    <w:qFormat/>
    <w:uiPriority w:val="0"/>
    <w:pPr>
      <w:snapToGrid w:val="0"/>
      <w:spacing w:before="60" w:afterLines="50" w:line="264" w:lineRule="auto"/>
      <w:ind w:left="851" w:hanging="284"/>
    </w:pPr>
    <w:rPr>
      <w:rFonts w:eastAsia="Batang"/>
    </w:rPr>
  </w:style>
  <w:style w:type="character" w:customStyle="1" w:styleId="155">
    <w:name w:val="LGTdoc_본문 Char"/>
    <w:link w:val="154"/>
    <w:qFormat/>
    <w:uiPriority w:val="0"/>
    <w:rPr>
      <w:rFonts w:ascii="Times New Roman" w:hAnsi="Times New Roman" w:eastAsia="Batang"/>
      <w:kern w:val="2"/>
      <w:sz w:val="22"/>
      <w:szCs w:val="24"/>
      <w:lang w:val="en-US"/>
    </w:rPr>
  </w:style>
  <w:style w:type="paragraph" w:styleId="156">
    <w:name w:val="No Spacing"/>
    <w:qFormat/>
    <w:uiPriority w:val="1"/>
    <w:rPr>
      <w:rFonts w:ascii="Times New Roman" w:hAnsi="Times New Roman" w:eastAsia="MS Gothic" w:cs="Times New Roman"/>
      <w:sz w:val="24"/>
      <w:szCs w:val="24"/>
      <w:lang w:val="en-GB" w:eastAsia="en-US" w:bidi="ar-SA"/>
    </w:rPr>
  </w:style>
  <w:style w:type="paragraph" w:customStyle="1" w:styleId="157">
    <w:name w:val="bullet1"/>
    <w:basedOn w:val="1"/>
    <w:link w:val="159"/>
    <w:qFormat/>
    <w:uiPriority w:val="0"/>
    <w:pPr>
      <w:numPr>
        <w:ilvl w:val="0"/>
        <w:numId w:val="13"/>
      </w:numPr>
    </w:pPr>
    <w:rPr>
      <w:rFonts w:ascii="Times" w:hAnsi="Times" w:eastAsia="Batang"/>
    </w:rPr>
  </w:style>
  <w:style w:type="paragraph" w:customStyle="1" w:styleId="158">
    <w:name w:val="bullet2"/>
    <w:basedOn w:val="1"/>
    <w:link w:val="162"/>
    <w:qFormat/>
    <w:uiPriority w:val="0"/>
    <w:pPr>
      <w:numPr>
        <w:ilvl w:val="1"/>
        <w:numId w:val="13"/>
      </w:numPr>
    </w:pPr>
    <w:rPr>
      <w:rFonts w:ascii="Times" w:hAnsi="Times" w:eastAsia="Batang"/>
    </w:rPr>
  </w:style>
  <w:style w:type="character" w:customStyle="1" w:styleId="159">
    <w:name w:val="bullet1 Char"/>
    <w:link w:val="157"/>
    <w:uiPriority w:val="0"/>
    <w:rPr>
      <w:rFonts w:ascii="Times" w:hAnsi="Times" w:eastAsia="Batang" w:cstheme="minorBidi"/>
      <w:kern w:val="2"/>
      <w:sz w:val="21"/>
      <w:szCs w:val="22"/>
      <w:lang w:val="en-US" w:eastAsia="zh-CN"/>
    </w:rPr>
  </w:style>
  <w:style w:type="paragraph" w:customStyle="1" w:styleId="160">
    <w:name w:val="bullet3"/>
    <w:basedOn w:val="1"/>
    <w:qFormat/>
    <w:uiPriority w:val="0"/>
    <w:pPr>
      <w:numPr>
        <w:ilvl w:val="2"/>
        <w:numId w:val="13"/>
      </w:numPr>
      <w:ind w:hanging="180"/>
    </w:pPr>
    <w:rPr>
      <w:rFonts w:ascii="Times" w:hAnsi="Times" w:eastAsia="Batang"/>
    </w:rPr>
  </w:style>
  <w:style w:type="paragraph" w:customStyle="1" w:styleId="161">
    <w:name w:val="bullet4"/>
    <w:basedOn w:val="1"/>
    <w:qFormat/>
    <w:uiPriority w:val="0"/>
    <w:pPr>
      <w:numPr>
        <w:ilvl w:val="3"/>
        <w:numId w:val="13"/>
      </w:numPr>
    </w:pPr>
    <w:rPr>
      <w:rFonts w:ascii="Times" w:hAnsi="Times" w:eastAsia="Batang"/>
    </w:rPr>
  </w:style>
  <w:style w:type="character" w:customStyle="1" w:styleId="162">
    <w:name w:val="bullet2 Char"/>
    <w:link w:val="158"/>
    <w:uiPriority w:val="0"/>
    <w:rPr>
      <w:rFonts w:ascii="Times" w:hAnsi="Times" w:eastAsia="Batang" w:cstheme="minorBidi"/>
      <w:kern w:val="2"/>
      <w:sz w:val="21"/>
      <w:szCs w:val="22"/>
      <w:lang w:val="en-US" w:eastAsia="zh-CN"/>
    </w:rPr>
  </w:style>
  <w:style w:type="paragraph" w:customStyle="1" w:styleId="163">
    <w:name w:val="交底书"/>
    <w:basedOn w:val="1"/>
    <w:link w:val="164"/>
    <w:qFormat/>
    <w:uiPriority w:val="0"/>
    <w:rPr>
      <w:rFonts w:ascii="华文楷体" w:hAnsi="华文楷体" w:eastAsia="华文楷体"/>
      <w:sz w:val="24"/>
      <w:szCs w:val="24"/>
      <w:u w:color="EEECE1"/>
    </w:rPr>
  </w:style>
  <w:style w:type="character" w:customStyle="1" w:styleId="164">
    <w:name w:val="交底书 Char"/>
    <w:basedOn w:val="51"/>
    <w:link w:val="163"/>
    <w:uiPriority w:val="0"/>
    <w:rPr>
      <w:rFonts w:ascii="华文楷体" w:hAnsi="华文楷体" w:eastAsia="华文楷体" w:cstheme="minorBidi"/>
      <w:kern w:val="2"/>
      <w:sz w:val="24"/>
      <w:szCs w:val="24"/>
      <w:u w:color="EEECE1"/>
      <w:lang w:val="en-US" w:eastAsia="zh-CN"/>
    </w:rPr>
  </w:style>
  <w:style w:type="paragraph" w:customStyle="1" w:styleId="165">
    <w:name w:val="Defaul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GB"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073A3-6949-4080-9470-DD1EA17368BE}">
  <ds:schemaRefs/>
</ds:datastoreItem>
</file>

<file path=customXml/itemProps3.xml><?xml version="1.0" encoding="utf-8"?>
<ds:datastoreItem xmlns:ds="http://schemas.openxmlformats.org/officeDocument/2006/customXml" ds:itemID="{182973F3-F7C2-4BE4-90B4-4C29B0113B10}">
  <ds:schemaRefs/>
</ds:datastoreItem>
</file>

<file path=customXml/itemProps4.xml><?xml version="1.0" encoding="utf-8"?>
<ds:datastoreItem xmlns:ds="http://schemas.openxmlformats.org/officeDocument/2006/customXml" ds:itemID="{CCCEF5DB-6D74-4ABC-8E6F-B7CB33FEFD20}">
  <ds:schemaRefs/>
</ds:datastoreItem>
</file>

<file path=customXml/itemProps5.xml><?xml version="1.0" encoding="utf-8"?>
<ds:datastoreItem xmlns:ds="http://schemas.openxmlformats.org/officeDocument/2006/customXml" ds:itemID="{13BC27F1-65D8-408E-BD07-F7BB2B541542}">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13173</Words>
  <Characters>75091</Characters>
  <Lines>625</Lines>
  <Paragraphs>176</Paragraphs>
  <TotalTime>7</TotalTime>
  <ScaleCrop>false</ScaleCrop>
  <LinksUpToDate>false</LinksUpToDate>
  <CharactersWithSpaces>88088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2020-08-25T02:59:00Z</dcterms:created>
  <dcterms:modified xsi:type="dcterms:W3CDTF">2020-08-25T16:33:26Z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(2)HzY2pXKkwrkv20+PxF2l96rkC6EjLAzVlE3rLUuPMXuCU/p1ihTc/G0W4z56tfs3FwNZUCvO
7fb77Qw2T3PQjtQIEsm9vbbPYQsfsqtCg42oosVgQAT5yS3caYH10zkI4SrWRCqM1Ee/efZO
+LWhlPIzGxyj1+JGEpd+qIYVfjnb8zZFlb8ZTeYY3yTIrti0IKbzmE/KEp96BwgPsdp2TvTO
BGUmABzAvpMeBZ0f0P</vt:lpwstr>
  </property>
  <property fmtid="{D5CDD505-2E9C-101B-9397-08002B2CF9AE}" pid="6" name="_2015_ms_pID_7253431">
    <vt:lpwstr>oTEmbRQyfppyf+uxF0R9HRhV5dVGf5OeX7lq6F8eqXNb3fmSmExxws
wVI2wlLgAcwvMQb1TlHtwM9RklgbG6WE745TMY2+/X8BCA4iiqaafUz2MeTH+LjNZyGnHOLC
gq7o7rkTf5S+DHQqohy1rFJvnqmk5i3FVQz2Gfwuc2qx1XfbhBpBiXU3OkW5U+v3ZWc5yu2P
j6zx/7TWtXsIf1Pj</vt:lpwstr>
  </property>
  <property fmtid="{D5CDD505-2E9C-101B-9397-08002B2CF9AE}" pid="7" name="KSOProductBuildVer">
    <vt:lpwstr>2052-10.1.0.7469</vt:lpwstr>
  </property>
</Properties>
</file>