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af7"/>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af7"/>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332EF7">
      <w:pPr>
        <w:pStyle w:val="af7"/>
        <w:numPr>
          <w:ilvl w:val="0"/>
          <w:numId w:val="30"/>
        </w:numPr>
        <w:spacing w:before="240"/>
        <w:rPr>
          <w:lang w:val="en-GB"/>
        </w:rPr>
      </w:pPr>
      <w:r w:rsidRPr="00B21B3C">
        <w:rPr>
          <w:lang w:val="en-GB"/>
        </w:rPr>
        <w:t>There is a majority of companies supporting option A.</w:t>
      </w:r>
    </w:p>
    <w:p w14:paraId="2FA82428" w14:textId="7B3077A0" w:rsidR="00B21B3C" w:rsidRPr="00B21B3C" w:rsidRDefault="00B21B3C" w:rsidP="00332EF7">
      <w:pPr>
        <w:pStyle w:val="af7"/>
        <w:numPr>
          <w:ilvl w:val="0"/>
          <w:numId w:val="30"/>
        </w:numPr>
        <w:spacing w:before="240"/>
        <w:rPr>
          <w:lang w:val="en-GB"/>
        </w:rPr>
      </w:pPr>
      <w:r w:rsidRPr="00B21B3C">
        <w:rPr>
          <w:lang w:val="en-GB"/>
        </w:rPr>
        <w:lastRenderedPageBreak/>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332EF7">
      <w:pPr>
        <w:pStyle w:val="af7"/>
        <w:numPr>
          <w:ilvl w:val="0"/>
          <w:numId w:val="30"/>
        </w:numPr>
        <w:spacing w:before="240"/>
        <w:rPr>
          <w:lang w:val="en-GB"/>
        </w:rPr>
      </w:pPr>
      <w:r w:rsidRPr="00B21B3C">
        <w:rPr>
          <w:lang w:val="en-GB"/>
        </w:rPr>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af7"/>
        <w:numPr>
          <w:ilvl w:val="0"/>
          <w:numId w:val="30"/>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afa"/>
        <w:tblW w:w="0" w:type="auto"/>
        <w:tblLook w:val="04A0" w:firstRow="1" w:lastRow="0" w:firstColumn="1" w:lastColumn="0" w:noHBand="0" w:noVBand="1"/>
      </w:tblPr>
      <w:tblGrid>
        <w:gridCol w:w="517"/>
        <w:gridCol w:w="9112"/>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6D959869" w14:textId="0FDA37B4" w:rsidR="00ED3ABF" w:rsidRDefault="00ED3ABF" w:rsidP="008C72CF">
            <w:pPr>
              <w:rPr>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lastRenderedPageBreak/>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af7"/>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af7"/>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My understanding is that this can only apply to CG. For DG the maximum number is up to the gNB</w:t>
            </w:r>
            <w:r w:rsidR="002602EE">
              <w:rPr>
                <w:rFonts w:ascii="Arial" w:hAnsi="Arial" w:cs="Arial"/>
                <w:color w:val="FF0000"/>
                <w:szCs w:val="20"/>
              </w:rPr>
              <w:t>, as shown in the last agreement you copy.</w:t>
            </w:r>
          </w:p>
          <w:p w14:paraId="222459B1" w14:textId="77777777" w:rsidR="002602EE" w:rsidRDefault="002602EE" w:rsidP="00ED3ABF">
            <w:pPr>
              <w:spacing w:line="256" w:lineRule="auto"/>
              <w:rPr>
                <w:rFonts w:ascii="Arial" w:hAnsi="Arial" w:cs="Arial"/>
                <w:color w:val="FF0000"/>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p w14:paraId="59807309" w14:textId="77777777" w:rsidR="007E21C3" w:rsidRDefault="007E21C3" w:rsidP="00ED3ABF">
            <w:pPr>
              <w:spacing w:line="256" w:lineRule="auto"/>
              <w:rPr>
                <w:rFonts w:ascii="Arial" w:hAnsi="Arial" w:cs="Arial"/>
                <w:color w:val="FF0000"/>
                <w:szCs w:val="20"/>
              </w:rPr>
            </w:pPr>
          </w:p>
          <w:p w14:paraId="10501D3A" w14:textId="099378AC" w:rsidR="007E21C3"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hint="eastAsia"/>
                <w:color w:val="4472C4" w:themeColor="accent1"/>
                <w:szCs w:val="20"/>
              </w:rPr>
              <w:t>[</w:t>
            </w:r>
            <w:r w:rsidRPr="00F74FA4">
              <w:rPr>
                <w:rFonts w:ascii="Arial" w:eastAsia="DengXian" w:hAnsi="Arial" w:cs="Arial"/>
                <w:color w:val="4472C4" w:themeColor="accent1"/>
                <w:szCs w:val="20"/>
              </w:rPr>
              <w:t xml:space="preserve">OPPO2] For the CG case, we have made agreement (Please find Spreadtrum’s comment </w:t>
            </w:r>
            <w:r w:rsidRPr="00F74FA4">
              <w:rPr>
                <w:rFonts w:ascii="Arial" w:eastAsia="DengXian" w:hAnsi="Arial" w:cs="Arial"/>
                <w:color w:val="4472C4" w:themeColor="accent1"/>
                <w:szCs w:val="20"/>
              </w:rPr>
              <w:lastRenderedPageBreak/>
              <w:t>in the table, I copied the wrong proposal 3, sorry for the confusing).</w:t>
            </w:r>
          </w:p>
          <w:p w14:paraId="79892776" w14:textId="77777777" w:rsidR="00F74FA4" w:rsidRPr="00F74FA4" w:rsidRDefault="00F74FA4" w:rsidP="00ED3ABF">
            <w:pPr>
              <w:spacing w:line="256" w:lineRule="auto"/>
              <w:rPr>
                <w:rFonts w:ascii="Arial" w:eastAsia="DengXian" w:hAnsi="Arial" w:cs="Arial"/>
                <w:color w:val="4472C4" w:themeColor="accent1"/>
                <w:szCs w:val="20"/>
              </w:rPr>
            </w:pPr>
          </w:p>
          <w:p w14:paraId="0AD152F7" w14:textId="5024DE6B" w:rsidR="007E21C3" w:rsidRPr="00F74FA4"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color w:val="4472C4" w:themeColor="accent1"/>
                <w:szCs w:val="20"/>
              </w:rPr>
              <w:t xml:space="preserve">For DG case, we still prefer option B. </w:t>
            </w:r>
          </w:p>
          <w:p w14:paraId="3727B690" w14:textId="127AF1AC" w:rsidR="007E21C3"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color w:val="4472C4" w:themeColor="accent1"/>
                <w:szCs w:val="20"/>
              </w:rPr>
              <w:t>gNB allocates resource to UE for transmission. While UE may not be able to use the allocated reousrce actually</w:t>
            </w:r>
            <w:r w:rsidR="00F74FA4">
              <w:rPr>
                <w:rFonts w:ascii="Arial" w:eastAsia="DengXian" w:hAnsi="Arial" w:cs="Arial"/>
                <w:color w:val="4472C4" w:themeColor="accent1"/>
                <w:szCs w:val="20"/>
              </w:rPr>
              <w:t xml:space="preserve"> if some </w:t>
            </w:r>
            <w:r w:rsidRPr="00F74FA4">
              <w:rPr>
                <w:rFonts w:ascii="Arial" w:eastAsia="DengXian" w:hAnsi="Arial" w:cs="Arial"/>
                <w:color w:val="4472C4" w:themeColor="accent1"/>
                <w:szCs w:val="20"/>
              </w:rPr>
              <w:t>transmission</w:t>
            </w:r>
            <w:r w:rsidR="00F74FA4">
              <w:rPr>
                <w:rFonts w:ascii="Arial" w:eastAsia="DengXian" w:hAnsi="Arial" w:cs="Arial"/>
                <w:color w:val="4472C4" w:themeColor="accent1"/>
                <w:szCs w:val="20"/>
              </w:rPr>
              <w:t xml:space="preserve"> occasions are dropped because of</w:t>
            </w:r>
            <w:r w:rsidRPr="00F74FA4">
              <w:rPr>
                <w:rFonts w:ascii="Arial" w:eastAsia="DengXian" w:hAnsi="Arial" w:cs="Arial"/>
                <w:color w:val="4472C4" w:themeColor="accent1"/>
                <w:szCs w:val="20"/>
              </w:rPr>
              <w:t xml:space="preserve"> prioritization. Then the number of transmissions between gNB and UE are misalignment. </w:t>
            </w:r>
            <w:r w:rsidR="00F74FA4" w:rsidRPr="00F74FA4">
              <w:rPr>
                <w:rFonts w:ascii="Arial" w:eastAsia="DengXian" w:hAnsi="Arial" w:cs="Arial"/>
                <w:color w:val="4472C4" w:themeColor="accent1"/>
                <w:szCs w:val="20"/>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74FA4" w:rsidRDefault="009E2E33" w:rsidP="00ED3ABF">
            <w:pPr>
              <w:spacing w:line="256" w:lineRule="auto"/>
              <w:rPr>
                <w:rFonts w:ascii="Arial" w:eastAsia="DengXian" w:hAnsi="Arial" w:cs="Arial"/>
                <w:color w:val="4472C4" w:themeColor="accent1"/>
                <w:szCs w:val="20"/>
              </w:rPr>
            </w:pPr>
            <w:r>
              <w:rPr>
                <w:rFonts w:ascii="Arial" w:eastAsia="DengXian" w:hAnsi="Arial" w:cs="Arial"/>
                <w:color w:val="4472C4" w:themeColor="accent1"/>
                <w:szCs w:val="20"/>
              </w:rPr>
              <w:t xml:space="preserve">If UE reports ACK to gNB in case the maximal number of transmission is reached, gNB will not allocate more resources. Compared to option A, there is no misalignment between gNB and UE. </w:t>
            </w:r>
          </w:p>
          <w:p w14:paraId="4F41B778" w14:textId="521CD517" w:rsidR="00F74FA4" w:rsidRPr="007E21C3" w:rsidRDefault="00F74FA4" w:rsidP="00ED3ABF">
            <w:pPr>
              <w:spacing w:line="256" w:lineRule="auto"/>
              <w:rPr>
                <w:rFonts w:ascii="Arial" w:eastAsia="DengXian" w:hAnsi="Arial" w:cs="Arial"/>
                <w:szCs w:val="20"/>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AD8ADF2" w14:textId="5FF6C62D" w:rsidR="00CF3EF8" w:rsidRPr="00CF3EF8" w:rsidRDefault="00CF3EF8" w:rsidP="00CF3EF8">
            <w:pPr>
              <w:rPr>
                <w:rFonts w:ascii="Calibri" w:hAnsi="Calibri" w:cs="Calibri"/>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bookmarkStart w:id="3" w:name="_GoBack"/>
            <w:bookmarkEnd w:id="3"/>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w:t>
            </w:r>
            <w:r w:rsidRPr="00B21B3C">
              <w:rPr>
                <w:rFonts w:eastAsia="DengXian"/>
                <w:lang w:val="en-GB"/>
              </w:rPr>
              <w:lastRenderedPageBreak/>
              <w:t>CC</w:t>
            </w:r>
          </w:p>
        </w:tc>
        <w:tc>
          <w:tcPr>
            <w:tcW w:w="8293" w:type="dxa"/>
          </w:tcPr>
          <w:p w14:paraId="12092B86" w14:textId="77777777" w:rsidR="00CD60C8" w:rsidRDefault="00CD60C8" w:rsidP="00CD60C8">
            <w:pPr>
              <w:rPr>
                <w:rFonts w:eastAsia="DengXian"/>
                <w:lang w:val="en-GB"/>
              </w:rPr>
            </w:pPr>
            <w:r>
              <w:rPr>
                <w:rFonts w:eastAsia="DengXian" w:hint="eastAsia"/>
                <w:lang w:val="en-GB"/>
              </w:rPr>
              <w:lastRenderedPageBreak/>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w:t>
            </w:r>
            <w:r>
              <w:rPr>
                <w:rFonts w:eastAsia="DengXian"/>
                <w:lang w:val="en-GB"/>
              </w:rPr>
              <w:lastRenderedPageBreak/>
              <w:t xml:space="preserve">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lastRenderedPageBreak/>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332EF7">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af7"/>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af7"/>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af7"/>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af7"/>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af7"/>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af7"/>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0E1EFB4D" w14:textId="4776BF9F" w:rsidR="001D65C5" w:rsidRPr="001723BA" w:rsidRDefault="001D65C5" w:rsidP="001D12EE">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lastRenderedPageBreak/>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af7"/>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6919F619" w14:textId="6BFC13E7" w:rsidR="001D65C5" w:rsidRPr="001723BA" w:rsidRDefault="001D65C5" w:rsidP="00332EF7">
            <w:pPr>
              <w:pStyle w:val="af7"/>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re-tx number of a TB, there is no reason that gNB allocate re-tx resources exceeds the maximum allowance configured by itself.</w:t>
            </w:r>
          </w:p>
          <w:p w14:paraId="4D2A7A42" w14:textId="77777777" w:rsidR="001D65C5" w:rsidRPr="001D65C5" w:rsidRDefault="001D65C5" w:rsidP="001D12EE">
            <w:pPr>
              <w:rPr>
                <w:rFonts w:eastAsia="DengXian"/>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Therefore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af7"/>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af7"/>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af7"/>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af7"/>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af7"/>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af7"/>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af7"/>
              <w:numPr>
                <w:ilvl w:val="0"/>
                <w:numId w:val="26"/>
              </w:numPr>
              <w:spacing w:after="120"/>
              <w:ind w:left="371"/>
              <w:rPr>
                <w:lang w:val="en-GB"/>
              </w:rPr>
            </w:pPr>
            <w:r>
              <w:rPr>
                <w:lang w:val="en-GB"/>
              </w:rPr>
              <w:t xml:space="preserve">Agree with OPPO that option A would raise the </w:t>
            </w:r>
            <w:r w:rsidRPr="004D6949">
              <w:rPr>
                <w:b/>
                <w:lang w:val="en-GB"/>
              </w:rPr>
              <w:t xml:space="preserve">question of the functionality and purpose of the </w:t>
            </w:r>
            <w:r w:rsidRPr="004D6949">
              <w:rPr>
                <w:b/>
                <w:lang w:val="en-GB"/>
              </w:rPr>
              <w:lastRenderedPageBreak/>
              <w:t>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af7"/>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af7"/>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af7"/>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af7"/>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w:t>
            </w:r>
            <w:r w:rsidRPr="00B21B3C">
              <w:rPr>
                <w:lang w:val="en-GB"/>
              </w:rPr>
              <w:lastRenderedPageBreak/>
              <w:t>ital</w:t>
            </w:r>
          </w:p>
        </w:tc>
        <w:tc>
          <w:tcPr>
            <w:tcW w:w="8293" w:type="dxa"/>
          </w:tcPr>
          <w:p w14:paraId="443625A9" w14:textId="77777777" w:rsidR="00DD4469" w:rsidRDefault="00DD4469" w:rsidP="00440422">
            <w:pPr>
              <w:spacing w:after="120"/>
              <w:rPr>
                <w:lang w:val="en-GB"/>
              </w:rPr>
            </w:pPr>
            <w:r>
              <w:rPr>
                <w:lang w:val="en-GB"/>
              </w:rPr>
              <w:lastRenderedPageBreak/>
              <w:t>Option B</w:t>
            </w:r>
          </w:p>
          <w:p w14:paraId="6C4F9FCE" w14:textId="77777777" w:rsidR="00DD4469" w:rsidRDefault="00DD4469" w:rsidP="00440422">
            <w:pPr>
              <w:spacing w:after="120"/>
              <w:rPr>
                <w:lang w:val="en-GB"/>
              </w:rPr>
            </w:pPr>
            <w:r>
              <w:rPr>
                <w:lang w:val="en-GB"/>
              </w:rPr>
              <w:t xml:space="preserve">When the maximum number of HARQ retransmission of a TB is reached, reporting ACK will help the </w:t>
            </w:r>
            <w:r>
              <w:rPr>
                <w:lang w:val="en-GB"/>
              </w:rPr>
              <w:lastRenderedPageBreak/>
              <w:t>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lastRenderedPageBreak/>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Default="00C01818" w:rsidP="00332EF7">
            <w:pPr>
              <w:numPr>
                <w:ilvl w:val="0"/>
                <w:numId w:val="22"/>
              </w:numPr>
              <w:rPr>
                <w:rFonts w:eastAsia="Times New Roman"/>
              </w:rPr>
            </w:pPr>
            <w:r>
              <w:rPr>
                <w:rFonts w:eastAsia="Times New Roman"/>
              </w:rPr>
              <w:t>In case of reaching the maximum number of HARQ re-transmissions for a TB</w:t>
            </w:r>
            <w:r>
              <w:rPr>
                <w:rFonts w:eastAsia="Times New Roman"/>
                <w:color w:val="00B050"/>
              </w:rPr>
              <w:t xml:space="preserve"> </w:t>
            </w:r>
            <w:r>
              <w:rPr>
                <w:rFonts w:eastAsia="Times New Roman"/>
              </w:rPr>
              <w:t xml:space="preserve">using resources provided by a configured grant: </w:t>
            </w:r>
          </w:p>
          <w:p w14:paraId="547CCB83" w14:textId="77777777" w:rsidR="00C01818" w:rsidRDefault="00C01818" w:rsidP="00332EF7">
            <w:pPr>
              <w:numPr>
                <w:ilvl w:val="1"/>
                <w:numId w:val="22"/>
              </w:numPr>
              <w:rPr>
                <w:rFonts w:eastAsia="Times New Roman"/>
                <w:strike/>
                <w:color w:val="FF0000"/>
              </w:rPr>
            </w:pPr>
            <w:r>
              <w:rPr>
                <w:rFonts w:eastAsia="Times New Roman"/>
                <w:strike/>
                <w:color w:val="FF0000"/>
              </w:rPr>
              <w:t xml:space="preserve">Alt 1. The UE reports ACK to the gNB. </w:t>
            </w:r>
          </w:p>
          <w:p w14:paraId="52984A3D" w14:textId="77777777" w:rsidR="00C01818" w:rsidRDefault="00C01818" w:rsidP="00332EF7">
            <w:pPr>
              <w:numPr>
                <w:ilvl w:val="1"/>
                <w:numId w:val="22"/>
              </w:numPr>
              <w:rPr>
                <w:rFonts w:eastAsia="Times New Roman"/>
              </w:rPr>
            </w:pPr>
            <w:r>
              <w:rPr>
                <w:rFonts w:eastAsia="Times New Roman"/>
                <w:strike/>
                <w:color w:val="FF0000"/>
              </w:rPr>
              <w:t>Alt 2.</w:t>
            </w:r>
            <w:r>
              <w:rPr>
                <w:rFonts w:eastAsia="Times New Roman"/>
                <w:color w:val="FF0000"/>
              </w:rPr>
              <w:t xml:space="preserve"> </w:t>
            </w:r>
            <w:r>
              <w:rPr>
                <w:rFonts w:eastAsia="Times New Roman"/>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332EF7">
            <w:pPr>
              <w:numPr>
                <w:ilvl w:val="0"/>
                <w:numId w:val="22"/>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DengXian"/>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af7"/>
              <w:numPr>
                <w:ilvl w:val="0"/>
                <w:numId w:val="15"/>
              </w:numPr>
              <w:spacing w:line="256" w:lineRule="auto"/>
              <w:rPr>
                <w:rFonts w:asciiTheme="minorHAnsi" w:hAnsiTheme="minorHAnsi" w:cstheme="minorHAnsi"/>
                <w:szCs w:val="20"/>
                <w:lang w:val="x-none"/>
              </w:rPr>
            </w:pPr>
            <w:r w:rsidRPr="00B10EC2">
              <w:rPr>
                <w:rFonts w:asciiTheme="minorHAnsi" w:hAnsiTheme="minorHAnsi" w:cstheme="minorHAnsi"/>
                <w:szCs w:val="20"/>
              </w:rPr>
              <w:t>For dynamic grant, the number of retransmissions of a TB is up to the gNB.</w:t>
            </w:r>
          </w:p>
          <w:p w14:paraId="6002BDCB" w14:textId="77777777" w:rsidR="00C01818" w:rsidRPr="00B10EC2" w:rsidRDefault="00C01818" w:rsidP="00332EF7">
            <w:pPr>
              <w:pStyle w:val="af7"/>
              <w:numPr>
                <w:ilvl w:val="0"/>
                <w:numId w:val="15"/>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7"/>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7"/>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332EF7">
      <w:pPr>
        <w:pStyle w:val="af7"/>
        <w:numPr>
          <w:ilvl w:val="0"/>
          <w:numId w:val="27"/>
        </w:numPr>
        <w:spacing w:before="240"/>
        <w:rPr>
          <w:lang w:val="en-GB"/>
        </w:rPr>
      </w:pPr>
      <w:r w:rsidRPr="00595B5D">
        <w:rPr>
          <w:lang w:val="en-GB"/>
        </w:rPr>
        <w:t>A majority of companies is supportive of not having any further specification.</w:t>
      </w:r>
    </w:p>
    <w:p w14:paraId="78D794D9" w14:textId="245B1A9E" w:rsidR="00595B5D" w:rsidRPr="00595B5D" w:rsidRDefault="00595B5D" w:rsidP="00332EF7">
      <w:pPr>
        <w:pStyle w:val="af7"/>
        <w:numPr>
          <w:ilvl w:val="0"/>
          <w:numId w:val="27"/>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7"/>
        <w:numPr>
          <w:ilvl w:val="0"/>
          <w:numId w:val="27"/>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332EF7">
      <w:pPr>
        <w:pStyle w:val="af7"/>
        <w:numPr>
          <w:ilvl w:val="0"/>
          <w:numId w:val="28"/>
        </w:numPr>
        <w:spacing w:before="240"/>
        <w:rPr>
          <w:lang w:val="en-GB"/>
        </w:rPr>
      </w:pPr>
      <w:r w:rsidRPr="00595B5D">
        <w:rPr>
          <w:lang w:val="en-GB"/>
        </w:rPr>
        <w:t>No additional expceptional reports to the gNB are specified at this point.</w:t>
      </w:r>
    </w:p>
    <w:p w14:paraId="68A481A3" w14:textId="77777777" w:rsidR="00595B5D" w:rsidRPr="009B1DA2" w:rsidRDefault="00595B5D" w:rsidP="00847B23">
      <w:pPr>
        <w:rPr>
          <w:b/>
          <w:bCs/>
        </w:rPr>
      </w:pPr>
    </w:p>
    <w:tbl>
      <w:tblPr>
        <w:tblStyle w:val="afa"/>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a"/>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 xml:space="preserve">c. Note that we had same discussion for CG case and already specified as ACK </w:t>
            </w:r>
            <w:r>
              <w:rPr>
                <w:rFonts w:eastAsia="Yu Mincho"/>
                <w:color w:val="0070C0"/>
                <w:lang w:val="en-GB"/>
              </w:rPr>
              <w:lastRenderedPageBreak/>
              <w:t>generation. The motivation would be the same between CG and DG. Therefore, to follow CG case for DG is so reasonable outcome in our understanding.</w:t>
            </w:r>
          </w:p>
          <w:tbl>
            <w:tblPr>
              <w:tblStyle w:val="afa"/>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lastRenderedPageBreak/>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lastRenderedPageBreak/>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a"/>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4" w:name="_Hlk42029781"/>
            <w:r w:rsidRPr="00930EBD">
              <w:rPr>
                <w:highlight w:val="green"/>
              </w:rPr>
              <w:t>Agreements</w:t>
            </w:r>
            <w:r w:rsidRPr="00930EBD">
              <w:t>:</w:t>
            </w:r>
          </w:p>
          <w:p w14:paraId="391017D3" w14:textId="77777777" w:rsidR="0005324E" w:rsidRPr="00AB2DF1" w:rsidRDefault="0005324E" w:rsidP="00332EF7">
            <w:pPr>
              <w:pStyle w:val="af7"/>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ED4107" w:rsidP="00332EF7">
            <w:pPr>
              <w:pStyle w:val="af7"/>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ED4107" w:rsidP="00332EF7">
            <w:pPr>
              <w:pStyle w:val="af7"/>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7"/>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ED4107"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7"/>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4"/>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af7"/>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332EF7">
      <w:pPr>
        <w:pStyle w:val="af7"/>
        <w:numPr>
          <w:ilvl w:val="0"/>
          <w:numId w:val="21"/>
        </w:numPr>
        <w:spacing w:before="240"/>
        <w:rPr>
          <w:b/>
          <w:bCs/>
        </w:rPr>
      </w:pPr>
      <w:r w:rsidRPr="00E82787">
        <w:rPr>
          <w:lang w:val="en-GB"/>
        </w:rPr>
        <w:t xml:space="preserve">The proposal is agreeable </w:t>
      </w:r>
      <w:r w:rsidR="00E82787" w:rsidRPr="00E82787">
        <w:rPr>
          <w:lang w:val="en-GB"/>
        </w:rPr>
        <w:t>to everyone.</w:t>
      </w:r>
    </w:p>
    <w:tbl>
      <w:tblPr>
        <w:tblStyle w:val="afa"/>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lastRenderedPageBreak/>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7"/>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7"/>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7"/>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7"/>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7"/>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7"/>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7"/>
        <w:numPr>
          <w:ilvl w:val="0"/>
          <w:numId w:val="21"/>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332EF7">
      <w:pPr>
        <w:pStyle w:val="af7"/>
        <w:numPr>
          <w:ilvl w:val="0"/>
          <w:numId w:val="29"/>
        </w:numPr>
      </w:pPr>
      <w:r w:rsidRPr="00CE1373">
        <w:t>The time between PSFCH reception and next PSCCH/PSSCH retransmission (i.e., ’b’) does not exceed</w:t>
      </w:r>
      <w:r w:rsidR="009C77D9">
        <w:t xml:space="preserve"> T</w:t>
      </w:r>
      <w:r w:rsidR="009C77D9" w:rsidRPr="009C77D9">
        <w:rPr>
          <w:vertAlign w:val="subscript"/>
        </w:rPr>
        <w:t>proc</w:t>
      </w:r>
      <w:r w:rsidR="009C77D9">
        <w:t>.</w:t>
      </w:r>
    </w:p>
    <w:p w14:paraId="25A6E7D4" w14:textId="63278D82" w:rsidR="009C77D9" w:rsidRPr="00CE1373" w:rsidRDefault="009C77D9" w:rsidP="00332EF7">
      <w:pPr>
        <w:pStyle w:val="af7"/>
        <w:numPr>
          <w:ilvl w:val="0"/>
          <w:numId w:val="29"/>
        </w:numPr>
      </w:pPr>
      <w:r>
        <w:lastRenderedPageBreak/>
        <w:t xml:space="preserve">No additional specification is introduced for the case that the </w:t>
      </w:r>
      <w:r w:rsidRPr="007B67BA">
        <w:t>time between the last PSFCH reception and the SL HARQ report to the gNB is smaller than the processing time at the UE</w:t>
      </w:r>
      <w:r>
        <w:t>.</w:t>
      </w:r>
    </w:p>
    <w:tbl>
      <w:tblPr>
        <w:tblStyle w:val="afa"/>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9E0E9F" w14:paraId="78A1B694" w14:textId="77777777" w:rsidTr="00440422">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440422">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w:t>
            </w:r>
            <w:r>
              <w:rPr>
                <w:rFonts w:eastAsia="DengXian"/>
                <w:lang w:val="en-GB"/>
              </w:rPr>
              <w:lastRenderedPageBreak/>
              <w:t xml:space="preserve">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af7"/>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 xml:space="preserve">the minimum </w:t>
            </w:r>
            <w:r w:rsidRPr="00B25702">
              <w:rPr>
                <w:rFonts w:eastAsiaTheme="minorEastAsia"/>
                <w:lang w:val="en-GB"/>
              </w:rPr>
              <w:lastRenderedPageBreak/>
              <w:t>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332EF7">
            <w:pPr>
              <w:pStyle w:val="af7"/>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7"/>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lastRenderedPageBreak/>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440422">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440422">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r>
              <w:rPr>
                <w:rFonts w:eastAsia="DengXian" w:hint="eastAsia"/>
                <w:lang w:val="en-GB"/>
              </w:rPr>
              <w:t xml:space="preserve">Spreadtrum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t>In mode 2, it has been agreed that</w:t>
            </w:r>
            <w:r w:rsidRPr="00A37A2F">
              <w:rPr>
                <w:rFonts w:eastAsia="DengXian" w:hint="eastAsia"/>
                <w:szCs w:val="20"/>
              </w:rPr>
              <w:t>‘</w:t>
            </w:r>
            <w:r w:rsidRPr="00A37A2F">
              <w:rPr>
                <w:rFonts w:eastAsia="DengXian" w:hint="eastAsia"/>
                <w:szCs w:val="20"/>
              </w:rPr>
              <w:t>b</w:t>
            </w:r>
            <w:r w:rsidRPr="00A37A2F">
              <w:rPr>
                <w:rFonts w:eastAsia="DengXian"/>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DengXian" w:hint="eastAsia"/>
                <w:szCs w:val="20"/>
              </w:rPr>
              <w:t xml:space="preserve">. </w:t>
            </w:r>
            <w:r>
              <w:rPr>
                <w:rFonts w:eastAsia="DengXian"/>
                <w:szCs w:val="20"/>
              </w:rPr>
              <w:t xml:space="preserve">So, </w:t>
            </w:r>
            <w:r>
              <w:rPr>
                <w:lang w:val="en-GB"/>
              </w:rPr>
              <w:t xml:space="preserve">upper-bound of “b” should be defined to ensure that the SL resource allocated by gNB can </w:t>
            </w:r>
            <w:r>
              <w:rPr>
                <w:lang w:val="en-GB"/>
              </w:rPr>
              <w:lastRenderedPageBreak/>
              <w:t>satisfy the HARQ RTT.</w:t>
            </w:r>
          </w:p>
        </w:tc>
      </w:tr>
    </w:tbl>
    <w:p w14:paraId="43E7DFE2" w14:textId="77777777" w:rsidR="00FB43D9" w:rsidRDefault="00FB43D9" w:rsidP="00FB43D9">
      <w:pPr>
        <w:pStyle w:val="21"/>
      </w:pPr>
      <w:r>
        <w:lastRenderedPageBreak/>
        <w:t>Other comments</w:t>
      </w:r>
    </w:p>
    <w:p w14:paraId="3184C97A" w14:textId="77777777" w:rsidR="00FB43D9" w:rsidRDefault="00FB43D9" w:rsidP="00FB43D9">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1738" w14:textId="77777777" w:rsidR="00ED4107" w:rsidRDefault="00ED4107">
      <w:r>
        <w:separator/>
      </w:r>
    </w:p>
  </w:endnote>
  <w:endnote w:type="continuationSeparator" w:id="0">
    <w:p w14:paraId="2E69FB85" w14:textId="77777777" w:rsidR="00ED4107" w:rsidRDefault="00ED4107">
      <w:r>
        <w:continuationSeparator/>
      </w:r>
    </w:p>
  </w:endnote>
  <w:endnote w:type="continuationNotice" w:id="1">
    <w:p w14:paraId="4661C006" w14:textId="77777777" w:rsidR="00ED4107" w:rsidRDefault="00ED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23F5" w14:textId="77777777" w:rsidR="00ED4107" w:rsidRDefault="00ED4107">
      <w:r>
        <w:separator/>
      </w:r>
    </w:p>
  </w:footnote>
  <w:footnote w:type="continuationSeparator" w:id="0">
    <w:p w14:paraId="2A4A9193" w14:textId="77777777" w:rsidR="00ED4107" w:rsidRDefault="00ED4107">
      <w:r>
        <w:continuationSeparator/>
      </w:r>
    </w:p>
  </w:footnote>
  <w:footnote w:type="continuationNotice" w:id="1">
    <w:p w14:paraId="1256AE01" w14:textId="77777777" w:rsidR="00ED4107" w:rsidRDefault="00ED4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1"/>
  </w:num>
  <w:num w:numId="5">
    <w:abstractNumId w:val="22"/>
  </w:num>
  <w:num w:numId="6">
    <w:abstractNumId w:val="23"/>
  </w:num>
  <w:num w:numId="7">
    <w:abstractNumId w:val="9"/>
  </w:num>
  <w:num w:numId="8">
    <w:abstractNumId w:val="13"/>
  </w:num>
  <w:num w:numId="9">
    <w:abstractNumId w:val="5"/>
  </w:num>
  <w:num w:numId="10">
    <w:abstractNumId w:val="29"/>
  </w:num>
  <w:num w:numId="11">
    <w:abstractNumId w:val="16"/>
  </w:num>
  <w:num w:numId="12">
    <w:abstractNumId w:val="28"/>
  </w:num>
  <w:num w:numId="13">
    <w:abstractNumId w:val="14"/>
  </w:num>
  <w:num w:numId="14">
    <w:abstractNumId w:val="26"/>
  </w:num>
  <w:num w:numId="15">
    <w:abstractNumId w:val="27"/>
  </w:num>
  <w:num w:numId="16">
    <w:abstractNumId w:val="4"/>
  </w:num>
  <w:num w:numId="17">
    <w:abstractNumId w:val="10"/>
  </w:num>
  <w:num w:numId="18">
    <w:abstractNumId w:val="30"/>
  </w:num>
  <w:num w:numId="19">
    <w:abstractNumId w:val="6"/>
  </w:num>
  <w:num w:numId="20">
    <w:abstractNumId w:val="15"/>
  </w:num>
  <w:num w:numId="21">
    <w:abstractNumId w:val="8"/>
  </w:num>
  <w:num w:numId="22">
    <w:abstractNumId w:val="12"/>
  </w:num>
  <w:num w:numId="23">
    <w:abstractNumId w:val="3"/>
  </w:num>
  <w:num w:numId="24">
    <w:abstractNumId w:val="7"/>
  </w:num>
  <w:num w:numId="25">
    <w:abstractNumId w:val="19"/>
  </w:num>
  <w:num w:numId="26">
    <w:abstractNumId w:val="18"/>
  </w:num>
  <w:num w:numId="27">
    <w:abstractNumId w:val="11"/>
  </w:num>
  <w:num w:numId="28">
    <w:abstractNumId w:val="25"/>
  </w:num>
  <w:num w:numId="29">
    <w:abstractNumId w:val="31"/>
  </w:num>
  <w:num w:numId="30">
    <w:abstractNumId w:val="1"/>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3EF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CF3EF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F3EF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de-DE" w:eastAsia="en-US"/>
    </w:rPr>
  </w:style>
  <w:style w:type="paragraph" w:customStyle="1" w:styleId="aff">
    <w:name w:val="交底书"/>
    <w:basedOn w:val="a1"/>
    <w:link w:val="Char9"/>
    <w:qFormat/>
    <w:rsid w:val="000728D4"/>
    <w:pPr>
      <w:numPr>
        <w:ilvl w:val="12"/>
      </w:numPr>
    </w:pPr>
    <w:rPr>
      <w:rFonts w:ascii="STKaiti" w:eastAsia="STKaiti" w:hAnsi="STKaiti"/>
      <w:u w:color="EEECE1"/>
    </w:rPr>
  </w:style>
  <w:style w:type="character" w:customStyle="1" w:styleId="Char9">
    <w:name w:val="交底书 Char"/>
    <w:basedOn w:val="a2"/>
    <w:link w:val="aff"/>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F4AAF-351B-482E-B874-46DFC7B3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5777</Words>
  <Characters>32935</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38635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2020-08-20T08:13:00Z</dcterms:created>
  <dcterms:modified xsi:type="dcterms:W3CDTF">2020-08-20T08:13:00Z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