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ListParagraph"/>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ListParagraph"/>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lang w:val="en-GB"/>
        </w:rPr>
      </w:pPr>
      <w:r w:rsidRPr="002812D9">
        <w:rPr>
          <w:b/>
          <w:bCs/>
          <w:lang w:val="en-GB"/>
        </w:rPr>
        <w:lastRenderedPageBreak/>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6E3BBABF" w14:textId="2F0A0D2C" w:rsidR="00B21B3C" w:rsidRPr="00B21B3C" w:rsidRDefault="00B21B3C" w:rsidP="00332EF7">
      <w:pPr>
        <w:pStyle w:val="ListParagraph"/>
        <w:numPr>
          <w:ilvl w:val="0"/>
          <w:numId w:val="30"/>
        </w:numPr>
        <w:spacing w:before="240"/>
        <w:rPr>
          <w:lang w:val="en-GB"/>
        </w:rPr>
      </w:pPr>
      <w:r w:rsidRPr="00B21B3C">
        <w:rPr>
          <w:lang w:val="en-GB"/>
        </w:rPr>
        <w:t>There is a majority of companies supporting option A.</w:t>
      </w:r>
    </w:p>
    <w:p w14:paraId="2FA82428" w14:textId="7B3077A0" w:rsidR="00B21B3C" w:rsidRPr="00B21B3C" w:rsidRDefault="00B21B3C" w:rsidP="00332EF7">
      <w:pPr>
        <w:pStyle w:val="ListParagraph"/>
        <w:numPr>
          <w:ilvl w:val="0"/>
          <w:numId w:val="30"/>
        </w:numPr>
        <w:spacing w:before="240"/>
        <w:rPr>
          <w:lang w:val="en-GB"/>
        </w:rPr>
      </w:pPr>
      <w:r w:rsidRPr="00B21B3C">
        <w:rPr>
          <w:lang w:val="en-GB"/>
        </w:rPr>
        <w:t>Some further companies propose not having any additional specification. My understanding is that this is aligned with option A too.</w:t>
      </w:r>
    </w:p>
    <w:p w14:paraId="5A1288CE" w14:textId="2D95FB08" w:rsidR="00B21B3C" w:rsidRDefault="00B21B3C" w:rsidP="00B21B3C">
      <w:pPr>
        <w:spacing w:before="240"/>
        <w:rPr>
          <w:b/>
          <w:bCs/>
          <w:lang w:val="en-GB"/>
        </w:rPr>
      </w:pPr>
      <w:r w:rsidRPr="00B21B3C">
        <w:rPr>
          <w:b/>
          <w:bCs/>
          <w:highlight w:val="yellow"/>
          <w:lang w:val="en-GB"/>
        </w:rPr>
        <w:t>Proposal</w:t>
      </w:r>
      <w:r>
        <w:rPr>
          <w:b/>
          <w:bCs/>
          <w:lang w:val="en-GB"/>
        </w:rPr>
        <w:t>:</w:t>
      </w:r>
    </w:p>
    <w:p w14:paraId="6DCC3227" w14:textId="1525348B" w:rsidR="00B21B3C" w:rsidRDefault="00B21B3C" w:rsidP="00332EF7">
      <w:pPr>
        <w:pStyle w:val="ListParagraph"/>
        <w:numPr>
          <w:ilvl w:val="0"/>
          <w:numId w:val="30"/>
        </w:numPr>
        <w:spacing w:before="240"/>
        <w:rPr>
          <w:lang w:val="en-GB"/>
        </w:rPr>
      </w:pPr>
      <w:r w:rsidRPr="00B21B3C">
        <w:rPr>
          <w:lang w:val="en-GB"/>
        </w:rPr>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332EF7">
      <w:pPr>
        <w:pStyle w:val="ListParagraph"/>
        <w:numPr>
          <w:ilvl w:val="0"/>
          <w:numId w:val="30"/>
        </w:numPr>
        <w:spacing w:before="240"/>
        <w:rPr>
          <w:lang w:val="en-GB"/>
        </w:rPr>
      </w:pPr>
      <w:r>
        <w:rPr>
          <w:lang w:val="en-GB"/>
        </w:rPr>
        <w:t>No spec impact is expected.</w:t>
      </w:r>
    </w:p>
    <w:p w14:paraId="1C4333AF" w14:textId="77777777" w:rsidR="00595B5D" w:rsidRPr="009B1DA2" w:rsidRDefault="00595B5D" w:rsidP="009B1DA2">
      <w:pPr>
        <w:rPr>
          <w:b/>
          <w:bCs/>
        </w:rPr>
      </w:pP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6D959869" w14:textId="0FDA37B4" w:rsidR="00ED3ABF" w:rsidRDefault="00ED3ABF" w:rsidP="008C72CF">
            <w:pPr>
              <w:rPr>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5317A3" w:rsidRDefault="00C97A55" w:rsidP="00C97A55">
            <w:pPr>
              <w:rPr>
                <w:rFonts w:eastAsia="DengXian"/>
                <w:szCs w:val="20"/>
                <w:highlight w:val="darkYellow"/>
              </w:rPr>
            </w:pPr>
            <w:r w:rsidRPr="005317A3">
              <w:rPr>
                <w:rFonts w:eastAsia="DengXian"/>
                <w:szCs w:val="20"/>
                <w:highlight w:val="darkYellow"/>
              </w:rPr>
              <w:t>Working assumption</w:t>
            </w:r>
            <w:r>
              <w:rPr>
                <w:rFonts w:eastAsia="DengXian"/>
                <w:szCs w:val="20"/>
                <w:highlight w:val="darkYellow"/>
              </w:rPr>
              <w:t xml:space="preserve"> (Q5)</w:t>
            </w:r>
            <w:r w:rsidRPr="005317A3">
              <w:rPr>
                <w:rFonts w:eastAsia="DengXian"/>
                <w:szCs w:val="20"/>
                <w:highlight w:val="darkYellow"/>
              </w:rPr>
              <w:t>:</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ListParagraph"/>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FL reply</w:t>
            </w:r>
            <w:r>
              <w:rPr>
                <w:rFonts w:ascii="Arial" w:hAnsi="Arial" w:cs="Arial"/>
                <w:color w:val="FF0000"/>
                <w:szCs w:val="20"/>
              </w:rPr>
              <w:t xml:space="preserve"> (19/8/2020)</w:t>
            </w:r>
            <w:r w:rsidRPr="00ED3ABF">
              <w:rPr>
                <w:rFonts w:ascii="Arial" w:hAnsi="Arial" w:cs="Arial"/>
                <w:color w:val="FF0000"/>
                <w:szCs w:val="20"/>
              </w:rPr>
              <w:t>:</w:t>
            </w:r>
          </w:p>
          <w:p w14:paraId="201D52D2" w14:textId="075B0149"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My understanding is that this can only apply to CG. For DG the maximum number is up to the gNB</w:t>
            </w:r>
            <w:r w:rsidR="002602EE">
              <w:rPr>
                <w:rFonts w:ascii="Arial" w:hAnsi="Arial" w:cs="Arial"/>
                <w:color w:val="FF0000"/>
                <w:szCs w:val="20"/>
              </w:rPr>
              <w:t>, as shown in the last agreement you copy.</w:t>
            </w:r>
          </w:p>
          <w:p w14:paraId="222459B1" w14:textId="77777777" w:rsidR="002602EE" w:rsidRDefault="002602EE" w:rsidP="00ED3ABF">
            <w:pPr>
              <w:spacing w:line="256" w:lineRule="auto"/>
              <w:rPr>
                <w:rFonts w:ascii="Arial" w:hAnsi="Arial" w:cs="Arial"/>
                <w:color w:val="FF0000"/>
                <w:szCs w:val="20"/>
              </w:rPr>
            </w:pPr>
            <w:r w:rsidRPr="002602EE">
              <w:rPr>
                <w:rFonts w:ascii="Arial" w:hAnsi="Arial" w:cs="Arial"/>
                <w:color w:val="FF0000"/>
                <w:szCs w:val="20"/>
              </w:rPr>
              <w:t>The working assumption was confirmed in RAN1#100bis-e</w:t>
            </w:r>
            <w:r>
              <w:rPr>
                <w:rFonts w:ascii="Arial" w:hAnsi="Arial" w:cs="Arial"/>
                <w:color w:val="FF0000"/>
                <w:szCs w:val="20"/>
              </w:rPr>
              <w:t>. I am not sure why you are copying Proposal 3 above. That was never agreed. Only the working assumption (as copied at the beginning of your reply) was agreed.</w:t>
            </w:r>
          </w:p>
          <w:p w14:paraId="59807309" w14:textId="77777777" w:rsidR="007E21C3" w:rsidRDefault="007E21C3" w:rsidP="00ED3ABF">
            <w:pPr>
              <w:spacing w:line="256" w:lineRule="auto"/>
              <w:rPr>
                <w:rFonts w:ascii="Arial" w:hAnsi="Arial" w:cs="Arial"/>
                <w:color w:val="FF0000"/>
                <w:szCs w:val="20"/>
              </w:rPr>
            </w:pPr>
          </w:p>
          <w:p w14:paraId="10501D3A" w14:textId="099378AC" w:rsidR="007E21C3" w:rsidRDefault="007E21C3" w:rsidP="00ED3ABF">
            <w:pPr>
              <w:spacing w:line="256" w:lineRule="auto"/>
              <w:rPr>
                <w:rFonts w:ascii="Arial" w:eastAsia="DengXian" w:hAnsi="Arial" w:cs="Arial"/>
                <w:color w:val="4472C4" w:themeColor="accent1"/>
                <w:szCs w:val="20"/>
              </w:rPr>
            </w:pPr>
            <w:r w:rsidRPr="00F74FA4">
              <w:rPr>
                <w:rFonts w:ascii="Arial" w:eastAsia="DengXian" w:hAnsi="Arial" w:cs="Arial" w:hint="eastAsia"/>
                <w:color w:val="4472C4" w:themeColor="accent1"/>
                <w:szCs w:val="20"/>
              </w:rPr>
              <w:t>[</w:t>
            </w:r>
            <w:r w:rsidRPr="00F74FA4">
              <w:rPr>
                <w:rFonts w:ascii="Arial" w:eastAsia="DengXian" w:hAnsi="Arial" w:cs="Arial"/>
                <w:color w:val="4472C4" w:themeColor="accent1"/>
                <w:szCs w:val="20"/>
              </w:rPr>
              <w:t>OPPO2] For the CG case, we have made agreement (Please find Spreadtrum’s comment in the table, I copied the wrong proposal 3, sorry for the confusing).</w:t>
            </w:r>
          </w:p>
          <w:p w14:paraId="79892776" w14:textId="77777777" w:rsidR="00F74FA4" w:rsidRPr="00F74FA4" w:rsidRDefault="00F74FA4" w:rsidP="00ED3ABF">
            <w:pPr>
              <w:spacing w:line="256" w:lineRule="auto"/>
              <w:rPr>
                <w:rFonts w:ascii="Arial" w:eastAsia="DengXian" w:hAnsi="Arial" w:cs="Arial"/>
                <w:color w:val="4472C4" w:themeColor="accent1"/>
                <w:szCs w:val="20"/>
              </w:rPr>
            </w:pPr>
          </w:p>
          <w:p w14:paraId="0AD152F7" w14:textId="5024DE6B" w:rsidR="007E21C3" w:rsidRPr="00F74FA4" w:rsidRDefault="007E21C3" w:rsidP="00ED3ABF">
            <w:pPr>
              <w:spacing w:line="256" w:lineRule="auto"/>
              <w:rPr>
                <w:rFonts w:ascii="Arial" w:eastAsia="DengXian" w:hAnsi="Arial" w:cs="Arial"/>
                <w:color w:val="4472C4" w:themeColor="accent1"/>
                <w:szCs w:val="20"/>
              </w:rPr>
            </w:pPr>
            <w:r w:rsidRPr="00F74FA4">
              <w:rPr>
                <w:rFonts w:ascii="Arial" w:eastAsia="DengXian" w:hAnsi="Arial" w:cs="Arial"/>
                <w:color w:val="4472C4" w:themeColor="accent1"/>
                <w:szCs w:val="20"/>
              </w:rPr>
              <w:t xml:space="preserve">For DG case, we still prefer option B. </w:t>
            </w:r>
          </w:p>
          <w:p w14:paraId="3727B690" w14:textId="127AF1AC" w:rsidR="007E21C3" w:rsidRDefault="007E21C3" w:rsidP="00ED3ABF">
            <w:pPr>
              <w:spacing w:line="256" w:lineRule="auto"/>
              <w:rPr>
                <w:rFonts w:ascii="Arial" w:eastAsia="DengXian" w:hAnsi="Arial" w:cs="Arial"/>
                <w:color w:val="4472C4" w:themeColor="accent1"/>
                <w:szCs w:val="20"/>
              </w:rPr>
            </w:pPr>
            <w:r w:rsidRPr="00F74FA4">
              <w:rPr>
                <w:rFonts w:ascii="Arial" w:eastAsia="DengXian" w:hAnsi="Arial" w:cs="Arial"/>
                <w:color w:val="4472C4" w:themeColor="accent1"/>
                <w:szCs w:val="20"/>
              </w:rPr>
              <w:t>gNB allocates resource to UE for transmission. While UE may not be able to use the allocated reousrce actually</w:t>
            </w:r>
            <w:r w:rsidR="00F74FA4">
              <w:rPr>
                <w:rFonts w:ascii="Arial" w:eastAsia="DengXian" w:hAnsi="Arial" w:cs="Arial"/>
                <w:color w:val="4472C4" w:themeColor="accent1"/>
                <w:szCs w:val="20"/>
              </w:rPr>
              <w:t xml:space="preserve"> if some </w:t>
            </w:r>
            <w:r w:rsidRPr="00F74FA4">
              <w:rPr>
                <w:rFonts w:ascii="Arial" w:eastAsia="DengXian" w:hAnsi="Arial" w:cs="Arial"/>
                <w:color w:val="4472C4" w:themeColor="accent1"/>
                <w:szCs w:val="20"/>
              </w:rPr>
              <w:t>transmission</w:t>
            </w:r>
            <w:r w:rsidR="00F74FA4">
              <w:rPr>
                <w:rFonts w:ascii="Arial" w:eastAsia="DengXian" w:hAnsi="Arial" w:cs="Arial"/>
                <w:color w:val="4472C4" w:themeColor="accent1"/>
                <w:szCs w:val="20"/>
              </w:rPr>
              <w:t xml:space="preserve"> occasions are dropped because of</w:t>
            </w:r>
            <w:r w:rsidRPr="00F74FA4">
              <w:rPr>
                <w:rFonts w:ascii="Arial" w:eastAsia="DengXian" w:hAnsi="Arial" w:cs="Arial"/>
                <w:color w:val="4472C4" w:themeColor="accent1"/>
                <w:szCs w:val="20"/>
              </w:rPr>
              <w:t xml:space="preserve"> prioritization. Then the number of transmissions between gNB and UE are misalignment. </w:t>
            </w:r>
            <w:r w:rsidR="00F74FA4" w:rsidRPr="00F74FA4">
              <w:rPr>
                <w:rFonts w:ascii="Arial" w:eastAsia="DengXian" w:hAnsi="Arial" w:cs="Arial"/>
                <w:color w:val="4472C4" w:themeColor="accent1"/>
                <w:szCs w:val="20"/>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74FA4" w:rsidRDefault="009E2E33" w:rsidP="00ED3ABF">
            <w:pPr>
              <w:spacing w:line="256" w:lineRule="auto"/>
              <w:rPr>
                <w:rFonts w:ascii="Arial" w:eastAsia="DengXian" w:hAnsi="Arial" w:cs="Arial"/>
                <w:color w:val="4472C4" w:themeColor="accent1"/>
                <w:szCs w:val="20"/>
              </w:rPr>
            </w:pPr>
            <w:r>
              <w:rPr>
                <w:rFonts w:ascii="Arial" w:eastAsia="DengXian" w:hAnsi="Arial" w:cs="Arial"/>
                <w:color w:val="4472C4" w:themeColor="accent1"/>
                <w:szCs w:val="20"/>
              </w:rPr>
              <w:t xml:space="preserve">If UE reports ACK to gNB in case the maximal number of transmission is reached, gNB will not allocate more resources. Compared to option A, there is no misalignment between gNB and UE. </w:t>
            </w:r>
          </w:p>
          <w:p w14:paraId="4F41B778" w14:textId="521CD517" w:rsidR="00F74FA4" w:rsidRPr="007E21C3" w:rsidRDefault="00F74FA4" w:rsidP="00ED3ABF">
            <w:pPr>
              <w:spacing w:line="256" w:lineRule="auto"/>
              <w:rPr>
                <w:rFonts w:ascii="Arial" w:eastAsia="DengXian" w:hAnsi="Arial" w:cs="Arial"/>
                <w:szCs w:val="20"/>
              </w:rPr>
            </w:pP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34ED28AE" w14:textId="59E4106F" w:rsidR="008F712B" w:rsidRDefault="008F712B" w:rsidP="00AD40E8">
            <w:pPr>
              <w:rPr>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(sl-CG-MaxTransNum).</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lastRenderedPageBreak/>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lastRenderedPageBreak/>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1B97B084" w14:textId="77777777" w:rsidR="00B71E34" w:rsidRDefault="00B71E34" w:rsidP="00332EF7">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332EF7">
            <w:pPr>
              <w:pStyle w:val="ListParagraph"/>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332EF7">
            <w:pPr>
              <w:pStyle w:val="ListParagraph"/>
              <w:numPr>
                <w:ilvl w:val="1"/>
                <w:numId w:val="25"/>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332EF7">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DengXian"/>
                <w:lang w:val="en-GB"/>
              </w:rPr>
            </w:pPr>
          </w:p>
          <w:p w14:paraId="0E1EFB4D" w14:textId="4776BF9F" w:rsidR="001D65C5" w:rsidRPr="001723BA" w:rsidRDefault="001D65C5" w:rsidP="001D12EE">
            <w:pPr>
              <w:rPr>
                <w:rFonts w:eastAsia="DengXian"/>
                <w:color w:val="0070C0"/>
                <w:lang w:val="en-GB"/>
              </w:rPr>
            </w:pPr>
            <w:r w:rsidRPr="001723BA">
              <w:rPr>
                <w:rFonts w:eastAsia="DengXian" w:hint="eastAsia"/>
                <w:color w:val="0070C0"/>
                <w:lang w:val="en-GB"/>
              </w:rPr>
              <w:t>[CATT2]</w:t>
            </w:r>
          </w:p>
          <w:p w14:paraId="31A209DC" w14:textId="17A83645" w:rsidR="001D65C5" w:rsidRPr="001723BA" w:rsidRDefault="001D65C5" w:rsidP="001D12EE">
            <w:pPr>
              <w:rPr>
                <w:rFonts w:eastAsia="DengXian"/>
                <w:color w:val="0070C0"/>
                <w:lang w:val="en-GB"/>
              </w:rPr>
            </w:pPr>
            <w:r w:rsidRPr="001723BA">
              <w:rPr>
                <w:rFonts w:eastAsia="DengXian"/>
                <w:color w:val="0070C0"/>
                <w:lang w:val="en-GB"/>
              </w:rPr>
              <w:lastRenderedPageBreak/>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2B36B62E" w14:textId="22065C91" w:rsidR="001D65C5" w:rsidRPr="001723BA" w:rsidRDefault="001D65C5" w:rsidP="00332EF7">
            <w:pPr>
              <w:pStyle w:val="ListParagraph"/>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6919F619" w14:textId="6BFC13E7" w:rsidR="001D65C5" w:rsidRPr="001723BA" w:rsidRDefault="001D65C5" w:rsidP="00332EF7">
            <w:pPr>
              <w:pStyle w:val="ListParagraph"/>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w:t>
            </w:r>
            <w:r w:rsidR="001723BA" w:rsidRPr="001723BA">
              <w:rPr>
                <w:rFonts w:eastAsia="DengXian" w:hint="eastAsia"/>
                <w:color w:val="0070C0"/>
                <w:lang w:val="en-GB"/>
              </w:rPr>
              <w:t xml:space="preserve">the re-transmissions are scheduled by DG. </w:t>
            </w:r>
            <w:r w:rsidR="001723BA" w:rsidRPr="001723BA">
              <w:rPr>
                <w:rFonts w:eastAsia="DengXian"/>
                <w:color w:val="0070C0"/>
                <w:lang w:val="en-GB"/>
              </w:rPr>
              <w:t>B</w:t>
            </w:r>
            <w:r w:rsidR="001723BA" w:rsidRPr="001723BA">
              <w:rPr>
                <w:rFonts w:eastAsia="DengXian" w:hint="eastAsia"/>
                <w:color w:val="0070C0"/>
                <w:lang w:val="en-GB"/>
              </w:rPr>
              <w:t>oth gNB and UE knows the maximum re-tx number of a TB, there is no reason that gNB allocate re-tx resources exceeds the maximum allowance configured by itself.</w:t>
            </w:r>
          </w:p>
          <w:p w14:paraId="4D2A7A42" w14:textId="77777777" w:rsidR="001D65C5" w:rsidRPr="001D65C5" w:rsidRDefault="001D65C5" w:rsidP="001D12EE">
            <w:pPr>
              <w:rPr>
                <w:rFonts w:eastAsia="DengXian"/>
                <w:lang w:val="en-GB"/>
              </w:rPr>
            </w:pP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retx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retx even if the maximum retx number is reached. Therefore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In addition, since CG could schedule only up to 3 resources per period, we prefer to clarify the number of retx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resource for retx of CG.</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332EF7">
            <w:pPr>
              <w:pStyle w:val="ListParagraph"/>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ListParagraph"/>
              <w:numPr>
                <w:ilvl w:val="1"/>
                <w:numId w:val="26"/>
              </w:numPr>
              <w:spacing w:after="120"/>
              <w:ind w:left="731"/>
              <w:rPr>
                <w:lang w:val="en-GB"/>
              </w:rPr>
            </w:pPr>
            <w:r w:rsidRPr="00EE07EE">
              <w:rPr>
                <w:lang w:val="en-GB"/>
              </w:rPr>
              <w:lastRenderedPageBreak/>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332EF7">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ListParagraph"/>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003E31A5"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ListParagraph"/>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sidR="00572C25">
              <w:rPr>
                <w:rFonts w:eastAsia="DengXian"/>
                <w:color w:val="538135" w:themeColor="accent6" w:themeShade="BF"/>
                <w:lang w:val="en-GB"/>
              </w:rPr>
              <w:t>2</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ListParagraph"/>
              <w:numPr>
                <w:ilvl w:val="1"/>
                <w:numId w:val="32"/>
              </w:numPr>
              <w:ind w:left="712"/>
              <w:rPr>
                <w:rFonts w:eastAsia="DengXian"/>
                <w:lang w:val="en-GB"/>
              </w:rPr>
            </w:pPr>
            <w:r w:rsidRPr="008F4B56">
              <w:rPr>
                <w:rFonts w:eastAsia="DengXian"/>
                <w:color w:val="538135" w:themeColor="accent6" w:themeShade="BF"/>
                <w:lang w:val="en-GB"/>
              </w:rPr>
              <w:t>Q</w:t>
            </w:r>
            <w:r w:rsidR="00572C25">
              <w:rPr>
                <w:rFonts w:eastAsia="DengXian"/>
                <w:color w:val="538135" w:themeColor="accent6" w:themeShade="BF"/>
                <w:lang w:val="en-GB"/>
              </w:rPr>
              <w:t>3</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2253FC1A" w14:textId="5215DAFB" w:rsidR="00572C25" w:rsidRPr="00572C25" w:rsidRDefault="00572C25" w:rsidP="00332EF7">
            <w:pPr>
              <w:pStyle w:val="ListParagraph"/>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Pr>
                <w:rFonts w:eastAsia="DengXian"/>
                <w:color w:val="538135" w:themeColor="accent6" w:themeShade="BF"/>
                <w:lang w:val="en-GB"/>
              </w:rPr>
              <w:t>,</w:t>
            </w:r>
            <w:bookmarkStart w:id="3" w:name="_GoBack"/>
            <w:bookmarkEnd w:id="3"/>
            <w:r w:rsidRPr="008F4B56">
              <w:rPr>
                <w:rFonts w:eastAsia="DengXian"/>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68747D7B" w14:textId="1F1914F9" w:rsidR="00ED3ABF" w:rsidRPr="00AB2DF1" w:rsidRDefault="00ED3ABF" w:rsidP="00413588">
            <w:pPr>
              <w:spacing w:after="120"/>
              <w:rPr>
                <w:lang w:val="en-GB"/>
              </w:rPr>
            </w:pPr>
            <w:r w:rsidRPr="00ED3ABF">
              <w:rPr>
                <w:color w:val="FF0000"/>
                <w:lang w:val="en-GB"/>
              </w:rPr>
              <w:lastRenderedPageBreak/>
              <w:t>My understanding is that we are taking definitions as they currently are.</w:t>
            </w:r>
          </w:p>
        </w:tc>
      </w:tr>
      <w:tr w:rsidR="00DD4469" w14:paraId="6EB4C5C2" w14:textId="77777777" w:rsidTr="003C5E7D">
        <w:tc>
          <w:tcPr>
            <w:tcW w:w="1336" w:type="dxa"/>
          </w:tcPr>
          <w:p w14:paraId="1FD83356" w14:textId="77777777" w:rsidR="00DD4469" w:rsidRPr="00B21B3C" w:rsidRDefault="00DD4469" w:rsidP="00440422">
            <w:r w:rsidRPr="00B21B3C">
              <w:rPr>
                <w:lang w:val="en-GB"/>
              </w:rPr>
              <w:lastRenderedPageBreak/>
              <w:t>InterDigital</w:t>
            </w:r>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DengXian" w:hint="eastAsia"/>
                <w:lang w:val="en-GB"/>
              </w:rPr>
              <w:t>S</w:t>
            </w:r>
            <w:r w:rsidRPr="00B21B3C">
              <w:rPr>
                <w:rFonts w:eastAsia="DengXian"/>
                <w:lang w:val="en-GB"/>
              </w:rPr>
              <w:t>preadtrum</w:t>
            </w:r>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lang w:eastAsia="ko-KR"/>
              </w:rPr>
            </w:pPr>
            <w:r>
              <w:rPr>
                <w:highlight w:val="yellow"/>
                <w:lang w:eastAsia="ko-KR"/>
              </w:rPr>
              <w:t>Proposal 3:</w:t>
            </w:r>
          </w:p>
          <w:p w14:paraId="3C5CF055" w14:textId="77777777" w:rsidR="00C01818" w:rsidRDefault="00C01818" w:rsidP="00332EF7">
            <w:pPr>
              <w:numPr>
                <w:ilvl w:val="0"/>
                <w:numId w:val="22"/>
              </w:numPr>
              <w:rPr>
                <w:rFonts w:eastAsia="Times New Roman"/>
                <w:lang w:eastAsia="ko-KR"/>
              </w:rPr>
            </w:pPr>
            <w:r>
              <w:rPr>
                <w:rFonts w:eastAsia="Times New Roman"/>
                <w:lang w:eastAsia="ko-KR"/>
              </w:rPr>
              <w:t>In case of reaching the maximum number of HARQ re-transmissions for a TB</w:t>
            </w:r>
            <w:r>
              <w:rPr>
                <w:rFonts w:eastAsia="Times New Roman"/>
                <w:color w:val="00B050"/>
                <w:lang w:eastAsia="ko-KR"/>
              </w:rPr>
              <w:t xml:space="preserve"> </w:t>
            </w:r>
            <w:r>
              <w:rPr>
                <w:rFonts w:eastAsia="Times New Roman"/>
                <w:lang w:eastAsia="ko-KR"/>
              </w:rPr>
              <w:t xml:space="preserve">using resources provided by a configured grant: </w:t>
            </w:r>
          </w:p>
          <w:p w14:paraId="547CCB83" w14:textId="77777777" w:rsidR="00C01818" w:rsidRDefault="00C01818" w:rsidP="00332EF7">
            <w:pPr>
              <w:numPr>
                <w:ilvl w:val="1"/>
                <w:numId w:val="22"/>
              </w:numPr>
              <w:rPr>
                <w:rFonts w:eastAsia="Times New Roman"/>
                <w:strike/>
                <w:color w:val="FF0000"/>
                <w:lang w:eastAsia="ko-KR"/>
              </w:rPr>
            </w:pPr>
            <w:r>
              <w:rPr>
                <w:rFonts w:eastAsia="Times New Roman"/>
                <w:strike/>
                <w:color w:val="FF0000"/>
                <w:lang w:eastAsia="ko-KR"/>
              </w:rPr>
              <w:t xml:space="preserve">Alt 1. The UE reports ACK to the gNB. </w:t>
            </w:r>
          </w:p>
          <w:p w14:paraId="52984A3D" w14:textId="77777777" w:rsidR="00C01818" w:rsidRDefault="00C01818" w:rsidP="00332EF7">
            <w:pPr>
              <w:numPr>
                <w:ilvl w:val="1"/>
                <w:numId w:val="22"/>
              </w:numPr>
              <w:rPr>
                <w:rFonts w:eastAsia="Times New Roman"/>
                <w:lang w:eastAsia="ko-KR"/>
              </w:rPr>
            </w:pPr>
            <w:r>
              <w:rPr>
                <w:rFonts w:eastAsia="Times New Roman"/>
                <w:strike/>
                <w:color w:val="FF0000"/>
                <w:lang w:eastAsia="ko-KR"/>
              </w:rPr>
              <w:t>Alt 2.</w:t>
            </w:r>
            <w:r>
              <w:rPr>
                <w:rFonts w:eastAsia="Times New Roman"/>
                <w:color w:val="FF0000"/>
                <w:lang w:eastAsia="ko-KR"/>
              </w:rPr>
              <w:t xml:space="preserve"> </w:t>
            </w:r>
            <w:r>
              <w:rPr>
                <w:rFonts w:eastAsia="Times New Roman"/>
                <w:lang w:eastAsia="ko-KR"/>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220ED9" w:rsidRDefault="00C01818" w:rsidP="00332EF7">
            <w:pPr>
              <w:numPr>
                <w:ilvl w:val="0"/>
                <w:numId w:val="22"/>
              </w:numPr>
              <w:rPr>
                <w:rFonts w:eastAsia="Times New Roman"/>
                <w:szCs w:val="20"/>
              </w:rPr>
            </w:pPr>
            <w:r w:rsidRPr="006871FE">
              <w:rPr>
                <w:rFonts w:eastAsia="Times New Roman"/>
                <w:szCs w:val="20"/>
              </w:rPr>
              <w:t xml:space="preserve">The working assumption (as in proposal 3 in the summary) from RAN1#100-e is confirmed. </w:t>
            </w:r>
          </w:p>
          <w:p w14:paraId="52ABAC70" w14:textId="77777777" w:rsidR="00C01818" w:rsidRPr="00C01818" w:rsidRDefault="00C01818" w:rsidP="00C01818">
            <w:pPr>
              <w:rPr>
                <w:rFonts w:eastAsia="DengXian"/>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lang w:val="x-none"/>
              </w:rPr>
            </w:pPr>
            <w:r w:rsidRPr="00B10EC2">
              <w:rPr>
                <w:rFonts w:asciiTheme="minorHAnsi" w:hAnsiTheme="minorHAnsi" w:cstheme="minorHAnsi"/>
                <w:szCs w:val="20"/>
              </w:rPr>
              <w:t>For dynamic grant, the number of retransmissions of a TB is up to the gNB.</w:t>
            </w:r>
          </w:p>
          <w:p w14:paraId="6002BDCB"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rPr>
            </w:pPr>
            <w:r w:rsidRPr="00B10EC2">
              <w:rPr>
                <w:rFonts w:asciiTheme="minorHAnsi" w:hAnsiTheme="minorHAnsi" w:cstheme="minorHAnsi"/>
                <w:szCs w:val="20"/>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191DB298" w14:textId="7AB5D817" w:rsidR="00595B5D" w:rsidRPr="00595B5D" w:rsidRDefault="00595B5D" w:rsidP="00332EF7">
      <w:pPr>
        <w:pStyle w:val="ListParagraph"/>
        <w:numPr>
          <w:ilvl w:val="0"/>
          <w:numId w:val="27"/>
        </w:numPr>
        <w:spacing w:before="240"/>
        <w:rPr>
          <w:lang w:val="en-GB"/>
        </w:rPr>
      </w:pPr>
      <w:r w:rsidRPr="00595B5D">
        <w:rPr>
          <w:lang w:val="en-GB"/>
        </w:rPr>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rPr>
          <w:lang w:val="en-GB"/>
        </w:rPr>
      </w:pPr>
      <w:r w:rsidRPr="00595B5D">
        <w:rPr>
          <w:lang w:val="en-GB"/>
        </w:rP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rPr>
          <w:lang w:val="en-GB"/>
        </w:rPr>
      </w:pPr>
      <w:r w:rsidRPr="00595B5D">
        <w:rPr>
          <w:lang w:val="en-GB"/>
        </w:rPr>
        <w:t>Given these two observations and that we are quite advanced in the maintenance phase, the proposal is not to specify anything.</w:t>
      </w:r>
    </w:p>
    <w:p w14:paraId="0549BAF2" w14:textId="74C968CA" w:rsidR="00595B5D" w:rsidRDefault="00595B5D" w:rsidP="00595B5D">
      <w:pPr>
        <w:spacing w:before="240"/>
        <w:rPr>
          <w:b/>
          <w:bCs/>
          <w:lang w:val="en-GB"/>
        </w:rPr>
      </w:pPr>
      <w:r w:rsidRPr="00595B5D">
        <w:rPr>
          <w:b/>
          <w:bCs/>
          <w:highlight w:val="yellow"/>
          <w:lang w:val="en-GB"/>
        </w:rPr>
        <w:t>Proposed conclusion:</w:t>
      </w:r>
    </w:p>
    <w:p w14:paraId="6DC5F289" w14:textId="73C06C9D" w:rsidR="00595B5D" w:rsidRPr="00595B5D" w:rsidRDefault="00595B5D" w:rsidP="00332EF7">
      <w:pPr>
        <w:pStyle w:val="ListParagraph"/>
        <w:numPr>
          <w:ilvl w:val="0"/>
          <w:numId w:val="28"/>
        </w:numPr>
        <w:spacing w:before="240"/>
        <w:rPr>
          <w:lang w:val="en-GB"/>
        </w:rPr>
      </w:pPr>
      <w:r w:rsidRPr="00595B5D">
        <w:rPr>
          <w:lang w:val="en-GB"/>
        </w:rPr>
        <w:t>No additional expceptional reports to the gNB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lastRenderedPageBreak/>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Pr>
                      <w:sz w:val="20"/>
                      <w:szCs w:val="20"/>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lastRenderedPageBreak/>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Pr>
                      <w:sz w:val="20"/>
                      <w:szCs w:val="20"/>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lastRenderedPageBreak/>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lastRenderedPageBreak/>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Default="00C01818" w:rsidP="00C01818">
            <w:r>
              <w:rPr>
                <w:lang w:val="en-GB"/>
              </w:rPr>
              <w:t>Slightly prefer Option A. The cases mentioned by NTT and FUJITSU may need specification.</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4"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332EF7"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332EF7"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332EF7"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4"/>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ListParagraph"/>
        <w:numPr>
          <w:ilvl w:val="0"/>
          <w:numId w:val="21"/>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lang w:val="en-GB"/>
        </w:rPr>
      </w:pPr>
      <w:r w:rsidRPr="002812D9">
        <w:rPr>
          <w:b/>
          <w:bCs/>
          <w:lang w:val="en-GB"/>
        </w:rPr>
        <w:lastRenderedPageBreak/>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4327F1D9" w14:textId="4E2A2F8F" w:rsidR="00595B5D" w:rsidRPr="00E82787" w:rsidRDefault="00595B5D" w:rsidP="00332EF7">
      <w:pPr>
        <w:pStyle w:val="ListParagraph"/>
        <w:numPr>
          <w:ilvl w:val="0"/>
          <w:numId w:val="21"/>
        </w:numPr>
        <w:spacing w:before="240"/>
        <w:rPr>
          <w:b/>
          <w:bCs/>
        </w:rPr>
      </w:pPr>
      <w:r w:rsidRPr="00E82787">
        <w:rPr>
          <w:lang w:val="en-GB"/>
        </w:rPr>
        <w:t xml:space="preserve">The proposal is agreeable </w:t>
      </w:r>
      <w:r w:rsidR="00E82787" w:rsidRPr="00E82787">
        <w:rPr>
          <w:lang w:val="en-GB"/>
        </w:rPr>
        <w:t>to everyone.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r>
              <w:rPr>
                <w:rFonts w:eastAsia="DengXian" w:hint="eastAsia"/>
                <w:lang w:val="en-GB"/>
              </w:rPr>
              <w:t>Spreadtrum</w:t>
            </w:r>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lastRenderedPageBreak/>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T</w:t>
      </w:r>
      <w:r w:rsidR="009C77D9" w:rsidRPr="009C77D9">
        <w:rPr>
          <w:vertAlign w:val="subscript"/>
        </w:rPr>
        <w:t>proc</w:t>
      </w:r>
      <w:r w:rsidR="009C77D9">
        <w:t>.</w:t>
      </w:r>
    </w:p>
    <w:p w14:paraId="25A6E7D4" w14:textId="63278D82" w:rsidR="009C77D9" w:rsidRPr="00CE1373"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tbl>
      <w:tblPr>
        <w:tblStyle w:val="TableGrid"/>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53F9B8F0" w14:textId="77777777"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6EBC2A8A" w14:textId="77777777" w:rsidR="00B313F2" w:rsidRDefault="00B313F2" w:rsidP="00440422">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0531BB8" w14:textId="77777777" w:rsidR="00B313F2" w:rsidRDefault="00B313F2" w:rsidP="00440422">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1F5E821D" w14:textId="175BF465" w:rsidR="00B313F2" w:rsidRPr="00B313F2" w:rsidRDefault="00B313F2" w:rsidP="00440422">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9E0E9F" w14:paraId="78A1B694" w14:textId="77777777" w:rsidTr="00440422">
        <w:tc>
          <w:tcPr>
            <w:tcW w:w="1696" w:type="dxa"/>
          </w:tcPr>
          <w:p w14:paraId="6022F102" w14:textId="5D2A7C1E" w:rsidR="009E0E9F" w:rsidRDefault="009E0E9F" w:rsidP="009E0E9F">
            <w:pPr>
              <w:rPr>
                <w:lang w:val="en-GB"/>
              </w:rPr>
            </w:pPr>
            <w:r>
              <w:rPr>
                <w:rFonts w:eastAsia="DengXian" w:hint="eastAsia"/>
                <w:lang w:val="en-GB"/>
              </w:rPr>
              <w:lastRenderedPageBreak/>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440422">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332EF7">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332EF7">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4A04108A" w14:textId="77777777" w:rsidR="00C97A55" w:rsidRPr="007B67BA" w:rsidRDefault="00C97A55" w:rsidP="00332EF7">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w:t>
            </w:r>
            <w:r w:rsidRPr="00AB2DF1">
              <w:rPr>
                <w:rFonts w:hint="eastAsia"/>
                <w:szCs w:val="20"/>
                <w:lang w:val="en-GB"/>
              </w:rPr>
              <w:lastRenderedPageBreak/>
              <w:t xml:space="preserve">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806D35" w14:textId="77777777" w:rsidR="007B67BA" w:rsidRDefault="007B67BA" w:rsidP="007B67BA">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121D305E" w14:textId="106BD84E" w:rsidR="00DC3DDB" w:rsidRPr="00DC3DDB" w:rsidRDefault="00DC3DDB" w:rsidP="007B67BA">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332EF7">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332EF7">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DengXian" w:hint="eastAsia"/>
                <w:lang w:val="en-GB"/>
              </w:rPr>
              <w:lastRenderedPageBreak/>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gNB,</w:t>
            </w:r>
            <w:r w:rsidR="00440422" w:rsidRPr="00440422">
              <w:rPr>
                <w:color w:val="4472C4" w:themeColor="accent1"/>
                <w:lang w:val="en-GB"/>
              </w:rPr>
              <w:t xml:space="preserve"> then discuss the </w:t>
            </w:r>
            <w:r w:rsidR="00737707">
              <w:rPr>
                <w:color w:val="4472C4" w:themeColor="accent1"/>
                <w:lang w:val="en-GB"/>
              </w:rPr>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t>Mode 2</w:t>
            </w:r>
            <w:r w:rsidR="00440422">
              <w:rPr>
                <w:color w:val="4472C4" w:themeColor="accent1"/>
                <w:lang w:val="en-GB"/>
              </w:rPr>
              <w:t xml:space="preserve"> AI</w:t>
            </w:r>
            <w:r w:rsidR="00440422" w:rsidRPr="00440422">
              <w:rPr>
                <w:color w:val="4472C4" w:themeColor="accent1"/>
                <w:lang w:val="en-GB"/>
              </w:rPr>
              <w:t>.</w:t>
            </w:r>
          </w:p>
          <w:p w14:paraId="40433A5A" w14:textId="5054FF1A" w:rsidR="008C614A" w:rsidRPr="00737707" w:rsidRDefault="00440422" w:rsidP="00AD40E8">
            <w:pPr>
              <w:rPr>
                <w:color w:val="4472C4" w:themeColor="accent1"/>
              </w:rPr>
            </w:pPr>
            <w:r w:rsidRPr="00440422">
              <w:rPr>
                <w:color w:val="4472C4" w:themeColor="accent1"/>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tc>
      </w:tr>
      <w:tr w:rsidR="00AD40E8" w14:paraId="2EA77901" w14:textId="77777777" w:rsidTr="00440422">
        <w:tc>
          <w:tcPr>
            <w:tcW w:w="1696" w:type="dxa"/>
          </w:tcPr>
          <w:p w14:paraId="3B728606" w14:textId="5E751908" w:rsidR="00AD40E8" w:rsidRPr="008457AD" w:rsidRDefault="008457AD" w:rsidP="00AD40E8">
            <w:pPr>
              <w:rPr>
                <w:rFonts w:eastAsia="DengXian"/>
                <w:lang w:val="en-GB"/>
              </w:rPr>
            </w:pPr>
            <w:r>
              <w:rPr>
                <w:rFonts w:eastAsia="DengXian" w:hint="eastAsia"/>
                <w:lang w:val="en-GB"/>
              </w:rPr>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440422">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lastRenderedPageBreak/>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t xml:space="preserve">The gNB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440422">
        <w:tc>
          <w:tcPr>
            <w:tcW w:w="1696" w:type="dxa"/>
          </w:tcPr>
          <w:p w14:paraId="3D1B33FA" w14:textId="089CC971" w:rsidR="00B71E34" w:rsidRPr="007C0F7C" w:rsidRDefault="007C0F7C" w:rsidP="001D12EE">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440422">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gNB for its scheduling. </w:t>
            </w:r>
          </w:p>
        </w:tc>
      </w:tr>
      <w:tr w:rsidR="00C01818" w14:paraId="0713B500" w14:textId="77777777" w:rsidTr="00440422">
        <w:tc>
          <w:tcPr>
            <w:tcW w:w="1696" w:type="dxa"/>
          </w:tcPr>
          <w:p w14:paraId="08FBF41B" w14:textId="1757A93E" w:rsidR="00C01818" w:rsidRDefault="00C01818" w:rsidP="00C01818">
            <w:r>
              <w:rPr>
                <w:rFonts w:eastAsia="DengXian" w:hint="eastAsia"/>
                <w:lang w:val="en-GB"/>
              </w:rPr>
              <w:t xml:space="preserve">Spreadtrum </w:t>
            </w:r>
          </w:p>
        </w:tc>
        <w:tc>
          <w:tcPr>
            <w:tcW w:w="7933" w:type="dxa"/>
          </w:tcPr>
          <w:p w14:paraId="19047ECD" w14:textId="77777777" w:rsidR="00C01818" w:rsidRDefault="00C01818" w:rsidP="00C01818">
            <w:pPr>
              <w:rPr>
                <w:rFonts w:eastAsia="DengXian"/>
                <w:lang w:val="en-GB"/>
              </w:rPr>
            </w:pPr>
            <w:r>
              <w:rPr>
                <w:rFonts w:eastAsia="DengXian" w:hint="eastAsia"/>
                <w:lang w:val="en-GB"/>
              </w:rPr>
              <w:t>O</w:t>
            </w:r>
            <w:r>
              <w:rPr>
                <w:rFonts w:eastAsia="DengXian"/>
                <w:lang w:val="en-GB"/>
              </w:rPr>
              <w:t xml:space="preserve">ption A. </w:t>
            </w:r>
          </w:p>
          <w:p w14:paraId="44D0532D" w14:textId="5C8138B1" w:rsidR="00C01818" w:rsidRDefault="00C01818" w:rsidP="00C01818">
            <w:pPr>
              <w:rPr>
                <w:lang w:val="en-GB"/>
              </w:rPr>
            </w:pPr>
            <w:r>
              <w:rPr>
                <w:rFonts w:eastAsia="DengXian"/>
                <w:lang w:val="en-GB"/>
              </w:rPr>
              <w:t>In mode 2, it has been agreed that</w:t>
            </w:r>
            <w:r w:rsidRPr="00A37A2F">
              <w:rPr>
                <w:rFonts w:eastAsia="DengXian" w:hint="eastAsia"/>
                <w:szCs w:val="20"/>
              </w:rPr>
              <w:t>‘</w:t>
            </w:r>
            <w:r w:rsidRPr="00A37A2F">
              <w:rPr>
                <w:rFonts w:eastAsia="DengXian" w:hint="eastAsia"/>
                <w:szCs w:val="20"/>
              </w:rPr>
              <w:t>b</w:t>
            </w:r>
            <w:r w:rsidRPr="00A37A2F">
              <w:rPr>
                <w:rFonts w:eastAsia="DengXian"/>
                <w:szCs w:val="20"/>
              </w:rPr>
              <w:t>’</w:t>
            </w:r>
            <w:r w:rsidRPr="00A37A2F">
              <w:rPr>
                <w:rFonts w:hint="eastAsia"/>
                <w:szCs w:val="20"/>
              </w:rPr>
              <w:t xml:space="preserve"> </w:t>
            </w:r>
            <w:r w:rsidRPr="00A37A2F">
              <w:rPr>
                <w:szCs w:val="20"/>
              </w:rPr>
              <w:t xml:space="preserve"> </w:t>
            </w:r>
            <w:r w:rsidRPr="00A37A2F">
              <w:rPr>
                <w:rFonts w:hint="eastAsia"/>
                <w:szCs w:val="20"/>
              </w:rPr>
              <w:t>is determined by UE implementation</w:t>
            </w:r>
            <w:r>
              <w:rPr>
                <w:rFonts w:eastAsia="DengXian" w:hint="eastAsia"/>
                <w:szCs w:val="20"/>
              </w:rPr>
              <w:t xml:space="preserve">. </w:t>
            </w:r>
            <w:r>
              <w:rPr>
                <w:rFonts w:eastAsia="DengXian"/>
                <w:szCs w:val="20"/>
              </w:rPr>
              <w:t xml:space="preserve">So, </w:t>
            </w:r>
            <w:r>
              <w:rPr>
                <w:lang w:val="en-GB"/>
              </w:rPr>
              <w:t>upper-bound of “b” should be defined to ensure that the SL resource allocated by gNB can satisfy the HARQ RTT.</w:t>
            </w: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D4077" w14:textId="77777777" w:rsidR="00332EF7" w:rsidRDefault="00332EF7">
      <w:r>
        <w:separator/>
      </w:r>
    </w:p>
  </w:endnote>
  <w:endnote w:type="continuationSeparator" w:id="0">
    <w:p w14:paraId="30BD87D7" w14:textId="77777777" w:rsidR="00332EF7" w:rsidRDefault="00332EF7">
      <w:r>
        <w:continuationSeparator/>
      </w:r>
    </w:p>
  </w:endnote>
  <w:endnote w:type="continuationNotice" w:id="1">
    <w:p w14:paraId="11FE3637" w14:textId="77777777" w:rsidR="00332EF7" w:rsidRDefault="00332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TKaiti">
    <w:altName w:val="华文楷体"/>
    <w:charset w:val="86"/>
    <w:family w:val="auto"/>
    <w:pitch w:val="variable"/>
    <w:sig w:usb0="00000287" w:usb1="080F0000" w:usb2="00000010" w:usb3="00000000" w:csb0="0004009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B9D0" w14:textId="77777777" w:rsidR="00332EF7" w:rsidRDefault="00332EF7">
      <w:r>
        <w:separator/>
      </w:r>
    </w:p>
  </w:footnote>
  <w:footnote w:type="continuationSeparator" w:id="0">
    <w:p w14:paraId="600D0043" w14:textId="77777777" w:rsidR="00332EF7" w:rsidRDefault="00332EF7">
      <w:r>
        <w:continuationSeparator/>
      </w:r>
    </w:p>
  </w:footnote>
  <w:footnote w:type="continuationNotice" w:id="1">
    <w:p w14:paraId="5FE0F74C" w14:textId="77777777" w:rsidR="00332EF7" w:rsidRDefault="00332E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1"/>
  </w:num>
  <w:num w:numId="5">
    <w:abstractNumId w:val="22"/>
  </w:num>
  <w:num w:numId="6">
    <w:abstractNumId w:val="23"/>
  </w:num>
  <w:num w:numId="7">
    <w:abstractNumId w:val="9"/>
  </w:num>
  <w:num w:numId="8">
    <w:abstractNumId w:val="13"/>
  </w:num>
  <w:num w:numId="9">
    <w:abstractNumId w:val="5"/>
  </w:num>
  <w:num w:numId="10">
    <w:abstractNumId w:val="29"/>
  </w:num>
  <w:num w:numId="11">
    <w:abstractNumId w:val="16"/>
  </w:num>
  <w:num w:numId="12">
    <w:abstractNumId w:val="28"/>
  </w:num>
  <w:num w:numId="13">
    <w:abstractNumId w:val="14"/>
  </w:num>
  <w:num w:numId="14">
    <w:abstractNumId w:val="26"/>
  </w:num>
  <w:num w:numId="15">
    <w:abstractNumId w:val="27"/>
  </w:num>
  <w:num w:numId="16">
    <w:abstractNumId w:val="4"/>
  </w:num>
  <w:num w:numId="17">
    <w:abstractNumId w:val="10"/>
  </w:num>
  <w:num w:numId="18">
    <w:abstractNumId w:val="30"/>
  </w:num>
  <w:num w:numId="19">
    <w:abstractNumId w:val="6"/>
  </w:num>
  <w:num w:numId="20">
    <w:abstractNumId w:val="15"/>
  </w:num>
  <w:num w:numId="21">
    <w:abstractNumId w:val="8"/>
  </w:num>
  <w:num w:numId="22">
    <w:abstractNumId w:val="12"/>
  </w:num>
  <w:num w:numId="23">
    <w:abstractNumId w:val="3"/>
  </w:num>
  <w:num w:numId="24">
    <w:abstractNumId w:val="7"/>
  </w:num>
  <w:num w:numId="25">
    <w:abstractNumId w:val="19"/>
  </w:num>
  <w:num w:numId="26">
    <w:abstractNumId w:val="18"/>
  </w:num>
  <w:num w:numId="27">
    <w:abstractNumId w:val="11"/>
  </w:num>
  <w:num w:numId="28">
    <w:abstractNumId w:val="25"/>
  </w:num>
  <w:num w:numId="29">
    <w:abstractNumId w:val="31"/>
  </w:num>
  <w:num w:numId="30">
    <w:abstractNumId w:val="1"/>
  </w:num>
  <w:num w:numId="31">
    <w:abstractNumId w:val="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3ABF"/>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1A5"/>
    <w:pPr>
      <w:spacing w:after="160" w:line="259" w:lineRule="auto"/>
    </w:pPr>
    <w:rPr>
      <w:rFonts w:asciiTheme="minorHAnsi" w:eastAsiaTheme="minorHAnsi" w:hAnsiTheme="minorHAnsi" w:cstheme="minorBidi"/>
      <w:sz w:val="22"/>
      <w:szCs w:val="22"/>
      <w:lang w:val="de-DE"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E31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1A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0728D4"/>
    <w:pPr>
      <w:numPr>
        <w:ilvl w:val="12"/>
      </w:numPr>
    </w:pPr>
    <w:rPr>
      <w:rFonts w:ascii="STKaiti" w:eastAsia="STKaiti" w:hAnsi="STKaiti"/>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39474-9845-44E6-AD6A-B1A3E4E7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5754</Words>
  <Characters>32803</Characters>
  <Application>Microsoft Office Word</Application>
  <DocSecurity>0</DocSecurity>
  <Lines>273</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38481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2020-08-20T07:53:00Z</dcterms:created>
  <dcterms:modified xsi:type="dcterms:W3CDTF">2020-08-20T08:01:00Z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