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TableGrid"/>
        <w:tblW w:w="0" w:type="auto"/>
        <w:tblLook w:val="04A0" w:firstRow="1" w:lastRow="0" w:firstColumn="1" w:lastColumn="0" w:noHBand="0" w:noVBand="1"/>
      </w:tblPr>
      <w:tblGrid>
        <w:gridCol w:w="1150"/>
        <w:gridCol w:w="8479"/>
      </w:tblGrid>
      <w:tr w:rsidR="009B1DA2" w14:paraId="781474D6" w14:textId="77777777" w:rsidTr="00CD60C8">
        <w:tc>
          <w:tcPr>
            <w:tcW w:w="1150"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8479"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CD60C8">
        <w:tc>
          <w:tcPr>
            <w:tcW w:w="1150"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79"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CD60C8">
        <w:tc>
          <w:tcPr>
            <w:tcW w:w="1150" w:type="dxa"/>
          </w:tcPr>
          <w:p w14:paraId="3DEEE87D" w14:textId="2A8762E7" w:rsidR="009B1DA2" w:rsidRDefault="0004208B" w:rsidP="00621793">
            <w:pPr>
              <w:rPr>
                <w:lang w:val="en-GB"/>
              </w:rPr>
            </w:pPr>
            <w:r>
              <w:rPr>
                <w:lang w:val="en-GB"/>
              </w:rPr>
              <w:t>Intel</w:t>
            </w:r>
          </w:p>
        </w:tc>
        <w:tc>
          <w:tcPr>
            <w:tcW w:w="8479" w:type="dxa"/>
          </w:tcPr>
          <w:p w14:paraId="1159E711" w14:textId="0877A5D5" w:rsidR="009B1DA2" w:rsidRDefault="0004208B" w:rsidP="00621793">
            <w:pPr>
              <w:rPr>
                <w:lang w:val="en-GB"/>
              </w:rPr>
            </w:pPr>
            <w:r>
              <w:rPr>
                <w:lang w:val="en-GB"/>
              </w:rPr>
              <w:t>Option A</w:t>
            </w:r>
          </w:p>
        </w:tc>
      </w:tr>
      <w:tr w:rsidR="008C72CF" w14:paraId="1F04E54A" w14:textId="77777777" w:rsidTr="00CD60C8">
        <w:tc>
          <w:tcPr>
            <w:tcW w:w="1150" w:type="dxa"/>
          </w:tcPr>
          <w:p w14:paraId="0E83B3CE" w14:textId="0C957B04" w:rsidR="008C72CF" w:rsidRDefault="008C72CF" w:rsidP="008C72CF">
            <w:pPr>
              <w:rPr>
                <w:lang w:val="en-GB"/>
              </w:rPr>
            </w:pPr>
            <w:r>
              <w:rPr>
                <w:rFonts w:eastAsia="等线" w:hint="eastAsia"/>
                <w:lang w:val="en-GB"/>
              </w:rPr>
              <w:t>v</w:t>
            </w:r>
            <w:r>
              <w:rPr>
                <w:rFonts w:eastAsia="等线"/>
                <w:lang w:val="en-GB"/>
              </w:rPr>
              <w:t>ivo</w:t>
            </w:r>
          </w:p>
        </w:tc>
        <w:tc>
          <w:tcPr>
            <w:tcW w:w="8479" w:type="dxa"/>
          </w:tcPr>
          <w:p w14:paraId="6D959869" w14:textId="5A788345" w:rsidR="008C72CF" w:rsidRDefault="008C72CF" w:rsidP="008C72CF">
            <w:pPr>
              <w:rPr>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xml:space="preserve">. Could the proponents of option A elaborate a bit more of the </w:t>
            </w:r>
            <w:r>
              <w:rPr>
                <w:rFonts w:eastAsia="等线"/>
                <w:lang w:val="en-GB"/>
              </w:rPr>
              <w:lastRenderedPageBreak/>
              <w:t>intention of setting such restriction if option A is adopted?</w:t>
            </w:r>
          </w:p>
        </w:tc>
      </w:tr>
      <w:tr w:rsidR="00C97A55" w14:paraId="2728645E" w14:textId="77777777" w:rsidTr="00CD60C8">
        <w:tc>
          <w:tcPr>
            <w:tcW w:w="1150" w:type="dxa"/>
          </w:tcPr>
          <w:p w14:paraId="19DD0627" w14:textId="7090C5A4" w:rsidR="00C97A55" w:rsidRDefault="00C97A55" w:rsidP="00C97A55">
            <w:pPr>
              <w:rPr>
                <w:lang w:val="en-GB"/>
              </w:rPr>
            </w:pPr>
            <w:r>
              <w:rPr>
                <w:rFonts w:eastAsia="等线" w:hint="eastAsia"/>
                <w:lang w:val="en-GB"/>
              </w:rPr>
              <w:lastRenderedPageBreak/>
              <w:t>O</w:t>
            </w:r>
            <w:r>
              <w:rPr>
                <w:rFonts w:eastAsia="等线"/>
                <w:lang w:val="en-GB"/>
              </w:rPr>
              <w:t>PPO</w:t>
            </w:r>
          </w:p>
        </w:tc>
        <w:tc>
          <w:tcPr>
            <w:tcW w:w="8479" w:type="dxa"/>
          </w:tcPr>
          <w:p w14:paraId="7CFB25C0" w14:textId="77777777" w:rsidR="00C97A55" w:rsidRPr="00892580" w:rsidRDefault="00C97A55" w:rsidP="00C97A55">
            <w:pPr>
              <w:rPr>
                <w:rFonts w:eastAsia="等线"/>
              </w:rPr>
            </w:pPr>
            <w:r w:rsidRPr="00892580">
              <w:rPr>
                <w:rFonts w:eastAsia="等线" w:hint="eastAsia"/>
              </w:rPr>
              <w:t>T</w:t>
            </w:r>
            <w:r w:rsidRPr="00892580">
              <w:rPr>
                <w:rFonts w:eastAsia="等线"/>
              </w:rPr>
              <w:t>he WA made in RAN1#100-e is as follows:</w:t>
            </w:r>
          </w:p>
          <w:p w14:paraId="49E43CA6" w14:textId="77777777" w:rsidR="00C97A55" w:rsidRPr="00776DE7" w:rsidRDefault="00C97A55" w:rsidP="00C97A55">
            <w:pPr>
              <w:rPr>
                <w:rFonts w:eastAsia="等线"/>
                <w:highlight w:val="yellow"/>
              </w:rPr>
            </w:pPr>
          </w:p>
          <w:p w14:paraId="53F7768F" w14:textId="77777777" w:rsidR="00C97A55" w:rsidRPr="005317A3" w:rsidRDefault="00C97A55" w:rsidP="00C97A55">
            <w:pPr>
              <w:rPr>
                <w:rFonts w:ascii="Times New Roman" w:eastAsia="等线" w:hAnsi="Times New Roman"/>
                <w:szCs w:val="20"/>
                <w:highlight w:val="darkYellow"/>
              </w:rPr>
            </w:pPr>
            <w:r w:rsidRPr="005317A3">
              <w:rPr>
                <w:rFonts w:ascii="Times New Roman" w:eastAsia="等线" w:hAnsi="Times New Roman"/>
                <w:szCs w:val="20"/>
                <w:highlight w:val="darkYellow"/>
              </w:rPr>
              <w:t>Working assumption</w:t>
            </w:r>
            <w:r>
              <w:rPr>
                <w:rFonts w:ascii="Times New Roman" w:eastAsia="等线" w:hAnsi="Times New Roman"/>
                <w:szCs w:val="20"/>
                <w:highlight w:val="darkYellow"/>
              </w:rPr>
              <w:t xml:space="preserve"> (Q5)</w:t>
            </w:r>
            <w:r w:rsidRPr="005317A3">
              <w:rPr>
                <w:rFonts w:ascii="Times New Roman" w:eastAsia="等线"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Default="00C97A55" w:rsidP="00C97A55">
            <w:pPr>
              <w:rPr>
                <w:rFonts w:eastAsia="等线"/>
                <w:highlight w:val="yellow"/>
              </w:rPr>
            </w:pPr>
          </w:p>
          <w:p w14:paraId="794D9825" w14:textId="77777777" w:rsidR="00C97A55" w:rsidRDefault="00C97A55" w:rsidP="00C97A55">
            <w:pPr>
              <w:rPr>
                <w:rFonts w:eastAsia="等线"/>
              </w:rPr>
            </w:pPr>
            <w:r w:rsidRPr="00892580">
              <w:rPr>
                <w:rFonts w:eastAsia="等线" w:hint="eastAsia"/>
              </w:rPr>
              <w:t>T</w:t>
            </w:r>
            <w:r w:rsidRPr="00892580">
              <w:rPr>
                <w:rFonts w:eastAsia="等线"/>
              </w:rPr>
              <w:t xml:space="preserve">his WA was </w:t>
            </w:r>
            <w:r w:rsidRPr="00892580">
              <w:rPr>
                <w:rFonts w:eastAsia="等线"/>
                <w:highlight w:val="yellow"/>
              </w:rPr>
              <w:t>partially agreed</w:t>
            </w:r>
            <w:r w:rsidRPr="00892580">
              <w:rPr>
                <w:rFonts w:eastAsia="等线"/>
              </w:rPr>
              <w:t xml:space="preserve"> in RAN1#100bis-e</w:t>
            </w:r>
            <w:r>
              <w:rPr>
                <w:rFonts w:eastAsia="等线"/>
              </w:rPr>
              <w:t xml:space="preserve"> for configured grant</w:t>
            </w:r>
            <w:r w:rsidRPr="00892580">
              <w:rPr>
                <w:rFonts w:eastAsia="等线"/>
              </w:rPr>
              <w:t xml:space="preserve">: </w:t>
            </w:r>
          </w:p>
          <w:p w14:paraId="30D2B928" w14:textId="77777777" w:rsidR="00C97A55" w:rsidRPr="00892580" w:rsidRDefault="00C97A55" w:rsidP="00C97A55">
            <w:pPr>
              <w:rPr>
                <w:rFonts w:eastAsia="等线"/>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等线"/>
              </w:rPr>
            </w:pPr>
          </w:p>
          <w:p w14:paraId="6B93F3F2" w14:textId="77777777" w:rsidR="00C97A55" w:rsidRDefault="00C97A55" w:rsidP="00C97A55">
            <w:pPr>
              <w:rPr>
                <w:rFonts w:ascii="Calibri" w:hAnsi="Calibri" w:cs="宋体"/>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numPr>
                <w:ilvl w:val="0"/>
                <w:numId w:val="40"/>
              </w:numPr>
              <w:rPr>
                <w:lang w:eastAsia="en-GB"/>
              </w:rPr>
            </w:pPr>
            <w:r>
              <w:rPr>
                <w:lang w:eastAsia="en-GB"/>
              </w:rPr>
              <w:t>The working assumption from RAN1#100-e is confirmed.</w:t>
            </w:r>
            <w:r>
              <w:t xml:space="preserve"> </w:t>
            </w:r>
          </w:p>
          <w:p w14:paraId="492460B7" w14:textId="77777777" w:rsidR="00C97A55" w:rsidRDefault="00C97A55" w:rsidP="00C97A55">
            <w:pPr>
              <w:numPr>
                <w:ilvl w:val="1"/>
                <w:numId w:val="40"/>
              </w:numPr>
              <w:rPr>
                <w:lang w:eastAsia="en-GB"/>
              </w:rPr>
            </w:pPr>
            <w:r>
              <w:t>In case of reaching the maximum number of HARQ re-transmissions for a TB</w:t>
            </w:r>
            <w:r>
              <w:rPr>
                <w:color w:val="00B050"/>
              </w:rPr>
              <w:t xml:space="preserve"> using resources provided by a configured grant</w:t>
            </w:r>
            <w:r>
              <w:t xml:space="preserve">, the UE reports ACK to the gNB. </w:t>
            </w:r>
          </w:p>
          <w:p w14:paraId="139F33BC" w14:textId="77777777" w:rsidR="00C97A55" w:rsidRDefault="00C97A55" w:rsidP="00C97A55">
            <w:pPr>
              <w:numPr>
                <w:ilvl w:val="2"/>
                <w:numId w:val="40"/>
              </w:numPr>
              <w:rPr>
                <w:strike/>
                <w:lang w:eastAsia="en-GB"/>
              </w:rPr>
            </w:pPr>
            <w:r>
              <w:rPr>
                <w:strike/>
                <w:color w:val="FF0000"/>
              </w:rPr>
              <w:t>FFS whether the specification supports that the gNB configures the UE with a maximum number of transmission per TB.</w:t>
            </w:r>
          </w:p>
          <w:p w14:paraId="5D90724F" w14:textId="77777777" w:rsidR="00C97A55" w:rsidRDefault="00C97A55" w:rsidP="00C97A55">
            <w:pPr>
              <w:rPr>
                <w:rFonts w:eastAsia="等线"/>
              </w:rPr>
            </w:pPr>
          </w:p>
          <w:p w14:paraId="097E37B0" w14:textId="77777777" w:rsidR="00C97A55" w:rsidRDefault="00C97A55" w:rsidP="00C97A55">
            <w:pPr>
              <w:rPr>
                <w:rFonts w:eastAsia="等线"/>
              </w:rPr>
            </w:pPr>
            <w:r>
              <w:rPr>
                <w:rFonts w:eastAsia="等线"/>
              </w:rPr>
              <w:t xml:space="preserve">While for dynamic grant, there is no agreement till now. </w:t>
            </w:r>
            <w:r w:rsidRPr="00776DE7">
              <w:rPr>
                <w:rFonts w:eastAsia="等线"/>
                <w:highlight w:val="yellow"/>
              </w:rPr>
              <w:t>@ FL, can you clarify that this issue is only for DG?</w:t>
            </w:r>
            <w:r>
              <w:rPr>
                <w:rFonts w:eastAsia="等线"/>
              </w:rPr>
              <w:t xml:space="preserve"> </w:t>
            </w:r>
          </w:p>
          <w:p w14:paraId="4A2B1F7F" w14:textId="77777777" w:rsidR="00C97A55" w:rsidRDefault="00C97A55" w:rsidP="00C97A55">
            <w:pPr>
              <w:rPr>
                <w:rFonts w:eastAsia="等线"/>
              </w:rPr>
            </w:pPr>
          </w:p>
          <w:p w14:paraId="73642CB1" w14:textId="77777777" w:rsidR="00C97A55" w:rsidRDefault="00C97A55" w:rsidP="00C97A55">
            <w:pPr>
              <w:rPr>
                <w:rFonts w:eastAsia="等线"/>
              </w:rPr>
            </w:pPr>
            <w:r>
              <w:rPr>
                <w:rFonts w:eastAsia="等线" w:hint="eastAsia"/>
              </w:rPr>
              <w:t>O</w:t>
            </w:r>
            <w:r>
              <w:rPr>
                <w:rFonts w:eastAsia="等线"/>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等线"/>
              </w:rPr>
            </w:pPr>
          </w:p>
          <w:p w14:paraId="359CC1FA" w14:textId="77777777" w:rsidR="00C97A55" w:rsidRDefault="00C97A55" w:rsidP="00C97A55">
            <w:pPr>
              <w:rPr>
                <w:rFonts w:eastAsia="等线"/>
              </w:rPr>
            </w:pPr>
            <w:r>
              <w:rPr>
                <w:rFonts w:eastAsia="等线"/>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Default="00C97A55" w:rsidP="00C97A55">
            <w:pPr>
              <w:rPr>
                <w:rFonts w:eastAsia="等线"/>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ListParagraph"/>
              <w:numPr>
                <w:ilvl w:val="0"/>
                <w:numId w:val="22"/>
              </w:numPr>
              <w:spacing w:line="256" w:lineRule="auto"/>
              <w:rPr>
                <w:rFonts w:ascii="Arial" w:hAnsi="Arial" w:cs="Arial"/>
                <w:szCs w:val="20"/>
                <w:lang w:val="x-none"/>
              </w:rPr>
            </w:pPr>
            <w:r w:rsidRPr="00776DE7">
              <w:rPr>
                <w:rFonts w:ascii="Arial" w:hAnsi="Arial" w:cs="Arial"/>
                <w:szCs w:val="20"/>
              </w:rPr>
              <w:t>For dynamic grant, the number of retransmissions of a TB is up to the gNB</w:t>
            </w:r>
            <w:r>
              <w:rPr>
                <w:rFonts w:ascii="Arial" w:hAnsi="Arial" w:cs="Arial"/>
                <w:szCs w:val="20"/>
              </w:rPr>
              <w:t>.</w:t>
            </w:r>
          </w:p>
          <w:p w14:paraId="4F41B778" w14:textId="5AC00B1D" w:rsidR="00C97A55" w:rsidRPr="00F03419" w:rsidRDefault="00C97A55" w:rsidP="00C97A55">
            <w:pPr>
              <w:pStyle w:val="ListParagraph"/>
              <w:numPr>
                <w:ilvl w:val="0"/>
                <w:numId w:val="22"/>
              </w:numPr>
              <w:spacing w:line="256" w:lineRule="auto"/>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CD60C8">
        <w:tc>
          <w:tcPr>
            <w:tcW w:w="1150" w:type="dxa"/>
          </w:tcPr>
          <w:p w14:paraId="539F2198" w14:textId="3C884CE4" w:rsidR="00F03419" w:rsidRDefault="00F03419" w:rsidP="00F03419">
            <w:pPr>
              <w:rPr>
                <w:lang w:val="en-GB"/>
              </w:rPr>
            </w:pPr>
            <w:r>
              <w:rPr>
                <w:rFonts w:eastAsiaTheme="minorEastAsia" w:hint="eastAsia"/>
                <w:lang w:val="en-GB"/>
              </w:rPr>
              <w:t>L</w:t>
            </w:r>
            <w:r>
              <w:rPr>
                <w:rFonts w:eastAsiaTheme="minorEastAsia"/>
                <w:lang w:val="en-GB"/>
              </w:rPr>
              <w:t>G Electronics</w:t>
            </w:r>
          </w:p>
        </w:tc>
        <w:tc>
          <w:tcPr>
            <w:tcW w:w="8479"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CD60C8">
        <w:tc>
          <w:tcPr>
            <w:tcW w:w="1150" w:type="dxa"/>
          </w:tcPr>
          <w:p w14:paraId="611A6A78" w14:textId="646D8158" w:rsidR="00C97A55" w:rsidRDefault="00406853" w:rsidP="00C97A55">
            <w:pPr>
              <w:rPr>
                <w:lang w:val="en-GB"/>
              </w:rPr>
            </w:pPr>
            <w:r>
              <w:rPr>
                <w:lang w:val="en-GB"/>
              </w:rPr>
              <w:t>ZTE, Sanechips</w:t>
            </w:r>
          </w:p>
        </w:tc>
        <w:tc>
          <w:tcPr>
            <w:tcW w:w="8479" w:type="dxa"/>
          </w:tcPr>
          <w:p w14:paraId="4D7374E1" w14:textId="580809A6" w:rsidR="00C97A55" w:rsidRDefault="00406853" w:rsidP="00C97A55">
            <w:pPr>
              <w:rPr>
                <w:lang w:val="en-GB"/>
              </w:rPr>
            </w:pPr>
            <w:r>
              <w:rPr>
                <w:lang w:val="en-GB"/>
              </w:rPr>
              <w:t xml:space="preserve">Option A. </w:t>
            </w:r>
          </w:p>
        </w:tc>
      </w:tr>
      <w:tr w:rsidR="00AD40E8" w14:paraId="7DF6F968" w14:textId="77777777" w:rsidTr="00CD60C8">
        <w:tc>
          <w:tcPr>
            <w:tcW w:w="1150" w:type="dxa"/>
          </w:tcPr>
          <w:p w14:paraId="7DDAB50E" w14:textId="150DC930" w:rsidR="00AD40E8" w:rsidRDefault="00AD40E8" w:rsidP="00AD40E8">
            <w:pPr>
              <w:rPr>
                <w:lang w:val="en-GB"/>
              </w:rPr>
            </w:pPr>
            <w:r>
              <w:rPr>
                <w:rFonts w:eastAsia="等线" w:hint="eastAsia"/>
                <w:lang w:val="en-GB"/>
              </w:rPr>
              <w:t>Sh</w:t>
            </w:r>
            <w:r>
              <w:rPr>
                <w:rFonts w:eastAsia="等线"/>
                <w:lang w:val="en-GB"/>
              </w:rPr>
              <w:t>arp</w:t>
            </w:r>
          </w:p>
        </w:tc>
        <w:tc>
          <w:tcPr>
            <w:tcW w:w="8479"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CD60C8">
        <w:tc>
          <w:tcPr>
            <w:tcW w:w="1150" w:type="dxa"/>
          </w:tcPr>
          <w:p w14:paraId="06CB00DF" w14:textId="60939914" w:rsidR="00AD40E8" w:rsidRDefault="0055052A" w:rsidP="00AD40E8">
            <w:pPr>
              <w:rPr>
                <w:lang w:val="en-GB"/>
              </w:rPr>
            </w:pPr>
            <w:r>
              <w:rPr>
                <w:lang w:val="en-GB"/>
              </w:rPr>
              <w:t>Qualcomm</w:t>
            </w:r>
          </w:p>
        </w:tc>
        <w:tc>
          <w:tcPr>
            <w:tcW w:w="8479"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tc>
      </w:tr>
      <w:tr w:rsidR="00CD60C8" w14:paraId="08C0E7F0" w14:textId="77777777" w:rsidTr="00CD60C8">
        <w:tc>
          <w:tcPr>
            <w:tcW w:w="1150" w:type="dxa"/>
          </w:tcPr>
          <w:p w14:paraId="392F0726" w14:textId="05E28A6C" w:rsidR="00CD60C8" w:rsidRDefault="00CD60C8" w:rsidP="00CD60C8">
            <w:pPr>
              <w:rPr>
                <w:lang w:val="en-GB"/>
              </w:rPr>
            </w:pPr>
            <w:r>
              <w:rPr>
                <w:rFonts w:eastAsia="等线" w:hint="eastAsia"/>
                <w:lang w:val="en-GB"/>
              </w:rPr>
              <w:t>C</w:t>
            </w:r>
            <w:r>
              <w:rPr>
                <w:rFonts w:eastAsia="等线"/>
                <w:lang w:val="en-GB"/>
              </w:rPr>
              <w:t>MCC</w:t>
            </w:r>
          </w:p>
        </w:tc>
        <w:tc>
          <w:tcPr>
            <w:tcW w:w="8479" w:type="dxa"/>
          </w:tcPr>
          <w:p w14:paraId="5C32179E" w14:textId="5EE50250" w:rsidR="00CD60C8" w:rsidRDefault="00CD60C8" w:rsidP="00CD60C8">
            <w:pPr>
              <w:rPr>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 xml:space="preserve">when/whether the number of re-transmission is </w:t>
            </w:r>
            <w:r w:rsidRPr="00CF3F35">
              <w:rPr>
                <w:rFonts w:eastAsia="等线"/>
                <w:lang w:val="en-GB"/>
              </w:rPr>
              <w:lastRenderedPageBreak/>
              <w:t>reached</w:t>
            </w:r>
            <w:r>
              <w:rPr>
                <w:rFonts w:eastAsia="等线"/>
                <w:lang w:val="en-GB"/>
              </w:rPr>
              <w:t>, so no specification is needed.</w:t>
            </w:r>
          </w:p>
        </w:tc>
      </w:tr>
      <w:tr w:rsidR="001D12EE" w14:paraId="01A01E48" w14:textId="77777777" w:rsidTr="00CD60C8">
        <w:tc>
          <w:tcPr>
            <w:tcW w:w="1150" w:type="dxa"/>
          </w:tcPr>
          <w:p w14:paraId="6B8E8600" w14:textId="79C0C363" w:rsidR="001D12EE" w:rsidRDefault="001D12EE" w:rsidP="001D12EE">
            <w:pPr>
              <w:rPr>
                <w:lang w:val="en-GB"/>
              </w:rPr>
            </w:pPr>
            <w:r w:rsidRPr="006330B9">
              <w:rPr>
                <w:rFonts w:hint="eastAsia"/>
                <w:lang w:val="en-GB"/>
              </w:rPr>
              <w:lastRenderedPageBreak/>
              <w:t>Fujitsu</w:t>
            </w:r>
          </w:p>
        </w:tc>
        <w:tc>
          <w:tcPr>
            <w:tcW w:w="8479"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CD60C8">
        <w:tc>
          <w:tcPr>
            <w:tcW w:w="1150" w:type="dxa"/>
          </w:tcPr>
          <w:p w14:paraId="76B65D69" w14:textId="16B10293" w:rsidR="00B71E34" w:rsidRDefault="00B71E34" w:rsidP="001D12EE">
            <w:pPr>
              <w:rPr>
                <w:lang w:val="en-GB"/>
              </w:rPr>
            </w:pPr>
            <w:r>
              <w:rPr>
                <w:rFonts w:eastAsia="等线" w:hint="eastAsia"/>
                <w:lang w:val="en-GB"/>
              </w:rPr>
              <w:t>CATT</w:t>
            </w:r>
          </w:p>
        </w:tc>
        <w:tc>
          <w:tcPr>
            <w:tcW w:w="8479" w:type="dxa"/>
          </w:tcPr>
          <w:p w14:paraId="1FBC7315" w14:textId="77777777" w:rsidR="00B71E34" w:rsidRDefault="00B71E34" w:rsidP="00A638DA">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1B97B084" w14:textId="77777777" w:rsidR="00B71E34" w:rsidRDefault="00B71E34" w:rsidP="00A638DA">
            <w:pPr>
              <w:pStyle w:val="ListParagraph"/>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255B8129" w14:textId="77777777" w:rsidR="00B71E34" w:rsidRDefault="00B71E34" w:rsidP="00A638DA">
            <w:pPr>
              <w:pStyle w:val="ListParagraph"/>
              <w:numPr>
                <w:ilvl w:val="1"/>
                <w:numId w:val="43"/>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A638DA">
            <w:pPr>
              <w:pStyle w:val="ListParagraph"/>
              <w:numPr>
                <w:ilvl w:val="1"/>
                <w:numId w:val="43"/>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A638DA">
            <w:pPr>
              <w:pStyle w:val="ListParagraph"/>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A638DA">
            <w:pPr>
              <w:pStyle w:val="ListParagraph"/>
              <w:ind w:left="420"/>
              <w:rPr>
                <w:rFonts w:eastAsia="等线"/>
                <w:b/>
                <w:lang w:val="en-GB"/>
              </w:rPr>
            </w:pPr>
            <w:r w:rsidRPr="006F16C7">
              <w:rPr>
                <w:rFonts w:eastAsia="等线" w:hint="eastAsia"/>
                <w:b/>
                <w:lang w:val="en-GB"/>
              </w:rPr>
              <w:t>Q1: How many TX resources are configured for each TB? 10 or only 3?</w:t>
            </w:r>
          </w:p>
          <w:p w14:paraId="5F243E82" w14:textId="77777777" w:rsidR="00B71E34" w:rsidRPr="006F16C7" w:rsidRDefault="00B71E34" w:rsidP="00A638DA">
            <w:pPr>
              <w:pStyle w:val="ListParagraph"/>
              <w:ind w:left="420"/>
              <w:rPr>
                <w:rFonts w:eastAsia="等线"/>
                <w:b/>
                <w:lang w:val="en-GB"/>
              </w:rPr>
            </w:pPr>
            <w:r w:rsidRPr="006F16C7">
              <w:rPr>
                <w:rFonts w:eastAsia="等线" w:hint="eastAsia"/>
                <w:b/>
                <w:lang w:val="en-GB"/>
              </w:rPr>
              <w:t>Q2: Can the DG scheduled re-transmissions use CG resources?</w:t>
            </w:r>
          </w:p>
          <w:p w14:paraId="0C7EFCC9" w14:textId="77777777" w:rsidR="00B71E34" w:rsidRPr="006F16C7" w:rsidRDefault="00B71E34" w:rsidP="00A638DA">
            <w:pPr>
              <w:pStyle w:val="ListParagraph"/>
              <w:ind w:left="420"/>
              <w:rPr>
                <w:rFonts w:eastAsia="等线"/>
                <w:b/>
                <w:lang w:val="en-GB"/>
              </w:rPr>
            </w:pPr>
            <w:r w:rsidRPr="006F16C7">
              <w:rPr>
                <w:rFonts w:eastAsia="等线" w:hint="eastAsia"/>
                <w:b/>
                <w:lang w:val="en-GB"/>
              </w:rPr>
              <w:t>Q3: Can a TB use resources located in more than one CG period?</w:t>
            </w:r>
          </w:p>
          <w:p w14:paraId="7EB472A6" w14:textId="77777777" w:rsidR="00B71E34" w:rsidRPr="001170E7" w:rsidRDefault="00B71E34" w:rsidP="00A638DA">
            <w:pPr>
              <w:rPr>
                <w:rFonts w:eastAsia="等线"/>
                <w:lang w:val="en-GB"/>
              </w:rPr>
            </w:pPr>
          </w:p>
          <w:p w14:paraId="6B9F3D04" w14:textId="77777777" w:rsidR="00B71E34" w:rsidRPr="00C136B9" w:rsidRDefault="00B71E34" w:rsidP="00A638DA">
            <w:pPr>
              <w:pStyle w:val="ListParagraph"/>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56F4C640" w14:textId="77777777" w:rsidR="00B71E34" w:rsidRDefault="00B71E34" w:rsidP="00A638DA">
            <w:pPr>
              <w:rPr>
                <w:rFonts w:eastAsia="等线"/>
                <w:lang w:val="en-GB"/>
              </w:rPr>
            </w:pPr>
          </w:p>
          <w:p w14:paraId="07667293" w14:textId="77777777" w:rsidR="00B71E34" w:rsidRPr="00FF3615" w:rsidRDefault="00B71E34" w:rsidP="00A638DA">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CD60C8">
        <w:tc>
          <w:tcPr>
            <w:tcW w:w="1150" w:type="dxa"/>
          </w:tcPr>
          <w:p w14:paraId="4C1948E3" w14:textId="0C8C0145" w:rsidR="00B71E34" w:rsidRDefault="000728D4" w:rsidP="001D12EE">
            <w:pPr>
              <w:rPr>
                <w:lang w:val="en-GB"/>
              </w:rPr>
            </w:pPr>
            <w:r>
              <w:rPr>
                <w:lang w:val="en-GB"/>
              </w:rPr>
              <w:t>Huawei, HiSilicon</w:t>
            </w:r>
          </w:p>
        </w:tc>
        <w:tc>
          <w:tcPr>
            <w:tcW w:w="8479" w:type="dxa"/>
          </w:tcPr>
          <w:p w14:paraId="550F8F92" w14:textId="77777777" w:rsidR="000728D4" w:rsidRPr="000728D4" w:rsidRDefault="000728D4" w:rsidP="000728D4">
            <w:pPr>
              <w:widowControl/>
              <w:spacing w:after="160" w:line="259" w:lineRule="auto"/>
              <w:jc w:val="left"/>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10E1D63" w14:textId="157A3F2E" w:rsidR="00B71E34" w:rsidRPr="000728D4" w:rsidRDefault="000728D4" w:rsidP="000728D4">
            <w:pPr>
              <w:widowControl/>
              <w:spacing w:after="160" w:line="259" w:lineRule="auto"/>
              <w:jc w:val="left"/>
              <w:rPr>
                <w:rFonts w:ascii="Times New Roman" w:eastAsiaTheme="minorEastAsia"/>
                <w:kern w:val="0"/>
                <w:szCs w:val="20"/>
                <w:lang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CD60C8">
        <w:tc>
          <w:tcPr>
            <w:tcW w:w="1150" w:type="dxa"/>
          </w:tcPr>
          <w:p w14:paraId="6B687C70" w14:textId="77777777" w:rsidR="00B71E34" w:rsidRDefault="00B71E34" w:rsidP="001D12EE">
            <w:pPr>
              <w:rPr>
                <w:lang w:val="en-GB"/>
              </w:rPr>
            </w:pPr>
          </w:p>
        </w:tc>
        <w:tc>
          <w:tcPr>
            <w:tcW w:w="8479" w:type="dxa"/>
          </w:tcPr>
          <w:p w14:paraId="227AD514" w14:textId="77777777" w:rsidR="00B71E34" w:rsidRDefault="00B71E34" w:rsidP="001D12EE">
            <w:pPr>
              <w:rPr>
                <w:lang w:val="en-GB"/>
              </w:rPr>
            </w:pPr>
          </w:p>
        </w:tc>
      </w:tr>
    </w:tbl>
    <w:p w14:paraId="12C2559E" w14:textId="720EB3BB"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gNB (e.g., nothing to transmit for DG, etc.)</w:t>
      </w:r>
      <w:r>
        <w:rPr>
          <w:b/>
          <w:bCs/>
          <w:lang w:val="en-GB"/>
        </w:rPr>
        <w:t>?</w:t>
      </w:r>
    </w:p>
    <w:p w14:paraId="4833E0B2" w14:textId="6059DABC" w:rsidR="00847B23" w:rsidRDefault="00DB5A8F" w:rsidP="00DB5A8F">
      <w:pPr>
        <w:pStyle w:val="ListParagraph"/>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ListParagraph"/>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2E73114B" w14:textId="49993209" w:rsidR="009D5434" w:rsidRPr="009D5434" w:rsidRDefault="009D5434" w:rsidP="009D5434">
            <w:pPr>
              <w:rPr>
                <w:rFonts w:eastAsia="Yu Mincho"/>
                <w:lang w:val="en-GB"/>
              </w:rPr>
            </w:pPr>
            <w:r>
              <w:rPr>
                <w:rFonts w:eastAsia="Yu Mincho"/>
                <w:lang w:val="en-GB"/>
              </w:rPr>
              <w:t>According to RAN2 spec., SL skip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w:t>
            </w:r>
            <w:r w:rsidRPr="009D5434">
              <w:rPr>
                <w:rFonts w:eastAsia="Yu Mincho"/>
                <w:lang w:val="en-GB"/>
              </w:rPr>
              <w:lastRenderedPageBreak/>
              <w:t>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lastRenderedPageBreak/>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38F469E6" w:rsidR="00CD60C8" w:rsidRDefault="00CD60C8" w:rsidP="00CD60C8">
            <w:pPr>
              <w:rPr>
                <w:lang w:val="en-GB"/>
              </w:rPr>
            </w:pPr>
            <w:r>
              <w:rPr>
                <w:rFonts w:eastAsia="等线" w:hint="eastAsia"/>
                <w:lang w:val="en-GB"/>
              </w:rPr>
              <w:t>W</w:t>
            </w:r>
            <w:r>
              <w:rPr>
                <w:rFonts w:eastAsia="等线"/>
                <w:lang w:val="en-GB"/>
              </w:rPr>
              <w:t>e are open to this optimization so option A is slightly preferred.</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621793">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A638DA">
            <w:pPr>
              <w:rPr>
                <w:rFonts w:eastAsia="等线"/>
                <w:lang w:val="en-GB"/>
              </w:rPr>
            </w:pPr>
            <w:r>
              <w:rPr>
                <w:rFonts w:eastAsia="等线" w:hint="eastAsia"/>
                <w:lang w:val="en-GB"/>
              </w:rPr>
              <w:t>Option B.</w:t>
            </w:r>
          </w:p>
          <w:p w14:paraId="21642DF8" w14:textId="77777777" w:rsidR="00B71E34" w:rsidRDefault="00B71E34" w:rsidP="00A638DA">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621793">
        <w:tc>
          <w:tcPr>
            <w:tcW w:w="1696" w:type="dxa"/>
          </w:tcPr>
          <w:p w14:paraId="0E97FC5E" w14:textId="124C67A9" w:rsidR="00B71E34" w:rsidRDefault="000728D4" w:rsidP="001D12EE">
            <w:pPr>
              <w:rPr>
                <w:lang w:val="en-GB"/>
              </w:rPr>
            </w:pPr>
            <w:r>
              <w:rPr>
                <w:lang w:val="en-GB"/>
              </w:rPr>
              <w:lastRenderedPageBreak/>
              <w:t>Huawei, HiSilicon</w:t>
            </w:r>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 xml:space="preserve">UE acquires the resource based on gNB scheduling, so gNB </w:t>
            </w:r>
            <w:r>
              <w:rPr>
                <w:rFonts w:eastAsia="等线"/>
                <w:lang w:val="en-GB"/>
              </w:rPr>
              <w:t>is</w:t>
            </w:r>
            <w:r>
              <w:rPr>
                <w:rFonts w:eastAsia="等线"/>
                <w:lang w:val="en-GB"/>
              </w:rPr>
              <w:t xml:space="preserve">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w:t>
            </w:r>
            <w:r>
              <w:rPr>
                <w:rFonts w:eastAsia="等线"/>
                <w:lang w:val="en-GB"/>
              </w:rPr>
              <w:t xml:space="preserve">UL </w:t>
            </w:r>
            <w:r>
              <w:rPr>
                <w:rFonts w:eastAsia="等线"/>
                <w:lang w:val="en-GB"/>
              </w:rPr>
              <w:t>data is</w:t>
            </w:r>
            <w:r>
              <w:rPr>
                <w:rFonts w:eastAsia="等线"/>
                <w:lang w:val="en-GB"/>
              </w:rPr>
              <w:t xml:space="preserve"> going to be</w:t>
            </w:r>
            <w:r>
              <w:rPr>
                <w:rFonts w:eastAsia="等线"/>
                <w:lang w:val="en-GB"/>
              </w:rPr>
              <w:t xml:space="preserve"> transmitted. Therefore, we think no spec</w:t>
            </w:r>
            <w:r>
              <w:rPr>
                <w:rFonts w:eastAsia="等线"/>
                <w:lang w:val="en-GB"/>
              </w:rPr>
              <w:t>ial</w:t>
            </w:r>
            <w:r>
              <w:rPr>
                <w:rFonts w:eastAsia="等线"/>
                <w:lang w:val="en-GB"/>
              </w:rPr>
              <w:t xml:space="preserve"> issue in SL needs to be addressed.</w:t>
            </w:r>
          </w:p>
        </w:tc>
      </w:tr>
      <w:tr w:rsidR="00B71E34" w14:paraId="18CF0962" w14:textId="77777777" w:rsidTr="00621793">
        <w:tc>
          <w:tcPr>
            <w:tcW w:w="1696" w:type="dxa"/>
          </w:tcPr>
          <w:p w14:paraId="0D0C4959" w14:textId="77777777" w:rsidR="00B71E34" w:rsidRDefault="00B71E34" w:rsidP="001D12EE">
            <w:pPr>
              <w:rPr>
                <w:lang w:val="en-GB"/>
              </w:rPr>
            </w:pPr>
          </w:p>
        </w:tc>
        <w:tc>
          <w:tcPr>
            <w:tcW w:w="7933" w:type="dxa"/>
          </w:tcPr>
          <w:p w14:paraId="2B6690D5" w14:textId="77777777" w:rsidR="00B71E34" w:rsidRDefault="00B71E34" w:rsidP="001D12EE">
            <w:pPr>
              <w:rPr>
                <w:lang w:val="en-GB"/>
              </w:rPr>
            </w:pPr>
          </w:p>
        </w:tc>
      </w:tr>
      <w:tr w:rsidR="00B71E34" w14:paraId="2EDAE5A8" w14:textId="77777777" w:rsidTr="00621793">
        <w:tc>
          <w:tcPr>
            <w:tcW w:w="1696" w:type="dxa"/>
          </w:tcPr>
          <w:p w14:paraId="59A7AB73" w14:textId="77777777" w:rsidR="00B71E34" w:rsidRDefault="00B71E34" w:rsidP="001D12EE">
            <w:pPr>
              <w:rPr>
                <w:lang w:val="en-GB"/>
              </w:rPr>
            </w:pPr>
          </w:p>
        </w:tc>
        <w:tc>
          <w:tcPr>
            <w:tcW w:w="7933" w:type="dxa"/>
          </w:tcPr>
          <w:p w14:paraId="1069331F" w14:textId="77777777" w:rsidR="00B71E34" w:rsidRDefault="00B71E34" w:rsidP="001D12EE">
            <w:pPr>
              <w:rPr>
                <w:lang w:val="en-GB"/>
              </w:rPr>
            </w:pP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TableGrid"/>
        <w:tblW w:w="0" w:type="auto"/>
        <w:tblLook w:val="04A0" w:firstRow="1" w:lastRow="0" w:firstColumn="1" w:lastColumn="0" w:noHBand="0" w:noVBand="1"/>
      </w:tblPr>
      <w:tblGrid>
        <w:gridCol w:w="977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ListParagraph"/>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3001C5" w:rsidP="0005324E">
            <w:pPr>
              <w:pStyle w:val="ListParagraph"/>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3001C5" w:rsidP="0005324E">
            <w:pPr>
              <w:pStyle w:val="ListParagraph"/>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ListParagraph"/>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3001C5"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ListParagraph"/>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ListParagraph"/>
        <w:numPr>
          <w:ilvl w:val="0"/>
          <w:numId w:val="39"/>
        </w:numPr>
        <w:rPr>
          <w:b/>
          <w:bCs/>
          <w:lang w:val="en-GB"/>
        </w:rPr>
      </w:pPr>
      <w:r w:rsidRPr="0005324E">
        <w:rPr>
          <w:b/>
          <w:bCs/>
          <w:lang w:val="en-GB"/>
        </w:rPr>
        <w:t>For SL configured grant type-2 activation, the UE processing time is equal to T</w:t>
      </w:r>
      <w:r w:rsidRPr="0005324E">
        <w:rPr>
          <w:b/>
          <w:bCs/>
          <w:vertAlign w:val="subscript"/>
          <w:lang w:val="en-GB"/>
        </w:rPr>
        <w:t>proc</w:t>
      </w:r>
      <w:r w:rsidR="006C2DFE">
        <w:rPr>
          <w:b/>
          <w:bCs/>
          <w:lang w:val="en-GB"/>
        </w:rPr>
        <w:t xml:space="preserve"> (agreed in </w:t>
      </w:r>
      <w:r w:rsidR="006C2DFE" w:rsidRPr="006C2DFE">
        <w:rPr>
          <w:b/>
          <w:bCs/>
          <w:lang w:val="en-GB"/>
        </w:rPr>
        <w:t>RAN1#101-e</w:t>
      </w:r>
      <w:r w:rsidR="006C2DFE">
        <w:rPr>
          <w:b/>
          <w:bCs/>
          <w:lang w:val="en-GB"/>
        </w:rPr>
        <w:t>).</w:t>
      </w:r>
    </w:p>
    <w:tbl>
      <w:tblPr>
        <w:tblStyle w:val="TableGrid"/>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B71E34" w14:paraId="0064188F" w14:textId="77777777" w:rsidTr="00621793">
        <w:tc>
          <w:tcPr>
            <w:tcW w:w="1696" w:type="dxa"/>
          </w:tcPr>
          <w:p w14:paraId="28E5493B" w14:textId="03AD5179" w:rsidR="00B71E34" w:rsidRDefault="00B71E34" w:rsidP="001D12EE">
            <w:pPr>
              <w:rPr>
                <w:lang w:val="en-GB"/>
              </w:rPr>
            </w:pPr>
            <w:r>
              <w:rPr>
                <w:rFonts w:eastAsia="等线" w:hint="eastAsia"/>
                <w:lang w:val="en-GB"/>
              </w:rPr>
              <w:t>CATT</w:t>
            </w:r>
          </w:p>
        </w:tc>
        <w:tc>
          <w:tcPr>
            <w:tcW w:w="7933" w:type="dxa"/>
          </w:tcPr>
          <w:p w14:paraId="7F371D18" w14:textId="2B1B4B6D" w:rsidR="00B71E34" w:rsidRDefault="00B71E34" w:rsidP="001D12EE">
            <w:pPr>
              <w:rPr>
                <w:lang w:val="en-GB"/>
              </w:rPr>
            </w:pPr>
            <w:r>
              <w:rPr>
                <w:rFonts w:eastAsia="等线" w:hint="eastAsia"/>
                <w:lang w:val="en-GB"/>
              </w:rPr>
              <w:t>Agree.</w:t>
            </w:r>
          </w:p>
        </w:tc>
      </w:tr>
      <w:tr w:rsidR="00B71E34" w14:paraId="586FFE08" w14:textId="77777777" w:rsidTr="00621793">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等线"/>
                <w:lang w:val="en-GB"/>
              </w:rPr>
            </w:pPr>
            <w:r>
              <w:rPr>
                <w:rFonts w:eastAsia="等线" w:hint="eastAsia"/>
                <w:lang w:val="en-GB"/>
              </w:rPr>
              <w:t>A</w:t>
            </w:r>
            <w:r>
              <w:rPr>
                <w:rFonts w:eastAsia="等线"/>
                <w:lang w:val="en-GB"/>
              </w:rPr>
              <w:t xml:space="preserve">gree. </w:t>
            </w:r>
          </w:p>
          <w:p w14:paraId="24367695" w14:textId="0CF8D169" w:rsidR="00B71E34" w:rsidRDefault="000728D4" w:rsidP="000728D4">
            <w:pPr>
              <w:rPr>
                <w:lang w:val="en-GB"/>
              </w:rPr>
            </w:pPr>
            <w:r>
              <w:rPr>
                <w:rFonts w:eastAsia="等线"/>
                <w:lang w:val="en-GB"/>
              </w:rPr>
              <w:t>The processing time for CG type 2 should be the same as dynamic grant.</w:t>
            </w:r>
          </w:p>
        </w:tc>
      </w:tr>
      <w:tr w:rsidR="00B71E34" w14:paraId="31ACF1BB" w14:textId="77777777" w:rsidTr="00621793">
        <w:tc>
          <w:tcPr>
            <w:tcW w:w="1696" w:type="dxa"/>
          </w:tcPr>
          <w:p w14:paraId="5B7152D2" w14:textId="77777777" w:rsidR="00B71E34" w:rsidRDefault="00B71E34" w:rsidP="001D12EE">
            <w:pPr>
              <w:rPr>
                <w:lang w:val="en-GB"/>
              </w:rPr>
            </w:pPr>
          </w:p>
        </w:tc>
        <w:tc>
          <w:tcPr>
            <w:tcW w:w="7933" w:type="dxa"/>
          </w:tcPr>
          <w:p w14:paraId="25831AEE" w14:textId="77777777" w:rsidR="00B71E34" w:rsidRDefault="00B71E34" w:rsidP="001D12EE">
            <w:pPr>
              <w:rPr>
                <w:lang w:val="en-GB"/>
              </w:rPr>
            </w:pP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ListParagraph"/>
        <w:numPr>
          <w:ilvl w:val="0"/>
          <w:numId w:val="35"/>
        </w:numPr>
        <w:rPr>
          <w:b/>
          <w:bCs/>
          <w:lang w:val="en-GB"/>
        </w:rPr>
      </w:pPr>
      <w:r w:rsidRPr="00E852D4">
        <w:rPr>
          <w:b/>
          <w:bCs/>
          <w:lang w:val="en-GB"/>
        </w:rPr>
        <w:lastRenderedPageBreak/>
        <w:t xml:space="preserve">It is necessary to agree on an assumption on the HARQ RTT. </w:t>
      </w:r>
    </w:p>
    <w:p w14:paraId="14549500" w14:textId="1A4CD2A7" w:rsidR="000F4AE1" w:rsidRPr="00E852D4" w:rsidRDefault="00561746" w:rsidP="000F4AE1">
      <w:pPr>
        <w:pStyle w:val="ListParagraph"/>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ListParagraph"/>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ListParagraph"/>
        <w:numPr>
          <w:ilvl w:val="1"/>
          <w:numId w:val="35"/>
        </w:numPr>
        <w:rPr>
          <w:b/>
          <w:bCs/>
          <w:lang w:val="en-GB"/>
        </w:rPr>
      </w:pPr>
      <w:r w:rsidRPr="00E852D4">
        <w:rPr>
          <w:b/>
          <w:bCs/>
          <w:lang w:val="en-GB"/>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3784B1B1" w14:textId="7F87D0EF"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tc>
      </w:tr>
      <w:tr w:rsidR="00C97A55" w14:paraId="04D536EE" w14:textId="77777777" w:rsidTr="00621793">
        <w:tc>
          <w:tcPr>
            <w:tcW w:w="1696" w:type="dxa"/>
          </w:tcPr>
          <w:p w14:paraId="6EE63F74" w14:textId="5064909E"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numPr>
                <w:ilvl w:val="0"/>
                <w:numId w:val="41"/>
              </w:numPr>
              <w:ind w:hanging="357"/>
              <w:rPr>
                <w:rFonts w:ascii="宋体" w:hAnsi="宋体"/>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numPr>
                <w:ilvl w:val="1"/>
                <w:numId w:val="41"/>
              </w:numPr>
              <w:ind w:hanging="357"/>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i/>
                <w:iCs/>
                <w:szCs w:val="20"/>
              </w:rPr>
              <w:t xml:space="preserve">MinTimeGapPSFCH </w:t>
            </w:r>
            <w:r>
              <w:rPr>
                <w:rFonts w:hint="eastAsia"/>
                <w:szCs w:val="20"/>
              </w:rPr>
              <w:t xml:space="preserve">and </w:t>
            </w:r>
            <w:r>
              <w:rPr>
                <w:rFonts w:hint="eastAsia"/>
                <w:i/>
                <w:iCs/>
                <w:szCs w:val="20"/>
              </w:rPr>
              <w:t>periodPSFCHresource</w:t>
            </w:r>
            <w:r>
              <w:rPr>
                <w:rFonts w:hint="eastAsia"/>
              </w:rPr>
              <w:t xml:space="preserve"> </w:t>
            </w:r>
          </w:p>
          <w:p w14:paraId="121D305E" w14:textId="7E3375B0" w:rsidR="00C97A55" w:rsidRPr="000B4D1C" w:rsidRDefault="00C97A55" w:rsidP="00C97A55">
            <w:pPr>
              <w:numPr>
                <w:ilvl w:val="1"/>
                <w:numId w:val="41"/>
              </w:numPr>
              <w:spacing w:before="100" w:beforeAutospacing="1" w:after="100" w:afterAutospacing="1"/>
            </w:pPr>
            <w:r w:rsidRPr="003E3954">
              <w:rPr>
                <w:rFonts w:hint="eastAsia"/>
                <w:szCs w:val="20"/>
                <w:highlight w:val="yellow"/>
              </w:rPr>
              <w:t>‘b’</w:t>
            </w:r>
            <w:r>
              <w:rPr>
                <w:rFonts w:hint="eastAsia"/>
                <w:szCs w:val="20"/>
              </w:rPr>
              <w:t xml:space="preserve"> is a time required for PSFCH reception and processing plus sidelink retransmission preparation including multiplexing of necessary physical channels and any TX-RX/RX-TX switching time </w:t>
            </w:r>
            <w:r w:rsidRPr="003E3954">
              <w:rPr>
                <w:rFonts w:hint="eastAsia"/>
                <w:szCs w:val="20"/>
                <w:highlight w:val="yellow"/>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 xml:space="preserve">Issue 1) How to avoid the case that the time gap between “PSFCH RX resource” and “re-TX </w:t>
            </w:r>
            <w:r>
              <w:rPr>
                <w:rFonts w:eastAsiaTheme="minorEastAsia"/>
                <w:lang w:val="en-GB"/>
              </w:rPr>
              <w:lastRenderedPageBreak/>
              <w:t>resource” is smaller than UE’s capability (i.e., b)?</w:t>
            </w:r>
          </w:p>
          <w:p w14:paraId="7CBC3344" w14:textId="77777777" w:rsidR="000B4D1C" w:rsidRDefault="000B4D1C" w:rsidP="000B4D1C">
            <w:pPr>
              <w:pStyle w:val="ListParagraph"/>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0B4D1C">
            <w:pPr>
              <w:pStyle w:val="ListParagraph"/>
              <w:numPr>
                <w:ilvl w:val="0"/>
                <w:numId w:val="42"/>
              </w:numPr>
              <w:rPr>
                <w:rFonts w:eastAsiaTheme="minorEastAsia"/>
                <w:lang w:val="en-GB"/>
              </w:rPr>
            </w:pPr>
            <w:r w:rsidRPr="0031043A">
              <w:rPr>
                <w:rFonts w:eastAsiaTheme="minorEastAsia"/>
                <w:lang w:val="en-GB"/>
              </w:rPr>
              <w:t>This problematic case can occur due to a timing misalignment between gNB and UE’s sync source.</w:t>
            </w:r>
            <w: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lastRenderedPageBreak/>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behvaior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等线"/>
                <w:lang w:val="en-GB"/>
              </w:rPr>
            </w:pPr>
            <w:r>
              <w:rPr>
                <w:rFonts w:eastAsia="等线" w:hint="eastAsia"/>
                <w:lang w:val="en-GB"/>
              </w:rPr>
              <w:t>C</w:t>
            </w:r>
            <w:r>
              <w:rPr>
                <w:rFonts w:eastAsia="等线"/>
                <w:lang w:val="en-GB"/>
              </w:rPr>
              <w:t>MCC</w:t>
            </w:r>
          </w:p>
        </w:tc>
        <w:tc>
          <w:tcPr>
            <w:tcW w:w="7933" w:type="dxa"/>
          </w:tcPr>
          <w:p w14:paraId="338C7669" w14:textId="79762086" w:rsidR="00AD40E8" w:rsidRPr="008457AD" w:rsidRDefault="008457AD" w:rsidP="00AD40E8">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69616068" w14:textId="0C080B37" w:rsidR="001D12EE" w:rsidRDefault="001D12EE" w:rsidP="001D12EE">
            <w:pPr>
              <w:rPr>
                <w:lang w:val="en-GB"/>
              </w:rPr>
            </w:pPr>
            <w:r>
              <w:rPr>
                <w:rFonts w:eastAsia="等线" w:hint="eastAsia"/>
                <w:lang w:val="en-GB"/>
              </w:rPr>
              <w:t>O</w:t>
            </w:r>
            <w:r>
              <w:rPr>
                <w:rFonts w:eastAsia="等线"/>
                <w:lang w:val="en-GB"/>
              </w:rPr>
              <w:t>ption A</w:t>
            </w:r>
          </w:p>
        </w:tc>
      </w:tr>
      <w:tr w:rsidR="00B71E34" w14:paraId="10C46648" w14:textId="77777777" w:rsidTr="00621793">
        <w:tc>
          <w:tcPr>
            <w:tcW w:w="1696" w:type="dxa"/>
          </w:tcPr>
          <w:p w14:paraId="704CC127" w14:textId="5E40E302" w:rsidR="00B71E34" w:rsidRDefault="00B71E34" w:rsidP="001D12EE">
            <w:pPr>
              <w:rPr>
                <w:lang w:val="en-GB"/>
              </w:rPr>
            </w:pPr>
            <w:r>
              <w:rPr>
                <w:rFonts w:eastAsia="等线" w:hint="eastAsia"/>
                <w:lang w:val="en-GB"/>
              </w:rPr>
              <w:t>CATT</w:t>
            </w:r>
          </w:p>
        </w:tc>
        <w:tc>
          <w:tcPr>
            <w:tcW w:w="7933" w:type="dxa"/>
          </w:tcPr>
          <w:p w14:paraId="7A51AF9F" w14:textId="77777777" w:rsidR="00B71E34" w:rsidRDefault="00B71E34" w:rsidP="00A638DA">
            <w:pPr>
              <w:rPr>
                <w:rFonts w:eastAsia="等线"/>
                <w:lang w:val="en-GB"/>
              </w:rPr>
            </w:pPr>
            <w:r>
              <w:rPr>
                <w:rFonts w:eastAsia="等线" w:hint="eastAsia"/>
                <w:lang w:val="en-GB"/>
              </w:rPr>
              <w:t>Option A.</w:t>
            </w:r>
          </w:p>
          <w:p w14:paraId="4B9AE808" w14:textId="2ACB562F" w:rsidR="00B71E34" w:rsidRDefault="00B71E34" w:rsidP="001D12EE">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w:t>
            </w:r>
            <w:r>
              <w:rPr>
                <w:rFonts w:eastAsia="等线" w:hint="eastAsia"/>
                <w:lang w:val="en-GB"/>
              </w:rPr>
              <w:lastRenderedPageBreak/>
              <w:t xml:space="preserve">blind and HARQ based will be avoided. </w:t>
            </w:r>
            <w:r>
              <w:rPr>
                <w:rFonts w:eastAsia="等线"/>
                <w:lang w:val="en-GB"/>
              </w:rPr>
              <w:t>F</w:t>
            </w:r>
            <w:r>
              <w:rPr>
                <w:rFonts w:eastAsia="等线" w:hint="eastAsia"/>
                <w:lang w:val="en-GB"/>
              </w:rPr>
              <w:t>urthermore, resources will not be wasted.</w:t>
            </w:r>
          </w:p>
        </w:tc>
      </w:tr>
      <w:tr w:rsidR="00B71E34" w14:paraId="5D666AC7" w14:textId="77777777" w:rsidTr="00621793">
        <w:tc>
          <w:tcPr>
            <w:tcW w:w="1696" w:type="dxa"/>
          </w:tcPr>
          <w:p w14:paraId="599496CC" w14:textId="5C7FF102" w:rsidR="00B71E34" w:rsidRDefault="000728D4" w:rsidP="001D12EE">
            <w:pPr>
              <w:rPr>
                <w:lang w:val="en-GB"/>
              </w:rPr>
            </w:pPr>
            <w:r>
              <w:rPr>
                <w:lang w:val="en-GB"/>
              </w:rPr>
              <w:lastRenderedPageBreak/>
              <w:t>Huawei, HiSilicon</w:t>
            </w:r>
          </w:p>
        </w:tc>
        <w:tc>
          <w:tcPr>
            <w:tcW w:w="7933" w:type="dxa"/>
          </w:tcPr>
          <w:p w14:paraId="2E11FD12" w14:textId="77777777" w:rsidR="00B71E34" w:rsidRDefault="000728D4" w:rsidP="001D12EE">
            <w:pPr>
              <w:rPr>
                <w:lang w:val="en-GB"/>
              </w:rPr>
            </w:pPr>
            <w:r>
              <w:rPr>
                <w:lang w:val="en-GB"/>
              </w:rPr>
              <w:t>Option B</w:t>
            </w:r>
          </w:p>
          <w:p w14:paraId="3469E441" w14:textId="4786D1C7" w:rsidR="000728D4" w:rsidRPr="000728D4" w:rsidRDefault="000728D4" w:rsidP="000728D4">
            <w:pPr>
              <w:rPr>
                <w:bCs/>
                <w:lang w:val="en-GB" w:eastAsia="ja-JP"/>
              </w:rPr>
            </w:pPr>
            <w:r w:rsidRPr="000728D4">
              <w:rPr>
                <w:bCs/>
                <w:lang w:val="en-GB" w:eastAsia="ja-JP"/>
              </w:rPr>
              <w:t xml:space="preserve">As the previous agreement in mode-2, </w:t>
            </w:r>
            <w:r>
              <w:rPr>
                <w:bCs/>
                <w:lang w:val="en-GB" w:eastAsia="ja-JP"/>
              </w:rPr>
              <w:t>“</w:t>
            </w:r>
            <w:r w:rsidRPr="000728D4">
              <w:rPr>
                <w:bCs/>
                <w:lang w:val="en-GB" w:eastAsia="ja-JP"/>
              </w:rPr>
              <w:t>b</w:t>
            </w:r>
            <w:r>
              <w:rPr>
                <w:bCs/>
                <w:lang w:val="en-GB" w:eastAsia="ja-JP"/>
              </w:rPr>
              <w:t>”</w:t>
            </w:r>
            <w:r w:rsidRPr="000728D4">
              <w:rPr>
                <w:bCs/>
                <w:lang w:val="en-GB" w:eastAsia="ja-JP"/>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eastAsia="ja-JP"/>
              </w:rPr>
              <w:t>the</w:t>
            </w:r>
            <w:r w:rsidRPr="000728D4">
              <w:rPr>
                <w:bCs/>
                <w:lang w:val="en-GB" w:eastAsia="ja-JP"/>
              </w:rPr>
              <w:t xml:space="preserve"> UE behaviour</w:t>
            </w:r>
            <w:r>
              <w:rPr>
                <w:bCs/>
                <w:lang w:val="en-GB" w:eastAsia="ja-JP"/>
              </w:rPr>
              <w:t xml:space="preserve"> is unnecessary to specify if the timeline is not met</w:t>
            </w:r>
            <w:bookmarkStart w:id="4" w:name="_GoBack"/>
            <w:bookmarkEnd w:id="4"/>
            <w:r w:rsidRPr="000728D4">
              <w:rPr>
                <w:bCs/>
                <w:lang w:val="en-GB" w:eastAsia="ja-JP"/>
              </w:rPr>
              <w:t>.</w:t>
            </w:r>
          </w:p>
        </w:tc>
      </w:tr>
      <w:tr w:rsidR="00B71E34" w14:paraId="100D230B" w14:textId="77777777" w:rsidTr="00621793">
        <w:tc>
          <w:tcPr>
            <w:tcW w:w="1696" w:type="dxa"/>
          </w:tcPr>
          <w:p w14:paraId="3D1B33FA" w14:textId="77777777" w:rsidR="00B71E34" w:rsidRDefault="00B71E34" w:rsidP="001D12EE">
            <w:pPr>
              <w:rPr>
                <w:lang w:val="en-GB"/>
              </w:rPr>
            </w:pPr>
          </w:p>
        </w:tc>
        <w:tc>
          <w:tcPr>
            <w:tcW w:w="7933" w:type="dxa"/>
          </w:tcPr>
          <w:p w14:paraId="57A5D5EF" w14:textId="77777777" w:rsidR="00B71E34" w:rsidRDefault="00B71E34" w:rsidP="001D12EE">
            <w:pPr>
              <w:rPr>
                <w:lang w:val="en-GB"/>
              </w:rPr>
            </w:pPr>
          </w:p>
        </w:tc>
      </w:tr>
    </w:tbl>
    <w:p w14:paraId="43E7DFE2" w14:textId="77777777" w:rsidR="00FB43D9" w:rsidRDefault="00FB43D9" w:rsidP="00FB43D9">
      <w:pPr>
        <w:pStyle w:val="Heading2"/>
      </w:pPr>
      <w:r>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4AE4F" w14:textId="77777777" w:rsidR="003001C5" w:rsidRDefault="003001C5">
      <w:r>
        <w:separator/>
      </w:r>
    </w:p>
  </w:endnote>
  <w:endnote w:type="continuationSeparator" w:id="0">
    <w:p w14:paraId="20021404" w14:textId="77777777" w:rsidR="003001C5" w:rsidRDefault="003001C5">
      <w:r>
        <w:continuationSeparator/>
      </w:r>
    </w:p>
  </w:endnote>
  <w:endnote w:type="continuationNotice" w:id="1">
    <w:p w14:paraId="7F8D424D" w14:textId="77777777" w:rsidR="003001C5" w:rsidRDefault="00300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16E46" w14:textId="77777777" w:rsidR="003001C5" w:rsidRDefault="003001C5">
      <w:r>
        <w:separator/>
      </w:r>
    </w:p>
  </w:footnote>
  <w:footnote w:type="continuationSeparator" w:id="0">
    <w:p w14:paraId="534C0C15" w14:textId="77777777" w:rsidR="003001C5" w:rsidRDefault="003001C5">
      <w:r>
        <w:continuationSeparator/>
      </w:r>
    </w:p>
  </w:footnote>
  <w:footnote w:type="continuationNotice" w:id="1">
    <w:p w14:paraId="51A441E2" w14:textId="77777777" w:rsidR="003001C5" w:rsidRDefault="003001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0"/>
  </w:num>
  <w:num w:numId="4">
    <w:abstractNumId w:val="30"/>
  </w:num>
  <w:num w:numId="5">
    <w:abstractNumId w:val="31"/>
  </w:num>
  <w:num w:numId="6">
    <w:abstractNumId w:val="33"/>
  </w:num>
  <w:num w:numId="7">
    <w:abstractNumId w:val="13"/>
  </w:num>
  <w:num w:numId="8">
    <w:abstractNumId w:val="17"/>
  </w:num>
  <w:num w:numId="9">
    <w:abstractNumId w:val="6"/>
  </w:num>
  <w:num w:numId="10">
    <w:abstractNumId w:val="40"/>
  </w:num>
  <w:num w:numId="11">
    <w:abstractNumId w:val="23"/>
  </w:num>
  <w:num w:numId="12">
    <w:abstractNumId w:val="38"/>
  </w:num>
  <w:num w:numId="13">
    <w:abstractNumId w:val="20"/>
  </w:num>
  <w:num w:numId="14">
    <w:abstractNumId w:val="34"/>
  </w:num>
  <w:num w:numId="15">
    <w:abstractNumId w:val="24"/>
  </w:num>
  <w:num w:numId="16">
    <w:abstractNumId w:val="28"/>
  </w:num>
  <w:num w:numId="17">
    <w:abstractNumId w:val="12"/>
  </w:num>
  <w:num w:numId="18">
    <w:abstractNumId w:val="14"/>
  </w:num>
  <w:num w:numId="19">
    <w:abstractNumId w:val="1"/>
  </w:num>
  <w:num w:numId="20">
    <w:abstractNumId w:val="19"/>
  </w:num>
  <w:num w:numId="21">
    <w:abstractNumId w:val="25"/>
  </w:num>
  <w:num w:numId="22">
    <w:abstractNumId w:val="35"/>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39"/>
  </w:num>
  <w:num w:numId="28">
    <w:abstractNumId w:val="37"/>
  </w:num>
  <w:num w:numId="29">
    <w:abstractNumId w:val="36"/>
  </w:num>
  <w:num w:numId="30">
    <w:abstractNumId w:val="4"/>
  </w:num>
  <w:num w:numId="31">
    <w:abstractNumId w:val="15"/>
  </w:num>
  <w:num w:numId="32">
    <w:abstractNumId w:val="5"/>
  </w:num>
  <w:num w:numId="33">
    <w:abstractNumId w:val="18"/>
  </w:num>
  <w:num w:numId="34">
    <w:abstractNumId w:val="10"/>
  </w:num>
  <w:num w:numId="35">
    <w:abstractNumId w:val="41"/>
  </w:num>
  <w:num w:numId="36">
    <w:abstractNumId w:val="7"/>
  </w:num>
  <w:num w:numId="37">
    <w:abstractNumId w:val="32"/>
  </w:num>
  <w:num w:numId="38">
    <w:abstractNumId w:val="22"/>
  </w:num>
  <w:num w:numId="39">
    <w:abstractNumId w:val="9"/>
  </w:num>
  <w:num w:numId="40">
    <w:abstractNumId w:val="16"/>
  </w:num>
  <w:num w:numId="41">
    <w:abstractNumId w:val="2"/>
  </w:num>
  <w:num w:numId="42">
    <w:abstractNumId w:val="8"/>
  </w:num>
  <w:num w:numId="4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gUAjNXOi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D4"/>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728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28D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0728D4"/>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0728D4"/>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EFEF-EBF8-4E1D-B4B8-EF0759D1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3254</Words>
  <Characters>18554</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21765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2020-08-18T08:54:00Z</dcterms:created>
  <dcterms:modified xsi:type="dcterms:W3CDTF">2020-08-18T08:54:00Z</dcterms:modified>
</cp:coreProperties>
</file>