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311C7" w14:textId="7777777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14:paraId="114DE87F" w14:textId="77777777"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74DD0482" w14:textId="77777777" w:rsidR="004E2123" w:rsidRDefault="004E2123" w:rsidP="004E2123">
      <w:pPr>
        <w:ind w:left="1800" w:hanging="1800"/>
        <w:rPr>
          <w:rFonts w:ascii="Calibri" w:eastAsia="Calibri" w:hAnsi="Calibri"/>
          <w:b/>
          <w:bCs/>
          <w:sz w:val="22"/>
          <w:szCs w:val="22"/>
        </w:rPr>
      </w:pPr>
    </w:p>
    <w:p w14:paraId="5E02EE2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317742FB"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75177D7"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[102-e-NR-IAB-0</w:t>
      </w:r>
      <w:r w:rsidR="00E12953">
        <w:rPr>
          <w:rFonts w:ascii="Calibri" w:eastAsia="Calibri" w:hAnsi="Calibri"/>
          <w:b/>
          <w:bCs/>
          <w:sz w:val="22"/>
          <w:szCs w:val="22"/>
        </w:rPr>
        <w:t>2</w:t>
      </w:r>
      <w:r w:rsidR="000F3750" w:rsidRPr="000F3750">
        <w:rPr>
          <w:rFonts w:ascii="Calibri" w:eastAsia="Calibri" w:hAnsi="Calibri"/>
          <w:b/>
          <w:bCs/>
          <w:sz w:val="22"/>
          <w:szCs w:val="22"/>
        </w:rPr>
        <w:t>]</w:t>
      </w:r>
    </w:p>
    <w:p w14:paraId="1B6F5916"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19B95CA3" w14:textId="77777777" w:rsidR="00707D20" w:rsidRPr="00172743" w:rsidRDefault="00424124" w:rsidP="00326FF6">
      <w:pPr>
        <w:pStyle w:val="Heading1"/>
      </w:pPr>
      <w:r w:rsidRPr="00172743">
        <w:t>Introduction</w:t>
      </w:r>
    </w:p>
    <w:p w14:paraId="7723A32B" w14:textId="77777777" w:rsidR="00E26206" w:rsidRDefault="003327F3" w:rsidP="00E26206">
      <w:r>
        <w:t>This contribution provides a summary</w:t>
      </w:r>
      <w:r w:rsidR="00E26206">
        <w:t xml:space="preserve"> of the following email discussion:</w:t>
      </w:r>
    </w:p>
    <w:p w14:paraId="2D378D2D" w14:textId="77777777" w:rsidR="00890B60" w:rsidRPr="00890B60" w:rsidRDefault="00890B60" w:rsidP="00890B60">
      <w:pPr>
        <w:rPr>
          <w:sz w:val="18"/>
          <w:szCs w:val="18"/>
        </w:rPr>
      </w:pPr>
      <w:r w:rsidRPr="00890B60">
        <w:rPr>
          <w:sz w:val="18"/>
          <w:szCs w:val="18"/>
          <w:highlight w:val="cyan"/>
        </w:rPr>
        <w:t>[102-e-NR-IAB-02] Identify the minimum specification text required for the following RAN3-defined signaling parameters to TS 38.213 – Thomas (AT&amp;T)</w:t>
      </w:r>
    </w:p>
    <w:p w14:paraId="472FC832" w14:textId="77777777" w:rsidR="00890B60" w:rsidRPr="00890B60" w:rsidRDefault="00890B60" w:rsidP="00890B60">
      <w:pPr>
        <w:numPr>
          <w:ilvl w:val="0"/>
          <w:numId w:val="46"/>
        </w:numPr>
        <w:rPr>
          <w:sz w:val="18"/>
          <w:szCs w:val="18"/>
        </w:rPr>
      </w:pPr>
      <w:r w:rsidRPr="00890B60">
        <w:rPr>
          <w:sz w:val="18"/>
          <w:szCs w:val="18"/>
        </w:rPr>
        <w:t>Rename the parameter “IAB-DU-Resource-Configuration-TDD-Config” in 38.213 to “gNB-DU Cell Resource Configuration-TDD”.</w:t>
      </w:r>
    </w:p>
    <w:p w14:paraId="0F1FFFA2" w14:textId="77777777" w:rsidR="00890B60" w:rsidRPr="00890B60" w:rsidRDefault="00890B60" w:rsidP="00890B60">
      <w:pPr>
        <w:numPr>
          <w:ilvl w:val="0"/>
          <w:numId w:val="46"/>
        </w:numPr>
        <w:rPr>
          <w:sz w:val="18"/>
          <w:szCs w:val="18"/>
        </w:rPr>
      </w:pPr>
      <w:r w:rsidRPr="00890B60">
        <w:rPr>
          <w:sz w:val="18"/>
          <w:szCs w:val="18"/>
        </w:rPr>
        <w:t>For paired spectrum operation add: “gNB-DU Cell Resource Configuration-FDD-DL and gNB-DU Cell Resource Configuration-FDD-UL”.</w:t>
      </w:r>
    </w:p>
    <w:p w14:paraId="599E98AE" w14:textId="77777777" w:rsidR="00890B60" w:rsidRPr="00890B60" w:rsidRDefault="00890B60" w:rsidP="00962F17">
      <w:pPr>
        <w:numPr>
          <w:ilvl w:val="0"/>
          <w:numId w:val="46"/>
        </w:numPr>
        <w:rPr>
          <w:sz w:val="18"/>
          <w:szCs w:val="18"/>
        </w:rPr>
      </w:pPr>
      <w:r w:rsidRPr="00890B60">
        <w:rPr>
          <w:sz w:val="18"/>
          <w:szCs w:val="18"/>
        </w:rPr>
        <w:t>Discussion and agreements by 8/19, TPs by 8/21.</w:t>
      </w:r>
    </w:p>
    <w:p w14:paraId="34543935" w14:textId="77777777" w:rsidR="00D3703A" w:rsidRPr="00E26206" w:rsidRDefault="00890B60" w:rsidP="00E26206">
      <w:pPr>
        <w:pStyle w:val="Heading1"/>
        <w:rPr>
          <w:lang w:val="en-GB"/>
        </w:rPr>
      </w:pPr>
      <w:r>
        <w:rPr>
          <w:lang w:val="en-GB"/>
        </w:rPr>
        <w:t>gNB-DU Cell Resource Configuration for IAB</w:t>
      </w:r>
    </w:p>
    <w:p w14:paraId="1E23729C" w14:textId="77777777" w:rsidR="00890B60" w:rsidRDefault="00D3703A" w:rsidP="00890B60">
      <w:pPr>
        <w:spacing w:before="120" w:after="120"/>
        <w:rPr>
          <w:rFonts w:asciiTheme="minorHAnsi" w:hAnsiTheme="minorHAnsi" w:cstheme="minorHAnsi"/>
          <w:b/>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r w:rsidR="00890B60" w:rsidRPr="00890B60">
        <w:rPr>
          <w:rFonts w:asciiTheme="minorHAnsi" w:hAnsiTheme="minorHAnsi" w:cstheme="minorHAnsi"/>
          <w:b/>
          <w:lang w:val="en-GB"/>
        </w:rPr>
        <w:t xml:space="preserve"> </w:t>
      </w:r>
    </w:p>
    <w:p w14:paraId="50F081AB" w14:textId="77777777" w:rsidR="00890B60" w:rsidRDefault="00890B60" w:rsidP="00890B60">
      <w:pPr>
        <w:spacing w:before="120" w:after="120"/>
        <w:rPr>
          <w:sz w:val="20"/>
        </w:rPr>
      </w:pPr>
      <w:r>
        <w:rPr>
          <w:rFonts w:asciiTheme="minorHAnsi" w:hAnsiTheme="minorHAnsi" w:cstheme="minorHAnsi"/>
          <w:b/>
          <w:lang w:val="en-GB"/>
        </w:rPr>
        <w:t xml:space="preserve">Background: </w:t>
      </w:r>
      <w:r>
        <w:rPr>
          <w:rFonts w:hint="eastAsia"/>
          <w:sz w:val="20"/>
        </w:rPr>
        <w:t xml:space="preserve">For paired spectrum, RAN1#100b-e </w:t>
      </w:r>
      <w:r>
        <w:rPr>
          <w:sz w:val="20"/>
        </w:rPr>
        <w:t xml:space="preserve">reached </w:t>
      </w:r>
      <w:r>
        <w:rPr>
          <w:rFonts w:hint="eastAsia"/>
          <w:sz w:val="20"/>
        </w:rPr>
        <w:t xml:space="preserve">the </w:t>
      </w:r>
      <w:r>
        <w:rPr>
          <w:sz w:val="20"/>
        </w:rPr>
        <w:t xml:space="preserve">following </w:t>
      </w:r>
      <w:r>
        <w:rPr>
          <w:rFonts w:hint="eastAsia"/>
          <w:sz w:val="20"/>
        </w:rPr>
        <w:t>agreement</w:t>
      </w:r>
      <w:r>
        <w:rPr>
          <w:sz w:val="20"/>
        </w:rPr>
        <w:t xml:space="preserve"> [1]</w:t>
      </w:r>
      <w:r>
        <w:rPr>
          <w:rFonts w:hint="eastAsia"/>
          <w:sz w:val="20"/>
        </w:rPr>
        <w:t>:</w:t>
      </w:r>
    </w:p>
    <w:tbl>
      <w:tblPr>
        <w:tblStyle w:val="TableGrid"/>
        <w:tblW w:w="0" w:type="auto"/>
        <w:tblLook w:val="04A0" w:firstRow="1" w:lastRow="0" w:firstColumn="1" w:lastColumn="0" w:noHBand="0" w:noVBand="1"/>
      </w:tblPr>
      <w:tblGrid>
        <w:gridCol w:w="9876"/>
      </w:tblGrid>
      <w:tr w:rsidR="00890B60" w14:paraId="16B42011" w14:textId="77777777" w:rsidTr="005249D1">
        <w:tc>
          <w:tcPr>
            <w:tcW w:w="9876" w:type="dxa"/>
          </w:tcPr>
          <w:p w14:paraId="35AB6366" w14:textId="77777777" w:rsidR="00890B60" w:rsidRPr="00890B60" w:rsidRDefault="00890B60" w:rsidP="005249D1">
            <w:pPr>
              <w:spacing w:before="120" w:after="120"/>
              <w:rPr>
                <w:rFonts w:ascii="Calibri" w:hAnsi="Calibri"/>
                <w:sz w:val="18"/>
                <w:szCs w:val="22"/>
              </w:rPr>
            </w:pPr>
            <w:r w:rsidRPr="00890B60">
              <w:rPr>
                <w:sz w:val="18"/>
                <w:szCs w:val="22"/>
                <w:highlight w:val="green"/>
                <w:lang w:eastAsia="ko-KR"/>
              </w:rPr>
              <w:t>Agreements</w:t>
            </w:r>
            <w:r w:rsidRPr="00890B60">
              <w:rPr>
                <w:sz w:val="18"/>
                <w:szCs w:val="22"/>
              </w:rPr>
              <w:t xml:space="preserve"> For paired spectrum, the DU resource configuration framework is extended with the following:</w:t>
            </w:r>
          </w:p>
          <w:p w14:paraId="0B111793" w14:textId="77777777" w:rsidR="00890B60" w:rsidRPr="00890B60" w:rsidRDefault="00890B60" w:rsidP="005249D1">
            <w:pPr>
              <w:spacing w:before="120" w:after="120"/>
              <w:rPr>
                <w:sz w:val="18"/>
                <w:szCs w:val="22"/>
              </w:rPr>
            </w:pPr>
            <w:r w:rsidRPr="00890B60">
              <w:rPr>
                <w:sz w:val="18"/>
                <w:szCs w:val="22"/>
              </w:rPr>
              <w:t>Two separate per-cell D/U/F and H/S/NA configurations are provided for DL and UL respectively.</w:t>
            </w:r>
          </w:p>
          <w:p w14:paraId="29C21BE0" w14:textId="77777777" w:rsidR="00890B60" w:rsidRDefault="00890B60" w:rsidP="005249D1">
            <w:pPr>
              <w:spacing w:before="120" w:after="120"/>
              <w:rPr>
                <w:sz w:val="20"/>
                <w:highlight w:val="green"/>
                <w:lang w:eastAsia="ko-KR"/>
              </w:rPr>
            </w:pPr>
            <w:r w:rsidRPr="00890B60">
              <w:rPr>
                <w:sz w:val="18"/>
                <w:szCs w:val="22"/>
              </w:rPr>
              <w:t xml:space="preserve">Whether this </w:t>
            </w:r>
            <w:proofErr w:type="spellStart"/>
            <w:r w:rsidRPr="00890B60">
              <w:rPr>
                <w:sz w:val="18"/>
                <w:szCs w:val="22"/>
              </w:rPr>
              <w:t>signalling</w:t>
            </w:r>
            <w:proofErr w:type="spellEnd"/>
            <w:r w:rsidRPr="00890B60">
              <w:rPr>
                <w:sz w:val="18"/>
                <w:szCs w:val="22"/>
              </w:rPr>
              <w:t xml:space="preserve"> is supported in Rel-16 is up to RAN3 and no additional specification impact is considered in RAN1 in Rel-16 for IAB operation in paired spectrum.</w:t>
            </w:r>
          </w:p>
        </w:tc>
      </w:tr>
    </w:tbl>
    <w:p w14:paraId="173EEECA" w14:textId="77777777" w:rsidR="00890B60" w:rsidRDefault="00890B60" w:rsidP="00890B60">
      <w:pPr>
        <w:spacing w:before="120" w:after="120"/>
        <w:rPr>
          <w:sz w:val="20"/>
        </w:rPr>
      </w:pPr>
      <w:r>
        <w:rPr>
          <w:sz w:val="20"/>
        </w:rPr>
        <w:t>RAN3[2] has accordingly provided the signaling related to D/U/F and H/S/NA configurations for DL and UL respectively in paired spectrum. The signaling are called “</w:t>
      </w:r>
      <w:r>
        <w:rPr>
          <w:b/>
          <w:bCs/>
          <w:sz w:val="20"/>
          <w:lang w:eastAsia="ja-JP"/>
        </w:rPr>
        <w:t>gNB-DU Cell Resource Configuration</w:t>
      </w:r>
      <w:r>
        <w:rPr>
          <w:b/>
          <w:sz w:val="20"/>
        </w:rPr>
        <w:t>-FDD-DL</w:t>
      </w:r>
      <w:r>
        <w:rPr>
          <w:sz w:val="20"/>
        </w:rPr>
        <w:t>” and “</w:t>
      </w:r>
      <w:r>
        <w:rPr>
          <w:b/>
          <w:bCs/>
          <w:sz w:val="20"/>
          <w:lang w:eastAsia="ja-JP"/>
        </w:rPr>
        <w:t>gNB-DU Cell Resource Configuration</w:t>
      </w:r>
      <w:r>
        <w:rPr>
          <w:b/>
          <w:sz w:val="20"/>
        </w:rPr>
        <w:t>-FDD-UL</w:t>
      </w:r>
      <w:r>
        <w:rPr>
          <w:sz w:val="20"/>
        </w:rPr>
        <w:t>”. Meanwhile, RAN3 also updated the signaling for unpaired spectrum to “</w:t>
      </w:r>
      <w:r>
        <w:rPr>
          <w:b/>
          <w:bCs/>
          <w:sz w:val="20"/>
          <w:lang w:eastAsia="ja-JP"/>
        </w:rPr>
        <w:t>gNB-DU Cell</w:t>
      </w:r>
      <w:r>
        <w:rPr>
          <w:b/>
          <w:sz w:val="20"/>
        </w:rPr>
        <w:t xml:space="preserve"> </w:t>
      </w:r>
      <w:r>
        <w:rPr>
          <w:b/>
          <w:sz w:val="20"/>
          <w:lang w:eastAsia="ja-JP"/>
        </w:rPr>
        <w:t>Resource Configuration</w:t>
      </w:r>
      <w:r>
        <w:rPr>
          <w:b/>
          <w:sz w:val="20"/>
        </w:rPr>
        <w:t>-TDD</w:t>
      </w:r>
      <w:r>
        <w:rPr>
          <w:sz w:val="20"/>
        </w:rPr>
        <w:t xml:space="preserve">”. </w:t>
      </w:r>
    </w:p>
    <w:p w14:paraId="645B8137" w14:textId="77777777" w:rsidR="00890B60" w:rsidRPr="00833F4A" w:rsidRDefault="00890B60" w:rsidP="00890B60">
      <w:pPr>
        <w:rPr>
          <w:rFonts w:ascii="Calibri" w:eastAsia="Calibri" w:hAnsi="Calibri"/>
          <w:sz w:val="22"/>
          <w:szCs w:val="22"/>
        </w:rPr>
      </w:pPr>
    </w:p>
    <w:p w14:paraId="2578FFE9" w14:textId="77777777" w:rsidR="00890B60" w:rsidRDefault="00890B60" w:rsidP="00890B60">
      <w:pPr>
        <w:rPr>
          <w:rFonts w:ascii="Calibri" w:eastAsia="Calibri" w:hAnsi="Calibri"/>
          <w:sz w:val="22"/>
          <w:szCs w:val="22"/>
        </w:rPr>
      </w:pPr>
      <w:r w:rsidRPr="00890B60">
        <w:rPr>
          <w:rFonts w:ascii="Calibri" w:eastAsia="Calibri" w:hAnsi="Calibri"/>
          <w:b/>
          <w:bCs/>
          <w:sz w:val="22"/>
          <w:szCs w:val="22"/>
          <w:highlight w:val="yellow"/>
        </w:rPr>
        <w:t>FL Conclusion 1</w:t>
      </w:r>
      <w:r w:rsidRPr="003E0CDF">
        <w:rPr>
          <w:rFonts w:ascii="Calibri" w:eastAsia="Calibri" w:hAnsi="Calibri"/>
          <w:b/>
          <w:bCs/>
          <w:sz w:val="22"/>
          <w:szCs w:val="22"/>
        </w:rPr>
        <w:t>:</w:t>
      </w:r>
      <w:r>
        <w:rPr>
          <w:rFonts w:ascii="Calibri" w:eastAsia="Calibri" w:hAnsi="Calibri"/>
          <w:sz w:val="22"/>
          <w:szCs w:val="22"/>
        </w:rPr>
        <w:t xml:space="preserve"> This issue can be addressed in a straightforward manner for unpaired spectrum an editorial update to TS 38.213:</w:t>
      </w:r>
    </w:p>
    <w:p w14:paraId="2DFE5AD2" w14:textId="77777777" w:rsidR="00890B60" w:rsidRPr="00890B60" w:rsidRDefault="00890B60" w:rsidP="00890B60">
      <w:pPr>
        <w:pStyle w:val="ListParagraph"/>
        <w:numPr>
          <w:ilvl w:val="0"/>
          <w:numId w:val="40"/>
        </w:numPr>
        <w:spacing w:before="120" w:after="0"/>
        <w:contextualSpacing w:val="0"/>
        <w:rPr>
          <w:rFonts w:ascii="Calibri" w:eastAsia="Calibri" w:hAnsi="Calibri"/>
          <w:sz w:val="22"/>
          <w:szCs w:val="22"/>
        </w:rPr>
      </w:pPr>
      <w:r w:rsidRPr="00890B60">
        <w:rPr>
          <w:rFonts w:ascii="Calibri" w:eastAsia="Calibri" w:hAnsi="Calibri"/>
          <w:sz w:val="22"/>
          <w:szCs w:val="22"/>
        </w:rPr>
        <w:t>Rename the parameter “IAB-DU-Resource-Configuration-TDD-Config” in 38.213 to “gNB-DU Cell Resource Configuration-TDD”.</w:t>
      </w:r>
    </w:p>
    <w:p w14:paraId="11EF0794" w14:textId="77777777" w:rsidR="00890B60" w:rsidRDefault="00890B60" w:rsidP="00890B60">
      <w:pPr>
        <w:spacing w:before="120"/>
        <w:rPr>
          <w:rFonts w:ascii="Calibri" w:eastAsia="Calibri" w:hAnsi="Calibri"/>
          <w:sz w:val="22"/>
          <w:szCs w:val="22"/>
        </w:rPr>
      </w:pPr>
      <w:r>
        <w:rPr>
          <w:rFonts w:ascii="Calibri" w:eastAsia="Calibri" w:hAnsi="Calibri"/>
          <w:sz w:val="22"/>
          <w:szCs w:val="22"/>
        </w:rPr>
        <w:t>For paired spectrum the following alternatives can be considered:</w:t>
      </w:r>
    </w:p>
    <w:p w14:paraId="1A0271B7" w14:textId="77777777" w:rsidR="00890B60" w:rsidRDefault="00890B60" w:rsidP="00890B60">
      <w:pPr>
        <w:spacing w:before="120"/>
        <w:rPr>
          <w:rFonts w:ascii="Calibri" w:eastAsia="Calibri" w:hAnsi="Calibri"/>
          <w:sz w:val="22"/>
          <w:szCs w:val="22"/>
        </w:rPr>
      </w:pPr>
      <w:r w:rsidRPr="00890B60">
        <w:rPr>
          <w:rFonts w:ascii="Calibri" w:eastAsia="Calibri" w:hAnsi="Calibri"/>
          <w:b/>
          <w:bCs/>
          <w:sz w:val="22"/>
          <w:szCs w:val="22"/>
        </w:rPr>
        <w:t>Alt. 1.</w:t>
      </w:r>
      <w:r>
        <w:rPr>
          <w:rFonts w:ascii="Calibri" w:eastAsia="Calibri" w:hAnsi="Calibri"/>
          <w:sz w:val="22"/>
          <w:szCs w:val="22"/>
        </w:rPr>
        <w:t xml:space="preserve"> No updates to 38.213 – FDD resource configuration </w:t>
      </w:r>
      <w:proofErr w:type="gramStart"/>
      <w:r>
        <w:rPr>
          <w:rFonts w:ascii="Calibri" w:eastAsia="Calibri" w:hAnsi="Calibri"/>
          <w:sz w:val="22"/>
          <w:szCs w:val="22"/>
        </w:rPr>
        <w:t>is</w:t>
      </w:r>
      <w:proofErr w:type="gramEnd"/>
      <w:r>
        <w:rPr>
          <w:rFonts w:ascii="Calibri" w:eastAsia="Calibri" w:hAnsi="Calibri"/>
          <w:sz w:val="22"/>
          <w:szCs w:val="22"/>
        </w:rPr>
        <w:t xml:space="preserve"> transparent to RAN1 specs (Strict interpretation of RAN1#100b agreement)</w:t>
      </w:r>
    </w:p>
    <w:p w14:paraId="6AD12EC1" w14:textId="77777777" w:rsidR="00890B60" w:rsidRDefault="00890B60" w:rsidP="00890B60">
      <w:pPr>
        <w:spacing w:before="120"/>
        <w:rPr>
          <w:rFonts w:ascii="Calibri" w:eastAsia="Calibri" w:hAnsi="Calibri"/>
          <w:sz w:val="22"/>
          <w:szCs w:val="22"/>
        </w:rPr>
      </w:pPr>
      <w:r w:rsidRPr="00890B60">
        <w:rPr>
          <w:rFonts w:ascii="Calibri" w:eastAsia="Calibri" w:hAnsi="Calibri"/>
          <w:b/>
          <w:bCs/>
          <w:sz w:val="22"/>
          <w:szCs w:val="22"/>
        </w:rPr>
        <w:t>Alt. 2.</w:t>
      </w:r>
      <w:r>
        <w:rPr>
          <w:rFonts w:ascii="Calibri" w:eastAsia="Calibri" w:hAnsi="Calibri"/>
          <w:sz w:val="22"/>
          <w:szCs w:val="22"/>
        </w:rPr>
        <w:t xml:space="preserve"> General update of 38.213 Section 14 with description of </w:t>
      </w:r>
      <w:r w:rsidRPr="00890B60">
        <w:rPr>
          <w:rFonts w:ascii="Calibri" w:eastAsia="Calibri" w:hAnsi="Calibri"/>
          <w:sz w:val="22"/>
          <w:szCs w:val="22"/>
        </w:rPr>
        <w:t>“gNB-DU Cell Resource Configuration-FDD-DL” and “gNB-DU Cell Resource Configuration-FDD-UL”</w:t>
      </w:r>
      <w:r>
        <w:rPr>
          <w:rFonts w:ascii="Calibri" w:eastAsia="Calibri" w:hAnsi="Calibri"/>
          <w:sz w:val="22"/>
          <w:szCs w:val="22"/>
        </w:rPr>
        <w:t xml:space="preserve"> as applicable for paired spectrum operation instead of </w:t>
      </w:r>
      <w:r w:rsidRPr="00890B60">
        <w:rPr>
          <w:rFonts w:ascii="Calibri" w:eastAsia="Calibri" w:hAnsi="Calibri"/>
          <w:sz w:val="22"/>
          <w:szCs w:val="22"/>
        </w:rPr>
        <w:t>“gNB-DU Cell Resource Configuration-TDD”</w:t>
      </w:r>
      <w:r>
        <w:rPr>
          <w:rFonts w:ascii="Calibri" w:eastAsia="Calibri" w:hAnsi="Calibri"/>
          <w:sz w:val="22"/>
          <w:szCs w:val="22"/>
        </w:rPr>
        <w:t xml:space="preserve"> (left up to the editor for the specific text)</w:t>
      </w:r>
    </w:p>
    <w:p w14:paraId="75FB8192" w14:textId="77777777" w:rsidR="00890B60" w:rsidRPr="00890B60" w:rsidRDefault="00890B60" w:rsidP="00890B60">
      <w:pPr>
        <w:spacing w:before="120"/>
        <w:rPr>
          <w:rFonts w:ascii="Calibri" w:eastAsia="Calibri" w:hAnsi="Calibri"/>
          <w:sz w:val="22"/>
          <w:szCs w:val="22"/>
        </w:rPr>
      </w:pPr>
      <w:r w:rsidRPr="00890B60">
        <w:rPr>
          <w:rFonts w:ascii="Calibri" w:eastAsia="Calibri" w:hAnsi="Calibri"/>
          <w:b/>
          <w:bCs/>
          <w:sz w:val="22"/>
          <w:szCs w:val="22"/>
        </w:rPr>
        <w:t>Alt. 3.</w:t>
      </w:r>
      <w:r>
        <w:rPr>
          <w:rFonts w:ascii="Calibri" w:eastAsia="Calibri" w:hAnsi="Calibri"/>
          <w:sz w:val="22"/>
          <w:szCs w:val="22"/>
        </w:rPr>
        <w:t xml:space="preserve">  More details of the usage of </w:t>
      </w:r>
      <w:r w:rsidRPr="00890B60">
        <w:rPr>
          <w:rFonts w:ascii="Calibri" w:eastAsia="Calibri" w:hAnsi="Calibri"/>
          <w:sz w:val="22"/>
          <w:szCs w:val="22"/>
        </w:rPr>
        <w:t>“gNB-DU Cell Resource Configuration-FDD-DL” and “gNB-DU Cell Resource Configuration-FDD-UL”</w:t>
      </w:r>
      <w:r>
        <w:rPr>
          <w:rFonts w:ascii="Calibri" w:eastAsia="Calibri" w:hAnsi="Calibri"/>
          <w:sz w:val="22"/>
          <w:szCs w:val="22"/>
        </w:rPr>
        <w:t xml:space="preserve"> are provided in 38.213 to avoid potential ambiguity (e.g. as suggested by R1-2005316)</w:t>
      </w:r>
      <w:r w:rsidRPr="00890B60">
        <w:rPr>
          <w:rFonts w:ascii="Calibri" w:eastAsia="Calibri" w:hAnsi="Calibri"/>
          <w:sz w:val="22"/>
          <w:szCs w:val="22"/>
        </w:rPr>
        <w:t xml:space="preserve">: </w:t>
      </w:r>
    </w:p>
    <w:p w14:paraId="4CA6A7C3" w14:textId="77777777" w:rsidR="00890B60" w:rsidRPr="00890B60" w:rsidRDefault="00890B60" w:rsidP="00890B60">
      <w:pPr>
        <w:pStyle w:val="ListParagraph"/>
        <w:spacing w:before="120"/>
        <w:ind w:right="300"/>
        <w:contextualSpacing w:val="0"/>
        <w:rPr>
          <w:b/>
          <w:bCs/>
          <w:i/>
          <w:iCs/>
          <w:sz w:val="18"/>
          <w:szCs w:val="18"/>
        </w:rPr>
      </w:pPr>
      <w:r w:rsidRPr="00890B60">
        <w:rPr>
          <w:i/>
          <w:sz w:val="18"/>
          <w:szCs w:val="18"/>
        </w:rPr>
        <w:t xml:space="preserve">The IAB-DU can assume a same SCS configuration for </w:t>
      </w:r>
      <w:proofErr w:type="spellStart"/>
      <w:r w:rsidRPr="00890B60">
        <w:rPr>
          <w:i/>
          <w:sz w:val="18"/>
          <w:szCs w:val="18"/>
        </w:rPr>
        <w:t>availabilityCombinations</w:t>
      </w:r>
      <w:proofErr w:type="spellEnd"/>
      <w:r w:rsidRPr="00890B60">
        <w:rPr>
          <w:i/>
          <w:sz w:val="18"/>
          <w:szCs w:val="18"/>
        </w:rPr>
        <w:t xml:space="preserve"> for IAB-DU downlink of a serving cell as an SCS configuration provided by </w:t>
      </w:r>
      <w:r w:rsidRPr="00890B60">
        <w:rPr>
          <w:bCs/>
          <w:i/>
          <w:iCs/>
          <w:sz w:val="18"/>
          <w:szCs w:val="18"/>
          <w:lang w:eastAsia="ja-JP"/>
        </w:rPr>
        <w:t>gNB-DU Cell Resource Configuration</w:t>
      </w:r>
      <w:r w:rsidRPr="00890B60">
        <w:rPr>
          <w:bCs/>
          <w:i/>
          <w:iCs/>
          <w:sz w:val="18"/>
          <w:szCs w:val="18"/>
        </w:rPr>
        <w:t>-FDD-DL</w:t>
      </w:r>
      <w:r w:rsidRPr="00890B60">
        <w:rPr>
          <w:i/>
          <w:sz w:val="18"/>
          <w:szCs w:val="18"/>
        </w:rPr>
        <w:t xml:space="preserve"> for the serving cell, and a same SCS configuration for </w:t>
      </w:r>
      <w:proofErr w:type="spellStart"/>
      <w:r w:rsidRPr="00890B60">
        <w:rPr>
          <w:i/>
          <w:sz w:val="18"/>
          <w:szCs w:val="18"/>
        </w:rPr>
        <w:t>availabilityCombinations</w:t>
      </w:r>
      <w:proofErr w:type="spellEnd"/>
      <w:r w:rsidRPr="00890B60">
        <w:rPr>
          <w:i/>
          <w:sz w:val="18"/>
          <w:szCs w:val="18"/>
        </w:rPr>
        <w:t xml:space="preserve"> for IAB-DU uplink of a serving cell as an SCS configuration provided by </w:t>
      </w:r>
      <w:r w:rsidRPr="00890B60">
        <w:rPr>
          <w:bCs/>
          <w:i/>
          <w:iCs/>
          <w:sz w:val="18"/>
          <w:szCs w:val="18"/>
          <w:lang w:eastAsia="ja-JP"/>
        </w:rPr>
        <w:t>gNB-DU Cell Resource Configuration</w:t>
      </w:r>
      <w:r w:rsidRPr="00890B60">
        <w:rPr>
          <w:bCs/>
          <w:i/>
          <w:iCs/>
          <w:sz w:val="18"/>
          <w:szCs w:val="18"/>
        </w:rPr>
        <w:t>-FDD-UL</w:t>
      </w:r>
      <w:r w:rsidRPr="00890B60">
        <w:rPr>
          <w:i/>
          <w:sz w:val="18"/>
          <w:szCs w:val="18"/>
        </w:rPr>
        <w:t xml:space="preserve"> for the serving cell.</w:t>
      </w:r>
      <w:r w:rsidRPr="00890B60">
        <w:rPr>
          <w:sz w:val="18"/>
          <w:szCs w:val="18"/>
        </w:rPr>
        <w:t xml:space="preserve"> </w:t>
      </w:r>
    </w:p>
    <w:p w14:paraId="307EC912" w14:textId="77777777" w:rsidR="00890B60" w:rsidRDefault="00890B60" w:rsidP="00890B60">
      <w:pPr>
        <w:rPr>
          <w:rFonts w:ascii="Calibri" w:eastAsia="Calibri" w:hAnsi="Calibri"/>
          <w:sz w:val="22"/>
          <w:szCs w:val="22"/>
        </w:rPr>
      </w:pPr>
    </w:p>
    <w:p w14:paraId="0AF47A3B" w14:textId="77777777" w:rsidR="00890B60" w:rsidRPr="00401D89" w:rsidRDefault="00890B60" w:rsidP="00890B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90B60" w:rsidRPr="008040F5" w14:paraId="6CF910DE" w14:textId="77777777" w:rsidTr="005249D1">
        <w:tc>
          <w:tcPr>
            <w:tcW w:w="1696" w:type="dxa"/>
          </w:tcPr>
          <w:p w14:paraId="6001CFDF" w14:textId="77777777" w:rsidR="00890B60" w:rsidRPr="00EF0778" w:rsidRDefault="00890B60" w:rsidP="005249D1">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0907ED2" w14:textId="77777777" w:rsidR="00890B60" w:rsidRPr="00EF0778" w:rsidRDefault="00890B60" w:rsidP="005249D1">
            <w:pPr>
              <w:rPr>
                <w:rFonts w:ascii="Calibri" w:eastAsia="Calibri" w:hAnsi="Calibri"/>
                <w:b/>
                <w:bCs/>
                <w:sz w:val="22"/>
                <w:szCs w:val="22"/>
              </w:rPr>
            </w:pPr>
            <w:r>
              <w:rPr>
                <w:rFonts w:ascii="Calibri" w:eastAsia="Calibri" w:hAnsi="Calibri"/>
                <w:b/>
                <w:bCs/>
                <w:sz w:val="22"/>
                <w:szCs w:val="22"/>
              </w:rPr>
              <w:t>Do you agree with FL Conclusion 1? For paired spectrum which alternative is preferred?</w:t>
            </w:r>
          </w:p>
        </w:tc>
        <w:tc>
          <w:tcPr>
            <w:tcW w:w="6109" w:type="dxa"/>
          </w:tcPr>
          <w:p w14:paraId="025E0BD8" w14:textId="77777777" w:rsidR="00890B60" w:rsidRPr="00EF0778" w:rsidRDefault="00890B60" w:rsidP="005249D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90B60" w:rsidRPr="008040F5" w14:paraId="4AFC4863" w14:textId="77777777" w:rsidTr="005249D1">
        <w:tc>
          <w:tcPr>
            <w:tcW w:w="1696" w:type="dxa"/>
          </w:tcPr>
          <w:p w14:paraId="2A0905B8" w14:textId="77777777" w:rsidR="00890B60" w:rsidRPr="005249D1" w:rsidRDefault="005249D1" w:rsidP="005249D1">
            <w:pPr>
              <w:rPr>
                <w:rFonts w:ascii="Calibri" w:eastAsia="Calibri" w:hAnsi="Calibri"/>
                <w:bCs/>
                <w:sz w:val="22"/>
                <w:szCs w:val="22"/>
              </w:rPr>
            </w:pPr>
            <w:r w:rsidRPr="005249D1">
              <w:rPr>
                <w:rFonts w:ascii="Calibri" w:eastAsia="Calibri" w:hAnsi="Calibri"/>
                <w:bCs/>
                <w:sz w:val="22"/>
                <w:szCs w:val="22"/>
              </w:rPr>
              <w:t xml:space="preserve">ZTE, </w:t>
            </w:r>
            <w:proofErr w:type="spellStart"/>
            <w:r w:rsidRPr="005249D1">
              <w:rPr>
                <w:rFonts w:ascii="Calibri" w:eastAsia="Calibri" w:hAnsi="Calibri"/>
                <w:bCs/>
                <w:sz w:val="22"/>
                <w:szCs w:val="22"/>
              </w:rPr>
              <w:t>Sanechips</w:t>
            </w:r>
            <w:proofErr w:type="spellEnd"/>
          </w:p>
        </w:tc>
        <w:tc>
          <w:tcPr>
            <w:tcW w:w="2265" w:type="dxa"/>
          </w:tcPr>
          <w:p w14:paraId="372D31FF" w14:textId="77777777" w:rsidR="00890B60" w:rsidRPr="005249D1" w:rsidRDefault="005249D1" w:rsidP="005249D1">
            <w:pPr>
              <w:rPr>
                <w:rFonts w:ascii="Calibri" w:eastAsia="Calibri" w:hAnsi="Calibri"/>
                <w:bCs/>
                <w:sz w:val="22"/>
                <w:szCs w:val="22"/>
              </w:rPr>
            </w:pPr>
            <w:r w:rsidRPr="005249D1">
              <w:rPr>
                <w:rFonts w:ascii="Calibri" w:eastAsia="Calibri" w:hAnsi="Calibri"/>
                <w:bCs/>
                <w:sz w:val="22"/>
                <w:szCs w:val="22"/>
              </w:rPr>
              <w:t xml:space="preserve">Agree with conclusion 1. </w:t>
            </w:r>
          </w:p>
          <w:p w14:paraId="5BE3C86B" w14:textId="77777777" w:rsidR="005249D1" w:rsidRPr="005249D1" w:rsidRDefault="005249D1" w:rsidP="005249D1">
            <w:pPr>
              <w:rPr>
                <w:rFonts w:ascii="Calibri" w:eastAsia="Calibri" w:hAnsi="Calibri"/>
                <w:bCs/>
                <w:sz w:val="22"/>
                <w:szCs w:val="22"/>
              </w:rPr>
            </w:pPr>
            <w:r w:rsidRPr="005249D1">
              <w:rPr>
                <w:rFonts w:ascii="Calibri" w:eastAsia="Calibri" w:hAnsi="Calibri"/>
                <w:bCs/>
                <w:sz w:val="22"/>
                <w:szCs w:val="22"/>
              </w:rPr>
              <w:t>Support Alt-1 for paired spectrum.</w:t>
            </w:r>
          </w:p>
        </w:tc>
        <w:tc>
          <w:tcPr>
            <w:tcW w:w="6109" w:type="dxa"/>
          </w:tcPr>
          <w:p w14:paraId="4C8CA755" w14:textId="77777777" w:rsidR="00890B60" w:rsidRPr="005249D1" w:rsidRDefault="005249D1" w:rsidP="00CF0815">
            <w:pPr>
              <w:rPr>
                <w:rFonts w:ascii="Calibri" w:eastAsia="Calibri" w:hAnsi="Calibri"/>
                <w:bCs/>
                <w:sz w:val="22"/>
                <w:szCs w:val="22"/>
              </w:rPr>
            </w:pPr>
            <w:r>
              <w:rPr>
                <w:rFonts w:ascii="Calibri" w:eastAsia="Calibri" w:hAnsi="Calibri"/>
                <w:bCs/>
                <w:sz w:val="22"/>
                <w:szCs w:val="22"/>
              </w:rPr>
              <w:t xml:space="preserve">Given RAN1 decided in initial discussion phase not to introduce additional behaviors for DU resource framework in paired spectrum, there seems no need to introduce the two RAN3 terminologies (for DL and UL respectively) into RAN1 spec, where there is no behavior depending on these two terminologies. </w:t>
            </w:r>
            <w:r w:rsidR="00CF0815">
              <w:rPr>
                <w:rFonts w:ascii="Calibri" w:eastAsia="Calibri" w:hAnsi="Calibri"/>
                <w:bCs/>
                <w:sz w:val="22"/>
                <w:szCs w:val="22"/>
              </w:rPr>
              <w:t xml:space="preserve">Alt-3 may even make the RAN1 spec incomplete if RAN1 spec would then only talk about SCS of DCI 2_5 indication but miss the bitmap for allocations of DL slot and UL slot.  </w:t>
            </w:r>
            <w:r>
              <w:rPr>
                <w:rFonts w:ascii="Calibri" w:eastAsia="Calibri" w:hAnsi="Calibri"/>
                <w:bCs/>
                <w:sz w:val="22"/>
                <w:szCs w:val="22"/>
              </w:rPr>
              <w:t xml:space="preserve">    </w:t>
            </w:r>
          </w:p>
        </w:tc>
      </w:tr>
      <w:tr w:rsidR="00C321AD" w:rsidRPr="008040F5" w14:paraId="17C52F06" w14:textId="77777777" w:rsidTr="005249D1">
        <w:tc>
          <w:tcPr>
            <w:tcW w:w="1696" w:type="dxa"/>
          </w:tcPr>
          <w:p w14:paraId="4B71D601" w14:textId="77777777" w:rsidR="00C321AD" w:rsidRPr="005249D1" w:rsidRDefault="00C321AD" w:rsidP="005249D1">
            <w:pPr>
              <w:rPr>
                <w:rFonts w:ascii="Calibri" w:eastAsia="Calibri" w:hAnsi="Calibri"/>
                <w:bCs/>
                <w:sz w:val="22"/>
                <w:szCs w:val="22"/>
              </w:rPr>
            </w:pPr>
            <w:r>
              <w:rPr>
                <w:rFonts w:ascii="Calibri" w:eastAsia="Calibri" w:hAnsi="Calibri"/>
                <w:bCs/>
                <w:sz w:val="22"/>
                <w:szCs w:val="22"/>
              </w:rPr>
              <w:t>Qualcomm</w:t>
            </w:r>
          </w:p>
        </w:tc>
        <w:tc>
          <w:tcPr>
            <w:tcW w:w="2265" w:type="dxa"/>
          </w:tcPr>
          <w:p w14:paraId="692BCE9C" w14:textId="77777777" w:rsidR="00C321AD" w:rsidRDefault="00C46558" w:rsidP="005249D1">
            <w:pPr>
              <w:rPr>
                <w:rFonts w:ascii="Calibri" w:eastAsia="Calibri" w:hAnsi="Calibri"/>
                <w:bCs/>
                <w:sz w:val="22"/>
                <w:szCs w:val="22"/>
              </w:rPr>
            </w:pPr>
            <w:r>
              <w:rPr>
                <w:rFonts w:ascii="Calibri" w:eastAsia="Calibri" w:hAnsi="Calibri"/>
                <w:bCs/>
                <w:sz w:val="22"/>
                <w:szCs w:val="22"/>
              </w:rPr>
              <w:t>Agree with FL Conclusion 1.</w:t>
            </w:r>
          </w:p>
          <w:p w14:paraId="50A2263D" w14:textId="77777777" w:rsidR="00C46558" w:rsidRPr="005249D1" w:rsidRDefault="00C46558" w:rsidP="005249D1">
            <w:pPr>
              <w:rPr>
                <w:rFonts w:ascii="Calibri" w:eastAsia="Calibri" w:hAnsi="Calibri"/>
                <w:bCs/>
                <w:sz w:val="22"/>
                <w:szCs w:val="22"/>
              </w:rPr>
            </w:pPr>
            <w:r>
              <w:rPr>
                <w:rFonts w:ascii="Calibri" w:eastAsia="Calibri" w:hAnsi="Calibri"/>
                <w:bCs/>
                <w:sz w:val="22"/>
                <w:szCs w:val="22"/>
              </w:rPr>
              <w:t>Support Alt-3 for paired spectrum.</w:t>
            </w:r>
          </w:p>
        </w:tc>
        <w:tc>
          <w:tcPr>
            <w:tcW w:w="6109" w:type="dxa"/>
          </w:tcPr>
          <w:p w14:paraId="77A1DDC1" w14:textId="77777777" w:rsidR="00C321AD" w:rsidRDefault="00C46558" w:rsidP="00CF0815">
            <w:pPr>
              <w:rPr>
                <w:rFonts w:ascii="Calibri" w:eastAsia="Calibri" w:hAnsi="Calibri"/>
                <w:bCs/>
                <w:sz w:val="22"/>
                <w:szCs w:val="22"/>
              </w:rPr>
            </w:pPr>
            <w:r>
              <w:rPr>
                <w:rFonts w:ascii="Calibri" w:eastAsia="Calibri" w:hAnsi="Calibri"/>
                <w:bCs/>
                <w:sz w:val="22"/>
                <w:szCs w:val="22"/>
              </w:rPr>
              <w:t xml:space="preserve">Since RAN3 has defined the additional parameters it makes sense to add in 38.213 the description of </w:t>
            </w:r>
            <w:r w:rsidR="00E470B3">
              <w:rPr>
                <w:rFonts w:ascii="Calibri" w:eastAsia="Calibri" w:hAnsi="Calibri"/>
                <w:bCs/>
                <w:sz w:val="22"/>
                <w:szCs w:val="22"/>
              </w:rPr>
              <w:t>how they should be used in the context of the already defined RAN1 behavior, in order to have coherent specifications.</w:t>
            </w:r>
          </w:p>
        </w:tc>
      </w:tr>
      <w:tr w:rsidR="009973AF" w14:paraId="48A92898" w14:textId="77777777" w:rsidTr="009973AF">
        <w:tc>
          <w:tcPr>
            <w:tcW w:w="1696" w:type="dxa"/>
          </w:tcPr>
          <w:p w14:paraId="02A9C10A" w14:textId="77777777" w:rsidR="009973AF" w:rsidRPr="009973AF" w:rsidRDefault="009973AF" w:rsidP="00F01457">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55F5787" w14:textId="77777777" w:rsidR="009973AF" w:rsidRDefault="009973AF" w:rsidP="00F01457">
            <w:pPr>
              <w:rPr>
                <w:rFonts w:ascii="Calibri" w:eastAsia="Calibri" w:hAnsi="Calibri"/>
                <w:bCs/>
                <w:sz w:val="22"/>
                <w:szCs w:val="22"/>
              </w:rPr>
            </w:pPr>
            <w:r>
              <w:rPr>
                <w:rFonts w:ascii="Calibri" w:eastAsia="Calibri" w:hAnsi="Calibri"/>
                <w:bCs/>
                <w:sz w:val="22"/>
                <w:szCs w:val="22"/>
              </w:rPr>
              <w:t>Agree with FL Conclusion 1.</w:t>
            </w:r>
          </w:p>
          <w:p w14:paraId="75ADA70A" w14:textId="77777777" w:rsidR="009973AF" w:rsidRPr="005249D1" w:rsidRDefault="009973AF" w:rsidP="009973AF">
            <w:pPr>
              <w:rPr>
                <w:rFonts w:ascii="Calibri" w:eastAsia="Calibri" w:hAnsi="Calibri"/>
                <w:bCs/>
                <w:sz w:val="22"/>
                <w:szCs w:val="22"/>
              </w:rPr>
            </w:pPr>
            <w:r>
              <w:rPr>
                <w:rFonts w:ascii="Calibri" w:eastAsia="Calibri" w:hAnsi="Calibri"/>
                <w:bCs/>
                <w:sz w:val="22"/>
                <w:szCs w:val="22"/>
              </w:rPr>
              <w:t>Support Alt-1 for paired spectrum.</w:t>
            </w:r>
          </w:p>
        </w:tc>
        <w:tc>
          <w:tcPr>
            <w:tcW w:w="6109" w:type="dxa"/>
          </w:tcPr>
          <w:p w14:paraId="21EE290A" w14:textId="77777777" w:rsidR="009973AF" w:rsidRDefault="009973AF" w:rsidP="009973AF">
            <w:pPr>
              <w:rPr>
                <w:rFonts w:ascii="Calibri" w:eastAsia="Calibri" w:hAnsi="Calibri"/>
                <w:bCs/>
                <w:sz w:val="22"/>
                <w:szCs w:val="22"/>
              </w:rPr>
            </w:pPr>
            <w:r>
              <w:rPr>
                <w:rFonts w:ascii="Calibri" w:eastAsia="Calibri" w:hAnsi="Calibri"/>
                <w:bCs/>
                <w:sz w:val="22"/>
                <w:szCs w:val="22"/>
              </w:rPr>
              <w:t>As Nokia pointed out in the preparation phase, we have an agreement regarding this issue “….</w:t>
            </w:r>
            <w:r w:rsidRPr="009973AF">
              <w:rPr>
                <w:rFonts w:ascii="Calibri" w:eastAsia="Calibri" w:hAnsi="Calibri"/>
                <w:bCs/>
                <w:sz w:val="22"/>
                <w:szCs w:val="22"/>
              </w:rPr>
              <w:t>no additional specification impact is considered in RAN1 in Rel-16 for IAB operation in paired spectrum.</w:t>
            </w:r>
            <w:r>
              <w:rPr>
                <w:rFonts w:ascii="Calibri" w:eastAsia="Calibri" w:hAnsi="Calibri"/>
                <w:bCs/>
                <w:sz w:val="22"/>
                <w:szCs w:val="22"/>
              </w:rPr>
              <w:t>”</w:t>
            </w:r>
          </w:p>
        </w:tc>
      </w:tr>
      <w:tr w:rsidR="00B4785C" w14:paraId="4C6DAB82" w14:textId="77777777" w:rsidTr="009973AF">
        <w:tc>
          <w:tcPr>
            <w:tcW w:w="1696" w:type="dxa"/>
          </w:tcPr>
          <w:p w14:paraId="1C871F65" w14:textId="77777777" w:rsidR="00B4785C" w:rsidRDefault="00B4785C" w:rsidP="00F01457">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14:paraId="06CC26CF" w14:textId="19A6035E" w:rsidR="00B4785C" w:rsidRDefault="00B4785C" w:rsidP="00F01457">
            <w:pPr>
              <w:rPr>
                <w:rFonts w:ascii="Calibri" w:eastAsia="Calibri" w:hAnsi="Calibri"/>
                <w:bCs/>
                <w:sz w:val="22"/>
                <w:szCs w:val="22"/>
              </w:rPr>
            </w:pPr>
            <w:r>
              <w:rPr>
                <w:rFonts w:ascii="Calibri" w:eastAsia="Calibri" w:hAnsi="Calibri"/>
                <w:bCs/>
                <w:sz w:val="22"/>
                <w:szCs w:val="22"/>
              </w:rPr>
              <w:t>Agree with Conclusion 1</w:t>
            </w:r>
            <w:r w:rsidR="00E479E6">
              <w:rPr>
                <w:rFonts w:ascii="Calibri" w:eastAsia="Calibri" w:hAnsi="Calibri"/>
                <w:bCs/>
                <w:sz w:val="22"/>
                <w:szCs w:val="22"/>
              </w:rPr>
              <w:t xml:space="preserve"> and s</w:t>
            </w:r>
            <w:r>
              <w:rPr>
                <w:rFonts w:ascii="Calibri" w:eastAsia="Calibri" w:hAnsi="Calibri"/>
                <w:bCs/>
                <w:sz w:val="22"/>
                <w:szCs w:val="22"/>
              </w:rPr>
              <w:t>upport Alt. 1.</w:t>
            </w:r>
          </w:p>
        </w:tc>
        <w:tc>
          <w:tcPr>
            <w:tcW w:w="6109" w:type="dxa"/>
          </w:tcPr>
          <w:p w14:paraId="24041A32" w14:textId="272DD01F" w:rsidR="00CC755D" w:rsidRPr="00E479E6" w:rsidRDefault="00E479E6" w:rsidP="00B4785C">
            <w:pPr>
              <w:rPr>
                <w:rFonts w:ascii="Calibri" w:eastAsia="Calibri" w:hAnsi="Calibri"/>
                <w:sz w:val="22"/>
                <w:szCs w:val="22"/>
              </w:rPr>
            </w:pPr>
            <w:r w:rsidRPr="00E479E6">
              <w:rPr>
                <w:rFonts w:ascii="Calibri" w:eastAsia="Calibri" w:hAnsi="Calibri"/>
                <w:sz w:val="22"/>
                <w:szCs w:val="22"/>
              </w:rPr>
              <w:t>We do not see a need to update 38.213 regarding semi-static FDD resource configuration.</w:t>
            </w:r>
          </w:p>
        </w:tc>
      </w:tr>
      <w:tr w:rsidR="00C37D51" w14:paraId="16EA3A6B" w14:textId="77777777" w:rsidTr="009973AF">
        <w:tc>
          <w:tcPr>
            <w:tcW w:w="1696" w:type="dxa"/>
          </w:tcPr>
          <w:p w14:paraId="6DCBF747" w14:textId="75C91EA3" w:rsidR="00C37D51" w:rsidRDefault="00C37D51" w:rsidP="00F01457">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0D7B606C" w14:textId="77777777" w:rsidR="00C37D51" w:rsidRDefault="00C37D51" w:rsidP="00C37D51">
            <w:pPr>
              <w:spacing w:before="100" w:beforeAutospacing="1" w:after="100" w:afterAutospacing="1"/>
              <w:contextualSpacing/>
              <w:textAlignment w:val="baseline"/>
              <w:rPr>
                <w:rFonts w:ascii="Calibri" w:hAnsi="Calibri" w:cs="Calibri"/>
                <w:sz w:val="22"/>
                <w:szCs w:val="22"/>
              </w:rPr>
            </w:pPr>
            <w:r w:rsidRPr="00C37D51">
              <w:rPr>
                <w:rFonts w:ascii="Calibri" w:hAnsi="Calibri" w:cs="Calibri"/>
                <w:sz w:val="22"/>
                <w:szCs w:val="22"/>
              </w:rPr>
              <w:t>Agree with conclusion 1.  </w:t>
            </w:r>
          </w:p>
          <w:p w14:paraId="44DA4346" w14:textId="50ACBA7E" w:rsidR="00C37D51" w:rsidRPr="00C37D51" w:rsidRDefault="00C37D51" w:rsidP="00C37D51">
            <w:pPr>
              <w:spacing w:before="100" w:beforeAutospacing="1" w:after="100" w:afterAutospacing="1"/>
              <w:contextualSpacing/>
              <w:textAlignment w:val="baseline"/>
            </w:pPr>
            <w:r w:rsidRPr="00C37D51">
              <w:rPr>
                <w:rFonts w:ascii="Calibri" w:hAnsi="Calibri" w:cs="Calibri"/>
                <w:sz w:val="22"/>
                <w:szCs w:val="22"/>
              </w:rPr>
              <w:t>Support Alt.1 </w:t>
            </w:r>
          </w:p>
        </w:tc>
        <w:tc>
          <w:tcPr>
            <w:tcW w:w="6109" w:type="dxa"/>
          </w:tcPr>
          <w:p w14:paraId="04539E3D" w14:textId="0E6D76B5" w:rsidR="00C37D51" w:rsidRPr="00E479E6" w:rsidRDefault="00C37D51" w:rsidP="00B4785C">
            <w:pPr>
              <w:rPr>
                <w:rFonts w:ascii="Calibri" w:eastAsia="Calibri" w:hAnsi="Calibri"/>
                <w:sz w:val="22"/>
                <w:szCs w:val="22"/>
              </w:rPr>
            </w:pPr>
            <w:r>
              <w:rPr>
                <w:rStyle w:val="normaltextrun"/>
                <w:rFonts w:ascii="Calibri" w:hAnsi="Calibri" w:cs="Calibri"/>
                <w:sz w:val="22"/>
                <w:szCs w:val="22"/>
              </w:rPr>
              <w:t>As mentioned by the previous agreement before, we like to avoid additional spec impacts to RAN1 specs.</w:t>
            </w:r>
          </w:p>
        </w:tc>
        <w:bookmarkStart w:id="2" w:name="_GoBack"/>
        <w:bookmarkEnd w:id="2"/>
      </w:tr>
      <w:tr w:rsidR="00DB07CE" w14:paraId="24923025" w14:textId="77777777" w:rsidTr="00DB07CE">
        <w:tc>
          <w:tcPr>
            <w:tcW w:w="1696" w:type="dxa"/>
          </w:tcPr>
          <w:p w14:paraId="6081C980" w14:textId="77777777" w:rsidR="00DB07CE" w:rsidRDefault="00DB07CE" w:rsidP="00D36958">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14:paraId="6E1C1CD9" w14:textId="77777777" w:rsidR="00DB07CE" w:rsidRDefault="00DB07CE" w:rsidP="00D36958">
            <w:pPr>
              <w:rPr>
                <w:rFonts w:ascii="Calibri" w:eastAsia="Calibri" w:hAnsi="Calibri"/>
                <w:bCs/>
                <w:sz w:val="22"/>
                <w:szCs w:val="22"/>
              </w:rPr>
            </w:pPr>
            <w:r>
              <w:rPr>
                <w:rFonts w:ascii="Calibri" w:eastAsia="Calibri" w:hAnsi="Calibri"/>
                <w:bCs/>
                <w:sz w:val="22"/>
                <w:szCs w:val="22"/>
              </w:rPr>
              <w:t xml:space="preserve">Agree with FL Conclusion 1. </w:t>
            </w:r>
          </w:p>
          <w:p w14:paraId="478B9982" w14:textId="77777777" w:rsidR="00DB07CE" w:rsidRDefault="00DB07CE" w:rsidP="00D36958">
            <w:pPr>
              <w:rPr>
                <w:rFonts w:ascii="Calibri" w:eastAsia="Calibri" w:hAnsi="Calibri"/>
                <w:bCs/>
                <w:sz w:val="22"/>
                <w:szCs w:val="22"/>
              </w:rPr>
            </w:pPr>
            <w:r>
              <w:rPr>
                <w:rFonts w:ascii="Calibri" w:eastAsia="Calibri" w:hAnsi="Calibri"/>
                <w:bCs/>
                <w:sz w:val="22"/>
                <w:szCs w:val="22"/>
              </w:rPr>
              <w:t>Support Alt-1 for pared spectrum.</w:t>
            </w:r>
          </w:p>
        </w:tc>
        <w:tc>
          <w:tcPr>
            <w:tcW w:w="6109" w:type="dxa"/>
          </w:tcPr>
          <w:p w14:paraId="518CE0A0" w14:textId="7C1F0662" w:rsidR="00DB07CE" w:rsidRPr="00E479E6" w:rsidRDefault="00DB07CE" w:rsidP="00D36958">
            <w:pPr>
              <w:rPr>
                <w:rFonts w:ascii="Calibri" w:eastAsia="Calibri" w:hAnsi="Calibri"/>
                <w:sz w:val="22"/>
                <w:szCs w:val="22"/>
              </w:rPr>
            </w:pPr>
            <w:r>
              <w:rPr>
                <w:rFonts w:ascii="Calibri" w:eastAsia="Calibri" w:hAnsi="Calibri"/>
                <w:sz w:val="22"/>
                <w:szCs w:val="22"/>
              </w:rPr>
              <w:t>Agree with ZTE, LG, Ericsson</w:t>
            </w:r>
            <w:r>
              <w:rPr>
                <w:rFonts w:ascii="Calibri" w:eastAsia="Calibri" w:hAnsi="Calibri"/>
                <w:sz w:val="22"/>
                <w:szCs w:val="22"/>
              </w:rPr>
              <w:t>, Nokia</w:t>
            </w:r>
            <w:r>
              <w:rPr>
                <w:rFonts w:ascii="Calibri" w:eastAsia="Calibri" w:hAnsi="Calibri"/>
                <w:sz w:val="22"/>
                <w:szCs w:val="22"/>
              </w:rPr>
              <w:t>.</w:t>
            </w:r>
          </w:p>
        </w:tc>
      </w:tr>
      <w:tr w:rsidR="00781A81" w14:paraId="4682A143" w14:textId="77777777" w:rsidTr="009973AF">
        <w:tc>
          <w:tcPr>
            <w:tcW w:w="1696" w:type="dxa"/>
          </w:tcPr>
          <w:p w14:paraId="3D4CCD86" w14:textId="77777777" w:rsidR="00781A81" w:rsidRDefault="00781A81" w:rsidP="00F01457">
            <w:pPr>
              <w:rPr>
                <w:rFonts w:ascii="Calibri" w:eastAsia="Malgun Gothic" w:hAnsi="Calibri"/>
                <w:bCs/>
                <w:sz w:val="22"/>
                <w:szCs w:val="22"/>
                <w:lang w:eastAsia="ko-KR"/>
              </w:rPr>
            </w:pPr>
          </w:p>
        </w:tc>
        <w:tc>
          <w:tcPr>
            <w:tcW w:w="2265" w:type="dxa"/>
          </w:tcPr>
          <w:p w14:paraId="46755C94" w14:textId="77777777" w:rsidR="00781A81" w:rsidRPr="00C37D51" w:rsidRDefault="00781A81" w:rsidP="00C37D51">
            <w:pPr>
              <w:spacing w:before="100" w:beforeAutospacing="1" w:after="100" w:afterAutospacing="1"/>
              <w:contextualSpacing/>
              <w:textAlignment w:val="baseline"/>
              <w:rPr>
                <w:rFonts w:ascii="Calibri" w:hAnsi="Calibri" w:cs="Calibri"/>
                <w:sz w:val="22"/>
                <w:szCs w:val="22"/>
              </w:rPr>
            </w:pPr>
          </w:p>
        </w:tc>
        <w:tc>
          <w:tcPr>
            <w:tcW w:w="6109" w:type="dxa"/>
          </w:tcPr>
          <w:p w14:paraId="1F6D7DDF" w14:textId="77777777" w:rsidR="00781A81" w:rsidRDefault="00781A81" w:rsidP="00B4785C">
            <w:pPr>
              <w:rPr>
                <w:rStyle w:val="normaltextrun"/>
                <w:rFonts w:ascii="Calibri" w:hAnsi="Calibri" w:cs="Calibri"/>
                <w:sz w:val="22"/>
                <w:szCs w:val="22"/>
              </w:rPr>
            </w:pPr>
          </w:p>
        </w:tc>
      </w:tr>
      <w:tr w:rsidR="00781A81" w14:paraId="0B053B36" w14:textId="77777777" w:rsidTr="009973AF">
        <w:tc>
          <w:tcPr>
            <w:tcW w:w="1696" w:type="dxa"/>
          </w:tcPr>
          <w:p w14:paraId="03A99DB0" w14:textId="77777777" w:rsidR="00781A81" w:rsidRDefault="00781A81" w:rsidP="00F01457">
            <w:pPr>
              <w:rPr>
                <w:rFonts w:ascii="Calibri" w:eastAsia="Malgun Gothic" w:hAnsi="Calibri"/>
                <w:bCs/>
                <w:sz w:val="22"/>
                <w:szCs w:val="22"/>
                <w:lang w:eastAsia="ko-KR"/>
              </w:rPr>
            </w:pPr>
          </w:p>
        </w:tc>
        <w:tc>
          <w:tcPr>
            <w:tcW w:w="2265" w:type="dxa"/>
          </w:tcPr>
          <w:p w14:paraId="1D13178C" w14:textId="77777777" w:rsidR="00781A81" w:rsidRPr="00C37D51" w:rsidRDefault="00781A81" w:rsidP="00C37D51">
            <w:pPr>
              <w:spacing w:before="100" w:beforeAutospacing="1" w:after="100" w:afterAutospacing="1"/>
              <w:contextualSpacing/>
              <w:textAlignment w:val="baseline"/>
              <w:rPr>
                <w:rFonts w:ascii="Calibri" w:hAnsi="Calibri" w:cs="Calibri"/>
                <w:sz w:val="22"/>
                <w:szCs w:val="22"/>
              </w:rPr>
            </w:pPr>
          </w:p>
        </w:tc>
        <w:tc>
          <w:tcPr>
            <w:tcW w:w="6109" w:type="dxa"/>
          </w:tcPr>
          <w:p w14:paraId="007B0897" w14:textId="77777777" w:rsidR="00781A81" w:rsidRDefault="00781A81" w:rsidP="00B4785C">
            <w:pPr>
              <w:rPr>
                <w:rStyle w:val="normaltextrun"/>
                <w:rFonts w:ascii="Calibri" w:hAnsi="Calibri" w:cs="Calibri"/>
                <w:sz w:val="22"/>
                <w:szCs w:val="22"/>
              </w:rPr>
            </w:pPr>
          </w:p>
        </w:tc>
      </w:tr>
    </w:tbl>
    <w:p w14:paraId="26596EAC" w14:textId="77777777" w:rsidR="00890B60" w:rsidRDefault="00890B60" w:rsidP="00890B60">
      <w:pPr>
        <w:rPr>
          <w:rFonts w:ascii="Calibri" w:eastAsia="Calibri" w:hAnsi="Calibri"/>
          <w:sz w:val="22"/>
          <w:szCs w:val="22"/>
        </w:rPr>
      </w:pPr>
    </w:p>
    <w:p w14:paraId="4FF78B29" w14:textId="77777777" w:rsidR="002A4D58" w:rsidRPr="00E124C5" w:rsidRDefault="00D3703A" w:rsidP="00E124C5">
      <w:pPr>
        <w:rPr>
          <w:rFonts w:ascii="Arial" w:hAnsi="Arial"/>
          <w:b/>
          <w:i/>
          <w:szCs w:val="20"/>
        </w:rPr>
      </w:pPr>
      <w:r>
        <w:br w:type="page"/>
      </w:r>
    </w:p>
    <w:p w14:paraId="66A27317" w14:textId="77777777" w:rsidR="002F634C" w:rsidRPr="00156B89" w:rsidRDefault="002F634C" w:rsidP="002F634C">
      <w:pPr>
        <w:pStyle w:val="Heading1"/>
      </w:pPr>
      <w:r>
        <w:lastRenderedPageBreak/>
        <w:t>Summary</w:t>
      </w:r>
    </w:p>
    <w:p w14:paraId="01263956"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725503" w14:textId="77777777" w:rsidR="00DE3A4C" w:rsidRDefault="00DE3A4C" w:rsidP="005C6208">
      <w:pPr>
        <w:rPr>
          <w:rFonts w:ascii="Calibri" w:hAnsi="Calibri" w:cs="Calibri"/>
          <w:color w:val="000000"/>
          <w:sz w:val="22"/>
          <w:szCs w:val="22"/>
        </w:rPr>
      </w:pPr>
    </w:p>
    <w:p w14:paraId="6734137A"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71002" w14:textId="77777777" w:rsidR="004D316A" w:rsidRDefault="004D316A" w:rsidP="00424124">
      <w:r>
        <w:separator/>
      </w:r>
    </w:p>
  </w:endnote>
  <w:endnote w:type="continuationSeparator" w:id="0">
    <w:p w14:paraId="0E9AB242" w14:textId="77777777" w:rsidR="004D316A" w:rsidRDefault="004D316A" w:rsidP="00424124">
      <w:r>
        <w:continuationSeparator/>
      </w:r>
    </w:p>
  </w:endnote>
  <w:endnote w:type="continuationNotice" w:id="1">
    <w:p w14:paraId="45F923B2" w14:textId="77777777" w:rsidR="004D316A" w:rsidRDefault="004D3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32375" w14:textId="77777777" w:rsidR="004D316A" w:rsidRDefault="004D316A" w:rsidP="00424124">
      <w:r>
        <w:separator/>
      </w:r>
    </w:p>
  </w:footnote>
  <w:footnote w:type="continuationSeparator" w:id="0">
    <w:p w14:paraId="688217C9" w14:textId="77777777" w:rsidR="004D316A" w:rsidRDefault="004D316A" w:rsidP="00424124">
      <w:r>
        <w:continuationSeparator/>
      </w:r>
    </w:p>
  </w:footnote>
  <w:footnote w:type="continuationNotice" w:id="1">
    <w:p w14:paraId="2136BCDE" w14:textId="77777777" w:rsidR="004D316A" w:rsidRDefault="004D3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3922B65"/>
    <w:multiLevelType w:val="hybridMultilevel"/>
    <w:tmpl w:val="E4A4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CF2906"/>
    <w:multiLevelType w:val="hybridMultilevel"/>
    <w:tmpl w:val="2D8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7"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9"/>
  </w:num>
  <w:num w:numId="4">
    <w:abstractNumId w:val="17"/>
  </w:num>
  <w:num w:numId="5">
    <w:abstractNumId w:val="25"/>
  </w:num>
  <w:num w:numId="6">
    <w:abstractNumId w:val="38"/>
  </w:num>
  <w:num w:numId="7">
    <w:abstractNumId w:val="1"/>
  </w:num>
  <w:num w:numId="8">
    <w:abstractNumId w:val="39"/>
  </w:num>
  <w:num w:numId="9">
    <w:abstractNumId w:val="4"/>
  </w:num>
  <w:num w:numId="10">
    <w:abstractNumId w:val="3"/>
  </w:num>
  <w:num w:numId="11">
    <w:abstractNumId w:val="24"/>
  </w:num>
  <w:num w:numId="12">
    <w:abstractNumId w:val="41"/>
  </w:num>
  <w:num w:numId="13">
    <w:abstractNumId w:val="40"/>
  </w:num>
  <w:num w:numId="14">
    <w:abstractNumId w:val="34"/>
  </w:num>
  <w:num w:numId="15">
    <w:abstractNumId w:val="8"/>
  </w:num>
  <w:num w:numId="16">
    <w:abstractNumId w:val="43"/>
  </w:num>
  <w:num w:numId="17">
    <w:abstractNumId w:val="13"/>
  </w:num>
  <w:num w:numId="18">
    <w:abstractNumId w:val="36"/>
  </w:num>
  <w:num w:numId="19">
    <w:abstractNumId w:val="0"/>
  </w:num>
  <w:num w:numId="20">
    <w:abstractNumId w:val="33"/>
  </w:num>
  <w:num w:numId="21">
    <w:abstractNumId w:val="26"/>
  </w:num>
  <w:num w:numId="22">
    <w:abstractNumId w:val="16"/>
  </w:num>
  <w:num w:numId="23">
    <w:abstractNumId w:val="42"/>
  </w:num>
  <w:num w:numId="24">
    <w:abstractNumId w:val="18"/>
  </w:num>
  <w:num w:numId="25">
    <w:abstractNumId w:val="14"/>
  </w:num>
  <w:num w:numId="26">
    <w:abstractNumId w:val="10"/>
  </w:num>
  <w:num w:numId="27">
    <w:abstractNumId w:val="35"/>
  </w:num>
  <w:num w:numId="28">
    <w:abstractNumId w:val="6"/>
  </w:num>
  <w:num w:numId="29">
    <w:abstractNumId w:val="37"/>
  </w:num>
  <w:num w:numId="30">
    <w:abstractNumId w:val="28"/>
  </w:num>
  <w:num w:numId="31">
    <w:abstractNumId w:val="7"/>
  </w:num>
  <w:num w:numId="32">
    <w:abstractNumId w:val="5"/>
  </w:num>
  <w:num w:numId="33">
    <w:abstractNumId w:val="11"/>
  </w:num>
  <w:num w:numId="34">
    <w:abstractNumId w:val="30"/>
  </w:num>
  <w:num w:numId="35">
    <w:abstractNumId w:val="23"/>
  </w:num>
  <w:num w:numId="36">
    <w:abstractNumId w:val="2"/>
  </w:num>
  <w:num w:numId="37">
    <w:abstractNumId w:val="31"/>
  </w:num>
  <w:num w:numId="38">
    <w:abstractNumId w:val="20"/>
  </w:num>
  <w:num w:numId="39">
    <w:abstractNumId w:val="29"/>
  </w:num>
  <w:num w:numId="40">
    <w:abstractNumId w:val="22"/>
  </w:num>
  <w:num w:numId="41">
    <w:abstractNumId w:val="27"/>
  </w:num>
  <w:num w:numId="42">
    <w:abstractNumId w:val="12"/>
  </w:num>
  <w:num w:numId="43">
    <w:abstractNumId w:val="32"/>
  </w:num>
  <w:num w:numId="44">
    <w:abstractNumId w:val="15"/>
  </w:num>
  <w:num w:numId="45">
    <w:abstractNumId w:val="21"/>
  </w:num>
  <w:num w:numId="46">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367C"/>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6D7F"/>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C24"/>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6DF4"/>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61C"/>
    <w:rsid w:val="004D17BE"/>
    <w:rsid w:val="004D316A"/>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9D1"/>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6F78EB"/>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1A81"/>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0B60"/>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973AF"/>
    <w:rsid w:val="009A04A8"/>
    <w:rsid w:val="009A0A1E"/>
    <w:rsid w:val="009A22BB"/>
    <w:rsid w:val="009A239F"/>
    <w:rsid w:val="009A2AD0"/>
    <w:rsid w:val="009A2D0C"/>
    <w:rsid w:val="009A4A2B"/>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896"/>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0E"/>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2E39"/>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480"/>
    <w:rsid w:val="00B37ED3"/>
    <w:rsid w:val="00B43BBF"/>
    <w:rsid w:val="00B46001"/>
    <w:rsid w:val="00B4785C"/>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5291"/>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2CBF"/>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21AD"/>
    <w:rsid w:val="00C33A4F"/>
    <w:rsid w:val="00C33E07"/>
    <w:rsid w:val="00C34602"/>
    <w:rsid w:val="00C35405"/>
    <w:rsid w:val="00C35FE8"/>
    <w:rsid w:val="00C36C7C"/>
    <w:rsid w:val="00C37D51"/>
    <w:rsid w:val="00C40BE6"/>
    <w:rsid w:val="00C448B1"/>
    <w:rsid w:val="00C44B24"/>
    <w:rsid w:val="00C45C0F"/>
    <w:rsid w:val="00C46558"/>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3A3B"/>
    <w:rsid w:val="00CB4AE1"/>
    <w:rsid w:val="00CB6D97"/>
    <w:rsid w:val="00CC0A30"/>
    <w:rsid w:val="00CC420F"/>
    <w:rsid w:val="00CC4CBB"/>
    <w:rsid w:val="00CC597E"/>
    <w:rsid w:val="00CC69CC"/>
    <w:rsid w:val="00CC6A02"/>
    <w:rsid w:val="00CC72EE"/>
    <w:rsid w:val="00CC755D"/>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0815"/>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07CE"/>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6660"/>
    <w:rsid w:val="00E10683"/>
    <w:rsid w:val="00E124C5"/>
    <w:rsid w:val="00E12953"/>
    <w:rsid w:val="00E13146"/>
    <w:rsid w:val="00E14B6D"/>
    <w:rsid w:val="00E159F9"/>
    <w:rsid w:val="00E15D1A"/>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470B3"/>
    <w:rsid w:val="00E479E6"/>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4194"/>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851E95"/>
  <w15:docId w15:val="{A26C54CE-73B8-46DB-98CE-F5148581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29445059">
      <w:bodyDiv w:val="1"/>
      <w:marLeft w:val="0"/>
      <w:marRight w:val="0"/>
      <w:marTop w:val="0"/>
      <w:marBottom w:val="0"/>
      <w:divBdr>
        <w:top w:val="none" w:sz="0" w:space="0" w:color="auto"/>
        <w:left w:val="none" w:sz="0" w:space="0" w:color="auto"/>
        <w:bottom w:val="none" w:sz="0" w:space="0" w:color="auto"/>
        <w:right w:val="none" w:sz="0" w:space="0" w:color="auto"/>
      </w:divBdr>
      <w:divsChild>
        <w:div w:id="151727021">
          <w:marLeft w:val="0"/>
          <w:marRight w:val="0"/>
          <w:marTop w:val="0"/>
          <w:marBottom w:val="0"/>
          <w:divBdr>
            <w:top w:val="none" w:sz="0" w:space="0" w:color="auto"/>
            <w:left w:val="none" w:sz="0" w:space="0" w:color="auto"/>
            <w:bottom w:val="none" w:sz="0" w:space="0" w:color="auto"/>
            <w:right w:val="none" w:sz="0" w:space="0" w:color="auto"/>
          </w:divBdr>
        </w:div>
        <w:div w:id="393310319">
          <w:marLeft w:val="0"/>
          <w:marRight w:val="0"/>
          <w:marTop w:val="0"/>
          <w:marBottom w:val="0"/>
          <w:divBdr>
            <w:top w:val="none" w:sz="0" w:space="0" w:color="auto"/>
            <w:left w:val="none" w:sz="0" w:space="0" w:color="auto"/>
            <w:bottom w:val="none" w:sz="0" w:space="0" w:color="auto"/>
            <w:right w:val="none" w:sz="0" w:space="0" w:color="auto"/>
          </w:divBdr>
        </w:div>
      </w:divsChild>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CEFB511B-D9E1-443C-BBF2-6D1C664F6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BB99D-4638-4358-A52D-2B458E96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3926</Characters>
  <Application>Microsoft Office Word</Application>
  <DocSecurity>0</DocSecurity>
  <Lines>112</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Wei, Lili</cp:lastModifiedBy>
  <cp:revision>3</cp:revision>
  <cp:lastPrinted>2016-02-23T10:51:00Z</cp:lastPrinted>
  <dcterms:created xsi:type="dcterms:W3CDTF">2020-08-18T16:01:00Z</dcterms:created>
  <dcterms:modified xsi:type="dcterms:W3CDTF">2020-08-18T16:02:00Z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2020-08-18 16:02:40Z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_dlc_DocIdItemGuid">
    <vt:lpwstr>00c2bb0a-b56d-4cf4-8035-953abc5ddb3e</vt:lpwstr>
  </property>
  <property fmtid="{D5CDD505-2E9C-101B-9397-08002B2CF9AE}" pid="18" name="CTPClassification">
    <vt:lpwstr>CTP_NT</vt:lpwstr>
  </property>
</Properties>
</file>