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宋体"/>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宋体"/>
                <w:lang w:eastAsia="zh-CN"/>
              </w:rPr>
            </w:pPr>
            <w:r w:rsidRPr="0052662E">
              <w:rPr>
                <w:rFonts w:eastAsia="宋体" w:hint="eastAsia"/>
                <w:lang w:eastAsia="zh-CN"/>
              </w:rPr>
              <w:t>Samsung</w:t>
            </w:r>
          </w:p>
        </w:tc>
        <w:tc>
          <w:tcPr>
            <w:tcW w:w="7222" w:type="dxa"/>
          </w:tcPr>
          <w:p w14:paraId="70849445" w14:textId="3A9A9D7A" w:rsidR="00786E11" w:rsidRPr="0052662E" w:rsidRDefault="0052662E" w:rsidP="00786E11">
            <w:pPr>
              <w:rPr>
                <w:rFonts w:eastAsia="宋体"/>
                <w:lang w:eastAsia="zh-CN"/>
              </w:rPr>
            </w:pPr>
            <w:r w:rsidRPr="0052662E">
              <w:rPr>
                <w:rFonts w:eastAsia="宋体" w:hint="eastAsia"/>
                <w:lang w:eastAsia="zh-CN"/>
              </w:rPr>
              <w:t>Support Option 1</w:t>
            </w:r>
          </w:p>
        </w:tc>
      </w:tr>
      <w:tr w:rsidR="008F2A32" w14:paraId="4FF866D3" w14:textId="77777777" w:rsidTr="00105DDD">
        <w:tc>
          <w:tcPr>
            <w:tcW w:w="1838" w:type="dxa"/>
          </w:tcPr>
          <w:p w14:paraId="5DD25C53" w14:textId="078D8E96" w:rsidR="008F2A32" w:rsidRPr="0052662E" w:rsidRDefault="008F2A32" w:rsidP="00786E11">
            <w:pPr>
              <w:rPr>
                <w:rFonts w:eastAsia="宋体"/>
                <w:lang w:eastAsia="zh-CN"/>
              </w:rPr>
            </w:pPr>
            <w:r>
              <w:rPr>
                <w:rFonts w:eastAsia="宋体" w:hint="eastAsia"/>
                <w:lang w:eastAsia="zh-CN"/>
              </w:rPr>
              <w:t>vivo</w:t>
            </w:r>
          </w:p>
        </w:tc>
        <w:tc>
          <w:tcPr>
            <w:tcW w:w="7222" w:type="dxa"/>
          </w:tcPr>
          <w:p w14:paraId="6A2CB3BE" w14:textId="6696A96A" w:rsidR="008F2A32" w:rsidRPr="0052662E" w:rsidRDefault="008F2A32" w:rsidP="00786E11">
            <w:pPr>
              <w:rPr>
                <w:rFonts w:eastAsia="宋体"/>
                <w:lang w:eastAsia="zh-CN"/>
              </w:rPr>
            </w:pPr>
            <w:r w:rsidRPr="0052662E">
              <w:rPr>
                <w:rFonts w:eastAsia="宋体" w:hint="eastAsia"/>
                <w:lang w:eastAsia="zh-CN"/>
              </w:rPr>
              <w:t>Support Option 1</w:t>
            </w:r>
          </w:p>
        </w:tc>
      </w:tr>
    </w:tbl>
    <w:p w14:paraId="68AE66D6" w14:textId="77777777" w:rsidR="00105DDD" w:rsidRDefault="00105DDD" w:rsidP="0032775C"/>
    <w:p w14:paraId="26C1C70C" w14:textId="673C7F1D" w:rsidR="000F5619" w:rsidRDefault="006320AE" w:rsidP="000F5619">
      <w:pPr>
        <w:spacing w:after="180"/>
        <w:rPr>
          <w:rFonts w:eastAsia="宋体"/>
          <w:szCs w:val="20"/>
          <w:lang w:eastAsia="zh-CN"/>
        </w:rPr>
      </w:pPr>
      <w:r>
        <w:rPr>
          <w:rFonts w:eastAsia="宋体"/>
          <w:szCs w:val="20"/>
          <w:lang w:eastAsia="zh-CN"/>
        </w:rPr>
        <w:t>This issue has been discussed extensively since last meeting and</w:t>
      </w:r>
      <w:r w:rsidRPr="006320AE">
        <w:rPr>
          <w:rFonts w:eastAsia="宋体"/>
          <w:szCs w:val="20"/>
          <w:lang w:eastAsia="zh-CN"/>
        </w:rPr>
        <w:t xml:space="preserve"> </w:t>
      </w:r>
      <w:r>
        <w:rPr>
          <w:rFonts w:eastAsia="宋体"/>
          <w:szCs w:val="20"/>
          <w:lang w:eastAsia="zh-CN"/>
        </w:rPr>
        <w:t>g</w:t>
      </w:r>
      <w:r>
        <w:rPr>
          <w:rFonts w:eastAsia="宋体" w:hint="eastAsia"/>
          <w:szCs w:val="20"/>
          <w:lang w:eastAsia="zh-CN"/>
        </w:rPr>
        <w:t xml:space="preserve">iven majority </w:t>
      </w:r>
      <w:r>
        <w:rPr>
          <w:rFonts w:eastAsia="宋体"/>
          <w:szCs w:val="20"/>
          <w:lang w:eastAsia="zh-CN"/>
        </w:rPr>
        <w:t xml:space="preserve">of companies support option1, </w:t>
      </w:r>
      <w:r>
        <w:rPr>
          <w:rFonts w:eastAsia="宋体"/>
          <w:szCs w:val="20"/>
          <w:lang w:eastAsia="zh-CN"/>
        </w:rPr>
        <w:t>following is proposed:</w:t>
      </w:r>
    </w:p>
    <w:p w14:paraId="7AC64A7A" w14:textId="1D48B712" w:rsidR="006320AE" w:rsidRDefault="006320AE" w:rsidP="000F5619">
      <w:pPr>
        <w:spacing w:after="180"/>
        <w:rPr>
          <w:rFonts w:eastAsia="宋体" w:hint="eastAsia"/>
          <w:szCs w:val="20"/>
          <w:lang w:eastAsia="zh-CN"/>
        </w:rPr>
      </w:pPr>
      <w:r w:rsidRPr="006320AE">
        <w:rPr>
          <w:rFonts w:eastAsia="宋体"/>
          <w:szCs w:val="20"/>
          <w:highlight w:val="yellow"/>
          <w:lang w:eastAsia="zh-CN"/>
        </w:rPr>
        <w:t>Proposal:</w:t>
      </w:r>
      <w:r w:rsidRPr="006320AE">
        <w:rPr>
          <w:rFonts w:eastAsia="宋体" w:hint="eastAsia"/>
          <w:szCs w:val="20"/>
          <w:highlight w:val="yellow"/>
          <w:lang w:eastAsia="zh-CN"/>
        </w:rPr>
        <w:t xml:space="preserve"> </w:t>
      </w:r>
      <w:r w:rsidRPr="006320AE">
        <w:rPr>
          <w:rFonts w:eastAsia="宋体"/>
          <w:szCs w:val="20"/>
          <w:highlight w:val="yellow"/>
          <w:lang w:eastAsia="zh-CN"/>
        </w:rPr>
        <w:t xml:space="preserve">TP in option 1 is </w:t>
      </w:r>
      <w:r w:rsidRPr="006320AE">
        <w:rPr>
          <w:rFonts w:eastAsia="宋体"/>
          <w:szCs w:val="20"/>
          <w:highlight w:val="yellow"/>
          <w:lang w:eastAsia="zh-CN"/>
        </w:rPr>
        <w:t>support</w:t>
      </w:r>
      <w:r w:rsidRPr="006320AE">
        <w:rPr>
          <w:rFonts w:eastAsia="宋体"/>
          <w:szCs w:val="20"/>
          <w:highlight w:val="yellow"/>
          <w:lang w:eastAsia="zh-CN"/>
        </w:rPr>
        <w:t>ed</w:t>
      </w:r>
    </w:p>
    <w:p w14:paraId="7DECFA8C" w14:textId="77777777" w:rsidR="006320AE" w:rsidRPr="00C32884" w:rsidRDefault="006320AE" w:rsidP="000F5619">
      <w:pPr>
        <w:spacing w:after="180"/>
        <w:rPr>
          <w:rFonts w:eastAsia="宋体" w:hint="eastAsia"/>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宋体"/>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Malgun Gothic"/>
                <w:lang w:eastAsia="ko-KR"/>
              </w:rPr>
            </w:pPr>
            <w:r>
              <w:rPr>
                <w:rFonts w:eastAsia="Malgun Gothic" w:hint="eastAsia"/>
                <w:lang w:eastAsia="ko-KR"/>
              </w:rPr>
              <w:t>Samsung</w:t>
            </w:r>
          </w:p>
        </w:tc>
        <w:tc>
          <w:tcPr>
            <w:tcW w:w="7222" w:type="dxa"/>
          </w:tcPr>
          <w:p w14:paraId="4D9F7A74" w14:textId="2B2E342C" w:rsidR="0052662E" w:rsidRPr="0052662E" w:rsidRDefault="0052662E" w:rsidP="00786E11">
            <w:pPr>
              <w:rPr>
                <w:rFonts w:eastAsia="Malgun Gothic"/>
                <w:lang w:eastAsia="ko-KR"/>
              </w:rPr>
            </w:pPr>
            <w:r>
              <w:rPr>
                <w:rFonts w:eastAsia="Malgun Gothic" w:hint="eastAsia"/>
                <w:lang w:eastAsia="ko-KR"/>
              </w:rPr>
              <w:t>Support the TP</w:t>
            </w:r>
          </w:p>
        </w:tc>
      </w:tr>
      <w:tr w:rsidR="008F2A32" w14:paraId="3AB8138B" w14:textId="77777777" w:rsidTr="007D5156">
        <w:tc>
          <w:tcPr>
            <w:tcW w:w="1838" w:type="dxa"/>
          </w:tcPr>
          <w:p w14:paraId="3CAA0B70" w14:textId="42D29B2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2859BD5" w14:textId="459D8011" w:rsidR="008F2A32" w:rsidRPr="008F2A32" w:rsidRDefault="008F2A32" w:rsidP="00786E11">
            <w:pPr>
              <w:rPr>
                <w:rFonts w:eastAsiaTheme="minorEastAsia"/>
                <w:lang w:eastAsia="zh-CN"/>
              </w:rPr>
            </w:pPr>
            <w:r>
              <w:rPr>
                <w:rFonts w:eastAsiaTheme="minorEastAsia"/>
                <w:lang w:eastAsia="zh-CN"/>
              </w:rPr>
              <w:t>S</w:t>
            </w:r>
            <w:r>
              <w:rPr>
                <w:rFonts w:eastAsiaTheme="minorEastAsia" w:hint="eastAsia"/>
                <w:lang w:eastAsia="zh-CN"/>
              </w:rPr>
              <w:t>upport the TP, also fine with wording from Ericsson</w:t>
            </w:r>
          </w:p>
        </w:tc>
      </w:tr>
    </w:tbl>
    <w:p w14:paraId="2FABC709" w14:textId="77777777" w:rsidR="0020134B" w:rsidRDefault="0020134B" w:rsidP="000F5619">
      <w:pPr>
        <w:snapToGrid w:val="0"/>
        <w:spacing w:beforeLines="50" w:before="120" w:afterLines="50"/>
        <w:rPr>
          <w:rFonts w:eastAsiaTheme="minorEastAsia"/>
          <w:sz w:val="21"/>
          <w:szCs w:val="21"/>
          <w:lang w:eastAsia="zh-CN"/>
        </w:rPr>
      </w:pPr>
    </w:p>
    <w:p w14:paraId="2F3C221B" w14:textId="11D862EB" w:rsidR="00105DDD" w:rsidRDefault="0020134B" w:rsidP="000F5619">
      <w:pPr>
        <w:snapToGrid w:val="0"/>
        <w:spacing w:beforeLines="50" w:before="120" w:afterLines="50"/>
        <w:rPr>
          <w:rFonts w:eastAsiaTheme="minorEastAsia"/>
          <w:sz w:val="21"/>
          <w:szCs w:val="21"/>
          <w:lang w:eastAsia="zh-CN"/>
        </w:rPr>
      </w:pPr>
      <w:r w:rsidRPr="0020134B">
        <w:rPr>
          <w:rFonts w:eastAsiaTheme="minorEastAsia"/>
          <w:sz w:val="21"/>
          <w:szCs w:val="21"/>
          <w:highlight w:val="yellow"/>
          <w:lang w:eastAsia="zh-CN"/>
        </w:rPr>
        <w:t>A</w:t>
      </w:r>
      <w:r w:rsidRPr="0020134B">
        <w:rPr>
          <w:rFonts w:eastAsiaTheme="minorEastAsia" w:hint="eastAsia"/>
          <w:sz w:val="21"/>
          <w:szCs w:val="21"/>
          <w:highlight w:val="yellow"/>
          <w:lang w:eastAsia="zh-CN"/>
        </w:rPr>
        <w:t xml:space="preserve">ll </w:t>
      </w:r>
      <w:r w:rsidRPr="0020134B">
        <w:rPr>
          <w:rFonts w:eastAsiaTheme="minorEastAsia"/>
          <w:sz w:val="21"/>
          <w:szCs w:val="21"/>
          <w:highlight w:val="yellow"/>
          <w:lang w:eastAsia="zh-CN"/>
        </w:rPr>
        <w:t>companies agree with the proposed TP, and Ericsson proposed to revise the wording. So the question to the group is whether revised TP is agreeable?</w:t>
      </w:r>
      <w:r>
        <w:rPr>
          <w:rFonts w:eastAsiaTheme="minorEastAsia"/>
          <w:sz w:val="21"/>
          <w:szCs w:val="21"/>
          <w:lang w:eastAsia="zh-CN"/>
        </w:rPr>
        <w:t xml:space="preserve"> </w:t>
      </w:r>
    </w:p>
    <w:p w14:paraId="4D2B845B" w14:textId="77777777" w:rsidR="0020134B" w:rsidRDefault="0020134B" w:rsidP="000F5619">
      <w:pPr>
        <w:snapToGrid w:val="0"/>
        <w:spacing w:beforeLines="50" w:before="120" w:afterLines="50"/>
        <w:rPr>
          <w:rFonts w:eastAsiaTheme="minorEastAsia" w:hint="eastAsia"/>
          <w:sz w:val="21"/>
          <w:szCs w:val="21"/>
          <w:lang w:eastAsia="zh-CN"/>
        </w:rPr>
      </w:pPr>
    </w:p>
    <w:p w14:paraId="56C48B94" w14:textId="77777777" w:rsidR="0020134B" w:rsidRDefault="0020134B" w:rsidP="000F5619">
      <w:pPr>
        <w:snapToGrid w:val="0"/>
        <w:spacing w:beforeLines="50" w:before="120" w:afterLines="50"/>
        <w:rPr>
          <w:rFonts w:eastAsiaTheme="minorEastAsia" w:hint="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 xml:space="preserve">or a PUSCH transmission scheduled by a DCI format, if the UE receives a CG-DFI that provides HARQ-ACK information for the transport block, the UE assumes that the transport block was correctly decoded </w:t>
      </w:r>
      <w:r w:rsidRPr="00E75F43">
        <w:rPr>
          <w:iCs/>
          <w:color w:val="FF0000"/>
        </w:rPr>
        <w:lastRenderedPageBreak/>
        <w:t>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w:t>
            </w:r>
            <w:r w:rsidRPr="0020134B">
              <w:rPr>
                <w:rFonts w:eastAsia="PMingLiU"/>
                <w:lang w:eastAsia="zh-TW"/>
              </w:rPr>
              <w:t>Option 1</w:t>
            </w:r>
            <w:bookmarkStart w:id="2" w:name="_GoBack"/>
            <w:bookmarkEnd w:id="2"/>
            <w:r>
              <w:rPr>
                <w:rFonts w:eastAsia="PMingLiU"/>
                <w:lang w:eastAsia="zh-TW"/>
              </w:rPr>
              <w:t xml:space="preserve">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w:t>
            </w:r>
            <w:proofErr w:type="spellStart"/>
            <w:r w:rsidR="00FB2EFD" w:rsidRPr="00FB2EFD">
              <w:rPr>
                <w:rFonts w:eastAsia="PMingLiU"/>
                <w:lang w:eastAsia="zh-TW"/>
              </w:rPr>
              <w:t>subband</w:t>
            </w:r>
            <w:proofErr w:type="spellEnd"/>
            <w:r w:rsidR="00FB2EFD" w:rsidRPr="00FB2EFD">
              <w:rPr>
                <w:rFonts w:eastAsia="PMingLiU"/>
                <w:lang w:eastAsia="zh-TW"/>
              </w:rPr>
              <w:t xml:space="preserve">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 xml:space="preserve">include non-overlapping CBGs. Note that the gNB may not necessarily know the LBT </w:t>
            </w:r>
            <w:proofErr w:type="spellStart"/>
            <w:r>
              <w:rPr>
                <w:rFonts w:eastAsia="PMingLiU"/>
                <w:lang w:eastAsia="zh-TW"/>
              </w:rPr>
              <w:t>subband</w:t>
            </w:r>
            <w:proofErr w:type="spellEnd"/>
            <w:r>
              <w:rPr>
                <w:rFonts w:eastAsia="PMingLiU"/>
                <w:lang w:eastAsia="zh-TW"/>
              </w:rPr>
              <w:t xml:space="preserve">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w:t>
            </w:r>
            <w:proofErr w:type="spellStart"/>
            <w:r w:rsidRPr="009A3072">
              <w:rPr>
                <w:rFonts w:eastAsia="PMingLiU"/>
                <w:sz w:val="16"/>
                <w:lang w:eastAsia="zh-TW"/>
              </w:rPr>
              <w:t>subband</w:t>
            </w:r>
            <w:proofErr w:type="spellEnd"/>
            <w:r w:rsidRPr="009A3072">
              <w:rPr>
                <w:rFonts w:eastAsia="PMingLiU"/>
                <w:sz w:val="16"/>
                <w:lang w:eastAsia="zh-TW"/>
              </w:rPr>
              <w:t xml:space="preserve">,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Note: Other procedures for contention window adjustment within an LBT </w:t>
            </w:r>
            <w:proofErr w:type="spellStart"/>
            <w:r w:rsidRPr="009A3072">
              <w:rPr>
                <w:rFonts w:eastAsia="PMingLiU"/>
                <w:sz w:val="16"/>
                <w:lang w:eastAsia="zh-TW"/>
              </w:rPr>
              <w:t>subband</w:t>
            </w:r>
            <w:proofErr w:type="spellEnd"/>
            <w:r w:rsidRPr="009A3072">
              <w:rPr>
                <w:rFonts w:eastAsia="PMingLiU"/>
                <w:sz w:val="16"/>
                <w:lang w:eastAsia="zh-TW"/>
              </w:rPr>
              <w:t xml:space="preserve">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lastRenderedPageBreak/>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rsidRPr="0020134B">
              <w:t>option 1</w:t>
            </w:r>
            <w:r>
              <w:t xml:space="preserve">,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宋体"/>
                <w:lang w:eastAsia="zh-CN"/>
              </w:rPr>
              <w:t>Lenovo, Motorola Mobility</w:t>
            </w:r>
          </w:p>
        </w:tc>
        <w:tc>
          <w:tcPr>
            <w:tcW w:w="7222" w:type="dxa"/>
          </w:tcPr>
          <w:p w14:paraId="3841EDB7" w14:textId="77777777" w:rsidR="00786E11" w:rsidRDefault="006608EA" w:rsidP="00786E11">
            <w:r>
              <w:t xml:space="preserve">We support </w:t>
            </w:r>
            <w:r w:rsidRPr="0020134B">
              <w:t>Option 1</w:t>
            </w:r>
            <w:r>
              <w:t xml:space="preserve">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w:t>
            </w:r>
            <w:r w:rsidRPr="0020134B">
              <w:t>option 1</w:t>
            </w:r>
            <w:r>
              <w:t xml:space="preserve">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Malgun Gothic"/>
                <w:lang w:eastAsia="ko-KR"/>
              </w:rPr>
            </w:pPr>
            <w:r>
              <w:rPr>
                <w:rFonts w:eastAsia="Malgun Gothic" w:hint="eastAsia"/>
                <w:lang w:eastAsia="ko-KR"/>
              </w:rPr>
              <w:t>Samsung</w:t>
            </w:r>
          </w:p>
        </w:tc>
        <w:tc>
          <w:tcPr>
            <w:tcW w:w="7222" w:type="dxa"/>
          </w:tcPr>
          <w:p w14:paraId="3D367DFC" w14:textId="6E6CAF88" w:rsidR="00786E11" w:rsidRPr="0095675B" w:rsidRDefault="0095675B" w:rsidP="0095675B">
            <w:pPr>
              <w:rPr>
                <w:rFonts w:eastAsia="Malgun Gothic"/>
                <w:lang w:eastAsia="ko-KR"/>
              </w:rPr>
            </w:pPr>
            <w:r>
              <w:rPr>
                <w:rFonts w:eastAsia="Malgun Gothic" w:hint="eastAsia"/>
                <w:lang w:eastAsia="ko-KR"/>
              </w:rPr>
              <w:t xml:space="preserve">Although </w:t>
            </w:r>
            <w:r>
              <w:rPr>
                <w:rFonts w:eastAsia="Malgun Gothic"/>
                <w:lang w:eastAsia="ko-KR"/>
              </w:rPr>
              <w:t xml:space="preserve">Option 2 is more aligned with CWS adaptation, it may cause incorrect CG operation (e.g., restart of CG timer). Therefore, </w:t>
            </w:r>
            <w:r w:rsidRPr="0020134B">
              <w:rPr>
                <w:rFonts w:eastAsia="Malgun Gothic"/>
                <w:lang w:eastAsia="ko-KR"/>
              </w:rPr>
              <w:t>Option 1</w:t>
            </w:r>
            <w:r>
              <w:rPr>
                <w:rFonts w:eastAsia="Malgun Gothic"/>
                <w:lang w:eastAsia="ko-KR"/>
              </w:rPr>
              <w:t xml:space="preserve"> is preferred for more robust operation.</w:t>
            </w:r>
          </w:p>
        </w:tc>
      </w:tr>
      <w:tr w:rsidR="008F2A32" w14:paraId="35A1CC0C" w14:textId="77777777" w:rsidTr="007D5156">
        <w:tc>
          <w:tcPr>
            <w:tcW w:w="1838" w:type="dxa"/>
          </w:tcPr>
          <w:p w14:paraId="70F0F27A" w14:textId="1B1DCB1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6932290" w14:textId="3E59E6E8" w:rsidR="008F2A32" w:rsidRPr="008F2A32" w:rsidRDefault="008F2A32" w:rsidP="0095675B">
            <w:pPr>
              <w:rPr>
                <w:rFonts w:eastAsiaTheme="minorEastAsia"/>
                <w:lang w:eastAsia="zh-CN"/>
              </w:rPr>
            </w:pPr>
            <w:r>
              <w:rPr>
                <w:rFonts w:eastAsiaTheme="minorEastAsia" w:hint="eastAsia"/>
                <w:lang w:eastAsia="zh-CN"/>
              </w:rPr>
              <w:t xml:space="preserve">Option1 </w:t>
            </w:r>
            <w:r>
              <w:rPr>
                <w:rFonts w:eastAsiaTheme="minorEastAsia"/>
                <w:lang w:eastAsia="zh-CN"/>
              </w:rPr>
              <w:t>is preferred</w:t>
            </w:r>
          </w:p>
        </w:tc>
      </w:tr>
    </w:tbl>
    <w:p w14:paraId="2A961563" w14:textId="42657C67" w:rsidR="00105DDD" w:rsidRDefault="00105DDD" w:rsidP="004F4F0F">
      <w:pPr>
        <w:spacing w:after="180"/>
        <w:rPr>
          <w:rFonts w:eastAsia="宋体"/>
          <w:szCs w:val="20"/>
          <w:lang w:eastAsia="zh-CN"/>
        </w:rPr>
      </w:pPr>
    </w:p>
    <w:p w14:paraId="3557909D" w14:textId="2CB32A25" w:rsidR="0020134B" w:rsidRDefault="0020134B" w:rsidP="004F4F0F">
      <w:pPr>
        <w:spacing w:after="180"/>
        <w:rPr>
          <w:rFonts w:eastAsia="宋体"/>
          <w:szCs w:val="20"/>
          <w:lang w:eastAsia="zh-CN"/>
        </w:rPr>
      </w:pPr>
      <w:r>
        <w:rPr>
          <w:rFonts w:eastAsia="宋体"/>
          <w:szCs w:val="20"/>
          <w:lang w:eastAsia="zh-CN"/>
        </w:rPr>
        <w:t>G</w:t>
      </w:r>
      <w:r>
        <w:rPr>
          <w:rFonts w:eastAsia="宋体" w:hint="eastAsia"/>
          <w:szCs w:val="20"/>
          <w:lang w:eastAsia="zh-CN"/>
        </w:rPr>
        <w:t xml:space="preserve">iven </w:t>
      </w:r>
      <w:r>
        <w:rPr>
          <w:rFonts w:eastAsia="宋体"/>
          <w:szCs w:val="20"/>
          <w:lang w:eastAsia="zh-CN"/>
        </w:rPr>
        <w:t>majority for companies prefer option 1, following is proposed:</w:t>
      </w:r>
    </w:p>
    <w:p w14:paraId="702AA25A" w14:textId="57E1BC58" w:rsidR="0020134B" w:rsidRDefault="0020134B" w:rsidP="004F4F0F">
      <w:pPr>
        <w:spacing w:after="180"/>
        <w:rPr>
          <w:rFonts w:eastAsia="宋体" w:hint="eastAsia"/>
          <w:szCs w:val="20"/>
          <w:lang w:eastAsia="zh-CN"/>
        </w:rPr>
      </w:pPr>
      <w:r w:rsidRPr="0020134B">
        <w:rPr>
          <w:rFonts w:eastAsia="宋体"/>
          <w:szCs w:val="20"/>
          <w:highlight w:val="yellow"/>
          <w:lang w:eastAsia="zh-CN"/>
        </w:rPr>
        <w:t>Proposal: agree on following TP</w:t>
      </w:r>
    </w:p>
    <w:p w14:paraId="18CB0338" w14:textId="77777777" w:rsidR="0020134B" w:rsidRDefault="0020134B" w:rsidP="0020134B">
      <w:r>
        <w:t>===================== Start of TP for TS 38.213 ==========================</w:t>
      </w:r>
    </w:p>
    <w:p w14:paraId="3F47472C" w14:textId="77777777" w:rsidR="0020134B" w:rsidRPr="006B6EDE" w:rsidRDefault="0020134B" w:rsidP="0020134B">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2C8235EE" w14:textId="77777777" w:rsidR="0020134B" w:rsidRDefault="0020134B" w:rsidP="0020134B">
      <w:r>
        <w:t>================== Unchanged Texts Omitted ================</w:t>
      </w:r>
    </w:p>
    <w:p w14:paraId="1A5BC83A" w14:textId="77777777" w:rsidR="0020134B" w:rsidRDefault="0020134B" w:rsidP="0020134B">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4E1D079A" w14:textId="77777777" w:rsidR="0020134B" w:rsidRPr="00E75F43" w:rsidRDefault="0020134B" w:rsidP="0020134B">
      <w:pPr>
        <w:rPr>
          <w:iCs/>
          <w:color w:val="FF0000"/>
        </w:rPr>
      </w:pPr>
      <w:commentRangeStart w:id="3"/>
      <w:r w:rsidRPr="00E75F43">
        <w:rPr>
          <w:iCs/>
          <w:color w:val="FF0000"/>
        </w:rPr>
        <w:lastRenderedPageBreak/>
        <w:t>(Option 1)</w:t>
      </w:r>
      <w:commentRangeEnd w:id="3"/>
      <w:r>
        <w:rPr>
          <w:rStyle w:val="a8"/>
        </w:rPr>
        <w:commentReference w:id="3"/>
      </w:r>
      <w:r w:rsidRPr="00E75F43">
        <w:rPr>
          <w:iCs/>
          <w:color w:val="FF0000"/>
        </w:rPr>
        <w:t xml:space="preserve">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C4222C9" w14:textId="77777777" w:rsidR="0020134B" w:rsidRPr="00D26445" w:rsidRDefault="0020134B" w:rsidP="0020134B">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403D77B9" w14:textId="77777777" w:rsidR="0020134B" w:rsidRPr="00D26445" w:rsidRDefault="0020134B" w:rsidP="0020134B">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1126D40B" w14:textId="77777777" w:rsidR="0020134B" w:rsidRDefault="0020134B" w:rsidP="0020134B">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9A169B0" w14:textId="77777777" w:rsidR="0020134B" w:rsidRDefault="0020134B" w:rsidP="0020134B">
      <w:r>
        <w:t>============ Unchanged Texts Omitted ================</w:t>
      </w:r>
    </w:p>
    <w:p w14:paraId="6060478C" w14:textId="77777777" w:rsidR="0020134B" w:rsidRPr="00031948" w:rsidRDefault="0020134B" w:rsidP="0020134B">
      <w:pPr>
        <w:spacing w:after="180"/>
        <w:rPr>
          <w:rFonts w:eastAsia="宋体"/>
          <w:szCs w:val="20"/>
          <w:lang w:eastAsia="zh-CN"/>
        </w:rPr>
      </w:pPr>
      <w:r>
        <w:t>=============== End of TP for TS 38.213 ============================</w:t>
      </w:r>
    </w:p>
    <w:p w14:paraId="3D0F23C2" w14:textId="77777777" w:rsidR="00C85CA0" w:rsidRPr="0020134B"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宋体"/>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宋体"/>
                <w:lang w:eastAsia="zh-CN"/>
              </w:rPr>
            </w:pPr>
            <w:r>
              <w:rPr>
                <w:rFonts w:eastAsia="宋体"/>
                <w:lang w:eastAsia="zh-CN"/>
              </w:rPr>
              <w:t>Ericsson</w:t>
            </w:r>
          </w:p>
        </w:tc>
        <w:tc>
          <w:tcPr>
            <w:tcW w:w="7222" w:type="dxa"/>
          </w:tcPr>
          <w:p w14:paraId="1CC4915D" w14:textId="38C6B49E" w:rsidR="00753296" w:rsidRDefault="00753296" w:rsidP="00D739FB">
            <w:r>
              <w:t xml:space="preserve">Same comment as </w:t>
            </w:r>
            <w:proofErr w:type="spellStart"/>
            <w:r>
              <w:t>Hauwei</w:t>
            </w:r>
            <w:proofErr w:type="spellEnd"/>
            <w:r>
              <w:t xml:space="preserve">. Wasn’t the proposal to discuss if a DCI scheduling multiple PUSCHs can be used to activate/deactivate/or trigger retransmission for configured CG? </w:t>
            </w:r>
            <w:proofErr w:type="gramStart"/>
            <w:r>
              <w:t>this</w:t>
            </w:r>
            <w:proofErr w:type="gramEnd"/>
            <w:r>
              <w:t xml:space="preserve">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Malgun Gothic"/>
                <w:lang w:eastAsia="ko-KR"/>
              </w:rPr>
            </w:pPr>
            <w:r>
              <w:rPr>
                <w:rFonts w:eastAsia="Malgun Gothic" w:hint="eastAsia"/>
                <w:lang w:eastAsia="ko-KR"/>
              </w:rPr>
              <w:t>Samsung</w:t>
            </w:r>
          </w:p>
        </w:tc>
        <w:tc>
          <w:tcPr>
            <w:tcW w:w="7222" w:type="dxa"/>
          </w:tcPr>
          <w:p w14:paraId="5E58D406" w14:textId="212551C0" w:rsidR="0052662E" w:rsidRPr="0052662E" w:rsidRDefault="0052662E" w:rsidP="00D739FB">
            <w:pPr>
              <w:rPr>
                <w:rFonts w:eastAsia="Malgun Gothic"/>
                <w:lang w:eastAsia="ko-KR"/>
              </w:rPr>
            </w:pPr>
            <w:r>
              <w:rPr>
                <w:rFonts w:eastAsia="Malgun Gothic" w:hint="eastAsia"/>
                <w:lang w:eastAsia="ko-KR"/>
              </w:rPr>
              <w:t>Support the TP</w:t>
            </w:r>
          </w:p>
        </w:tc>
      </w:tr>
      <w:tr w:rsidR="008F2A32" w14:paraId="6B1B1A62" w14:textId="77777777" w:rsidTr="002D5514">
        <w:tc>
          <w:tcPr>
            <w:tcW w:w="1838" w:type="dxa"/>
          </w:tcPr>
          <w:p w14:paraId="6BB94C15" w14:textId="09D00A35" w:rsidR="008F2A32" w:rsidRPr="008F2A32" w:rsidRDefault="008F2A32" w:rsidP="00D739FB">
            <w:pPr>
              <w:rPr>
                <w:rFonts w:eastAsiaTheme="minorEastAsia"/>
                <w:lang w:eastAsia="zh-CN"/>
              </w:rPr>
            </w:pPr>
            <w:r>
              <w:rPr>
                <w:rFonts w:eastAsiaTheme="minorEastAsia" w:hint="eastAsia"/>
                <w:lang w:eastAsia="zh-CN"/>
              </w:rPr>
              <w:t>vivo</w:t>
            </w:r>
          </w:p>
        </w:tc>
        <w:tc>
          <w:tcPr>
            <w:tcW w:w="7222" w:type="dxa"/>
          </w:tcPr>
          <w:p w14:paraId="3EA8C1AF" w14:textId="29B0C8A5" w:rsidR="008F2A32" w:rsidRPr="008F2A32" w:rsidRDefault="008F2A32" w:rsidP="00D739F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TP</w:t>
            </w:r>
          </w:p>
        </w:tc>
      </w:tr>
    </w:tbl>
    <w:p w14:paraId="34D77D7A" w14:textId="77777777" w:rsidR="0020134B" w:rsidRDefault="0020134B" w:rsidP="00C85CA0">
      <w:pPr>
        <w:snapToGrid w:val="0"/>
        <w:spacing w:beforeLines="50" w:before="120" w:afterLines="50"/>
        <w:rPr>
          <w:rFonts w:eastAsiaTheme="minorEastAsia"/>
          <w:sz w:val="21"/>
          <w:szCs w:val="21"/>
          <w:lang w:eastAsia="zh-CN"/>
        </w:rPr>
      </w:pPr>
    </w:p>
    <w:p w14:paraId="64058E7B" w14:textId="1563E867" w:rsidR="00C85CA0" w:rsidRPr="00431814" w:rsidRDefault="0020134B" w:rsidP="00C85CA0">
      <w:pPr>
        <w:snapToGrid w:val="0"/>
        <w:spacing w:beforeLines="50" w:before="120" w:afterLines="50"/>
        <w:rPr>
          <w:rFonts w:eastAsiaTheme="minorEastAsia" w:hint="eastAsia"/>
          <w:sz w:val="21"/>
          <w:szCs w:val="21"/>
          <w:lang w:eastAsia="zh-CN"/>
        </w:rPr>
      </w:pPr>
      <w:r w:rsidRPr="0020134B">
        <w:rPr>
          <w:rFonts w:eastAsiaTheme="minorEastAsia" w:hint="eastAsia"/>
          <w:sz w:val="21"/>
          <w:szCs w:val="21"/>
          <w:highlight w:val="yellow"/>
          <w:lang w:eastAsia="zh-CN"/>
        </w:rPr>
        <w:t xml:space="preserve">Given majority of companies support the TP, and </w:t>
      </w:r>
      <w:r w:rsidRPr="0020134B">
        <w:rPr>
          <w:rFonts w:eastAsiaTheme="minorEastAsia"/>
          <w:sz w:val="21"/>
          <w:szCs w:val="21"/>
          <w:highlight w:val="yellow"/>
          <w:lang w:eastAsia="zh-CN"/>
        </w:rPr>
        <w:t>ha</w:t>
      </w:r>
      <w:r w:rsidRPr="0020134B">
        <w:rPr>
          <w:rFonts w:eastAsiaTheme="minorEastAsia" w:hint="eastAsia"/>
          <w:sz w:val="21"/>
          <w:szCs w:val="21"/>
          <w:highlight w:val="yellow"/>
          <w:lang w:eastAsia="zh-CN"/>
        </w:rPr>
        <w:t>s been coordinated with HARQ FL (</w:t>
      </w:r>
      <w:r w:rsidRPr="0020134B">
        <w:rPr>
          <w:rFonts w:eastAsiaTheme="minorEastAsia"/>
          <w:sz w:val="21"/>
          <w:szCs w:val="21"/>
          <w:highlight w:val="yellow"/>
          <w:lang w:eastAsia="zh-CN"/>
        </w:rPr>
        <w:t>David</w:t>
      </w:r>
      <w:r w:rsidRPr="0020134B">
        <w:rPr>
          <w:rFonts w:eastAsiaTheme="minorEastAsia" w:hint="eastAsia"/>
          <w:sz w:val="21"/>
          <w:szCs w:val="21"/>
          <w:highlight w:val="yellow"/>
          <w:lang w:eastAsia="zh-CN"/>
        </w:rPr>
        <w:t>)</w:t>
      </w:r>
      <w:r w:rsidRPr="0020134B">
        <w:rPr>
          <w:rFonts w:eastAsiaTheme="minorEastAsia"/>
          <w:sz w:val="21"/>
          <w:szCs w:val="21"/>
          <w:highlight w:val="yellow"/>
          <w:lang w:eastAsia="zh-CN"/>
        </w:rPr>
        <w:t>, thus it is proposed to agree on the TP</w:t>
      </w:r>
    </w:p>
    <w:p w14:paraId="368827EC" w14:textId="77777777" w:rsidR="00C85CA0" w:rsidRPr="005E7437" w:rsidRDefault="00C85CA0" w:rsidP="004F4F0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a0"/>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10"/>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AMRAKAR RAKESH" w:date="2020-08-18T22:12:00Z" w:initials="TR">
    <w:p w14:paraId="37ACA804" w14:textId="4AE54054" w:rsidR="0020134B" w:rsidRPr="0020134B" w:rsidRDefault="0020134B">
      <w:pPr>
        <w:pStyle w:val="a9"/>
        <w:rPr>
          <w:rFonts w:eastAsiaTheme="minorEastAsia" w:hint="eastAsia"/>
          <w:lang w:eastAsia="zh-CN"/>
        </w:rPr>
      </w:pPr>
      <w:r>
        <w:rPr>
          <w:rStyle w:val="a8"/>
        </w:rPr>
        <w:annotationRef/>
      </w:r>
      <w:r>
        <w:rPr>
          <w:rFonts w:eastAsiaTheme="minorEastAsia"/>
          <w:lang w:eastAsia="zh-CN"/>
        </w:rPr>
        <w:t>T</w:t>
      </w:r>
      <w:r>
        <w:rPr>
          <w:rFonts w:eastAsiaTheme="minorEastAsia" w:hint="eastAsia"/>
          <w:lang w:eastAsia="zh-CN"/>
        </w:rPr>
        <w:t xml:space="preserve">his </w:t>
      </w:r>
      <w:r>
        <w:rPr>
          <w:rFonts w:eastAsiaTheme="minorEastAsia"/>
          <w:lang w:eastAsia="zh-CN"/>
        </w:rPr>
        <w:t>will be removed in final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CA8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ECB63" w14:textId="77777777" w:rsidR="0012320D" w:rsidRDefault="0012320D">
      <w:r>
        <w:separator/>
      </w:r>
    </w:p>
  </w:endnote>
  <w:endnote w:type="continuationSeparator" w:id="0">
    <w:p w14:paraId="6ED1888F" w14:textId="77777777" w:rsidR="0012320D" w:rsidRDefault="0012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5DAFB" w14:textId="77777777" w:rsidR="0012320D" w:rsidRDefault="0012320D">
      <w:r>
        <w:separator/>
      </w:r>
    </w:p>
  </w:footnote>
  <w:footnote w:type="continuationSeparator" w:id="0">
    <w:p w14:paraId="4CC2A6BD" w14:textId="77777777" w:rsidR="0012320D" w:rsidRDefault="0012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20D"/>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34B"/>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396"/>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546"/>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0AE"/>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32"/>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56F3"/>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0B12-32EA-485C-AC32-C6EA8145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2709</Words>
  <Characters>15442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4</cp:revision>
  <cp:lastPrinted>2011-08-03T09:36:00Z</cp:lastPrinted>
  <dcterms:created xsi:type="dcterms:W3CDTF">2020-08-18T14:02:00Z</dcterms:created>
  <dcterms:modified xsi:type="dcterms:W3CDTF">2020-08-18T14:16:00Z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