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6.7pt" o:ole="">
                  <v:imagedata r:id="rId13" o:title=""/>
                </v:shape>
                <o:OLEObject Type="Embed" ProgID="Equation.3" ShapeID="_x0000_i1025" DrawAspect="Content" ObjectID="_1659214048"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3.8pt;height:16.7pt" o:ole="">
                  <v:imagedata r:id="rId13" o:title=""/>
                </v:shape>
                <o:OLEObject Type="Embed" ProgID="Equation.3" ShapeID="_x0000_i1026" DrawAspect="Content" ObjectID="_1659214049"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lastRenderedPageBreak/>
        <w:t>Views in the preparation phase of RAN1#102e are summarized below:</w:t>
      </w:r>
    </w:p>
    <w:p w14:paraId="5606013C" w14:textId="687519C2"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p>
    <w:p w14:paraId="3F6A34B7" w14:textId="7777777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p>
    <w:p w14:paraId="023F6B5A" w14:textId="77777777" w:rsidR="000278FD" w:rsidRPr="004F1B72" w:rsidRDefault="000278FD" w:rsidP="00D544F1"/>
    <w:p w14:paraId="191EBB53"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 xml:space="preserve">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w:t>
            </w:r>
            <w:r w:rsidRPr="009D353A">
              <w:rPr>
                <w:sz w:val="20"/>
              </w:rPr>
              <w:lastRenderedPageBreak/>
              <w:t>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lastRenderedPageBreak/>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68"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69" w:author="Huawei" w:date="2020-07-30T11:57:00Z">
              <w:r>
                <w:t xml:space="preserve">initially </w:t>
              </w:r>
            </w:ins>
            <w:r>
              <w:t xml:space="preserve">assigned to be transmitted on a resource ending before the start of a different resource for the HARQ-ACK </w:t>
            </w:r>
            <w:ins w:id="70"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05pt;height:18.45pt" o:ole="">
                  <v:imagedata r:id="rId21" o:title=""/>
                </v:shape>
                <o:OLEObject Type="Embed" ProgID="Equation.DSMT4" ShapeID="_x0000_i1027" DrawAspect="Content" ObjectID="_1659214050" r:id="rId22"/>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68"/>
            <w:r>
              <w:rPr>
                <w:lang w:eastAsia="zh-CN"/>
              </w:rPr>
              <w:t xml:space="preserve">In a given scheduled cell, the UE is not expected to receive a first PDSCH, and a second PDSCH, starting later than the first PDSCH, with its corresponding HARQ-ACK </w:t>
            </w:r>
            <w:ins w:id="71" w:author="Huawei" w:date="2020-07-30T11:57:00Z">
              <w:r>
                <w:rPr>
                  <w:lang w:eastAsia="zh-CN"/>
                </w:rPr>
                <w:t xml:space="preserve">initially </w:t>
              </w:r>
            </w:ins>
            <w:r>
              <w:rPr>
                <w:lang w:eastAsia="zh-CN"/>
              </w:rPr>
              <w:t>assigned to be transmitted on a resource ending before the start of a different resource for the HARQ-ACK</w:t>
            </w:r>
            <w:ins w:id="72"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xml:space="preserve"> there seems to be no consensus to discuss a correction or clarification on the UE behaviour for this issue, but it may be good to </w:t>
            </w:r>
            <w:r w:rsidRPr="004F1B72">
              <w:rPr>
                <w:rFonts w:ascii="Calibri" w:hAnsi="Calibri" w:cs="Calibri"/>
                <w:color w:val="000000"/>
                <w:sz w:val="24"/>
                <w:szCs w:val="24"/>
                <w:lang w:eastAsia="zh-CN"/>
              </w:rPr>
              <w:lastRenderedPageBreak/>
              <w:t>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am not really proposing to have an email discussion on C3 and C4. Nokia 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C4 should actually be rather straightforward because considering it as an OOO case would imply that the enhanced HARQ codebook cannot be used for its intended purpose. Karol may see this as a Huawei view but I think it </w:t>
            </w:r>
            <w:r w:rsidRPr="002C32A7">
              <w:rPr>
                <w:rFonts w:ascii="Calibri" w:hAnsi="Calibri" w:cs="Calibri"/>
                <w:color w:val="000000"/>
                <w:sz w:val="24"/>
                <w:szCs w:val="24"/>
                <w:lang w:eastAsia="zh-CN"/>
              </w:rPr>
              <w:lastRenderedPageBreak/>
              <w:t>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Thanks to Huifa for the feedback on issue C4. To keep the discussion in one thread, I have copied below again the two statements on C3 and C4 to see if this is the common 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Or, it depends how do you interpret  “HARQ-ACK assigned to be transmitted”. In </w:t>
            </w:r>
            <w:r w:rsidRPr="002E5EB0">
              <w:rPr>
                <w:rFonts w:ascii="Calibri" w:hAnsi="Calibri" w:cs="Calibri"/>
                <w:color w:val="000000"/>
                <w:lang w:eastAsia="zh-CN"/>
              </w:rPr>
              <w:lastRenderedPageBreak/>
              <w:t>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lastRenderedPageBreak/>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Sukchel: And on the above Case 2, as an example to avoid such OOO situation, the gNB could select a numerical K1 (rather than NNK1) pointing to the same slot with SPS PUCCH transmission or a slot in between SPS PDSCH slot and SPS </w:t>
            </w:r>
            <w:r w:rsidRPr="002E5EB0">
              <w:rPr>
                <w:rFonts w:ascii="Malgun Gothic" w:eastAsia="Malgun Gothic" w:hAnsi="Malgun Gothic" w:hint="eastAsia"/>
                <w:color w:val="1F497D"/>
                <w:sz w:val="20"/>
                <w:szCs w:val="20"/>
                <w:lang w:eastAsia="zh-CN"/>
              </w:rPr>
              <w:lastRenderedPageBreak/>
              <w:t>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lastRenderedPageBreak/>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73" w:author="Hao2" w:date="2020-08-17T12:22:00Z">
              <w:r>
                <w:rPr>
                  <w:rFonts w:hint="eastAsia"/>
                  <w:sz w:val="20"/>
                  <w:szCs w:val="20"/>
                </w:rPr>
                <w:lastRenderedPageBreak/>
                <w:t>OPPO</w:t>
              </w:r>
            </w:ins>
          </w:p>
        </w:tc>
        <w:tc>
          <w:tcPr>
            <w:tcW w:w="7752" w:type="dxa"/>
          </w:tcPr>
          <w:p w14:paraId="6A1BE9EE" w14:textId="77777777" w:rsidR="00FB23BE" w:rsidRDefault="00C433FF" w:rsidP="002F69E9">
            <w:pPr>
              <w:rPr>
                <w:ins w:id="74" w:author="Hao2" w:date="2020-08-17T12:26:00Z"/>
                <w:sz w:val="20"/>
              </w:rPr>
            </w:pPr>
            <w:ins w:id="75" w:author="Hao2" w:date="2020-08-17T12:22:00Z">
              <w:r>
                <w:rPr>
                  <w:rFonts w:hint="eastAsia"/>
                  <w:sz w:val="20"/>
                </w:rPr>
                <w:t>W</w:t>
              </w:r>
              <w:r>
                <w:rPr>
                  <w:sz w:val="20"/>
                </w:rPr>
                <w:t xml:space="preserve">e have expressed our views on this issue in the last meeting. To us, the NNK1 is a special feature in NRU and a UE who supports </w:t>
              </w:r>
            </w:ins>
            <w:ins w:id="76" w:author="Hao2" w:date="2020-08-17T12:23:00Z">
              <w:r>
                <w:rPr>
                  <w:sz w:val="20"/>
                </w:rPr>
                <w:t xml:space="preserve">NNK1 should be able to handle the </w:t>
              </w:r>
            </w:ins>
            <w:ins w:id="77" w:author="Hao2" w:date="2020-08-17T12:24:00Z">
              <w:r>
                <w:rPr>
                  <w:sz w:val="20"/>
                </w:rPr>
                <w:t>C</w:t>
              </w:r>
            </w:ins>
            <w:ins w:id="78" w:author="Hao2" w:date="2020-08-17T12:23:00Z">
              <w:r>
                <w:rPr>
                  <w:sz w:val="20"/>
                </w:rPr>
                <w:t xml:space="preserve">3 and C4. Whatever these two cases are called, OOO or not, in our understanding, the UE </w:t>
              </w:r>
            </w:ins>
            <w:ins w:id="79" w:author="Hao2" w:date="2020-08-17T12:24:00Z">
              <w:r>
                <w:rPr>
                  <w:sz w:val="20"/>
                </w:rPr>
                <w:t xml:space="preserve">should be expected to handle these. We don’t see why a UE who can handle C4-case 2 but cannot handle C3. As we have explained in the last meeting, the </w:t>
              </w:r>
            </w:ins>
            <w:ins w:id="80"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81" w:author="Hao2" w:date="2020-08-17T12:26:00Z"/>
                <w:sz w:val="20"/>
              </w:rPr>
            </w:pPr>
          </w:p>
          <w:p w14:paraId="3A03CF37" w14:textId="77777777" w:rsidR="00C433FF" w:rsidRDefault="00C433FF" w:rsidP="002F69E9">
            <w:pPr>
              <w:rPr>
                <w:ins w:id="82" w:author="Hao2" w:date="2020-08-17T12:26:00Z"/>
                <w:sz w:val="20"/>
              </w:rPr>
            </w:pPr>
            <w:ins w:id="83" w:author="Hao2" w:date="2020-08-17T12:26:00Z">
              <w:r>
                <w:rPr>
                  <w:sz w:val="20"/>
                </w:rPr>
                <w:t xml:space="preserve">The conclusion of our view is that </w:t>
              </w:r>
            </w:ins>
          </w:p>
          <w:p w14:paraId="12AB94F4" w14:textId="77777777" w:rsidR="00C433FF" w:rsidRDefault="00C433FF" w:rsidP="00C433FF">
            <w:pPr>
              <w:rPr>
                <w:ins w:id="84" w:author="Hao2" w:date="2020-08-17T12:27:00Z"/>
                <w:sz w:val="20"/>
              </w:rPr>
            </w:pPr>
            <w:ins w:id="85" w:author="Hao2" w:date="2020-08-17T12:27:00Z">
              <w:r>
                <w:rPr>
                  <w:sz w:val="20"/>
                </w:rPr>
                <w:t xml:space="preserve">Option 1: </w:t>
              </w:r>
            </w:ins>
            <w:ins w:id="86" w:author="Hao2" w:date="2020-08-17T12:26:00Z">
              <w:r>
                <w:rPr>
                  <w:sz w:val="20"/>
                </w:rPr>
                <w:t xml:space="preserve">C3 and C4-case 1 and C4-case 2 are </w:t>
              </w:r>
            </w:ins>
            <w:ins w:id="87" w:author="Hao2" w:date="2020-08-17T12:27:00Z">
              <w:r>
                <w:rPr>
                  <w:sz w:val="20"/>
                </w:rPr>
                <w:t>all</w:t>
              </w:r>
            </w:ins>
            <w:ins w:id="88" w:author="Hao2" w:date="2020-08-17T12:26:00Z">
              <w:r>
                <w:rPr>
                  <w:sz w:val="20"/>
                </w:rPr>
                <w:t xml:space="preserve"> not OOO</w:t>
              </w:r>
            </w:ins>
            <w:ins w:id="89" w:author="Hao2" w:date="2020-08-17T12:27:00Z">
              <w:r>
                <w:rPr>
                  <w:sz w:val="20"/>
                </w:rPr>
                <w:t xml:space="preserve">. </w:t>
              </w:r>
            </w:ins>
          </w:p>
          <w:p w14:paraId="71FC2FEC" w14:textId="579C56E5" w:rsidR="00C433FF" w:rsidRPr="00BD4EE0" w:rsidRDefault="00C433FF" w:rsidP="00C433FF">
            <w:pPr>
              <w:rPr>
                <w:sz w:val="20"/>
              </w:rPr>
            </w:pPr>
            <w:ins w:id="90" w:author="Hao2" w:date="2020-08-17T12:27:00Z">
              <w:r>
                <w:rPr>
                  <w:sz w:val="20"/>
                </w:rPr>
                <w:t xml:space="preserve">Option 2: C3, C4-case 1 and C4-case 2 are all OOO, but an NRU UE who supports NNK1, is expected to handle this </w:t>
              </w:r>
            </w:ins>
            <w:ins w:id="91" w:author="Hao2" w:date="2020-08-17T12:28:00Z">
              <w:r>
                <w:rPr>
                  <w:sz w:val="20"/>
                </w:rPr>
                <w:t xml:space="preserve">OOO case. </w:t>
              </w:r>
            </w:ins>
          </w:p>
        </w:tc>
      </w:tr>
      <w:tr w:rsidR="00E02F30" w:rsidRPr="00AC3142" w14:paraId="0F06DD3A" w14:textId="77777777" w:rsidTr="000278FD">
        <w:trPr>
          <w:ins w:id="92" w:author="Karol Schober" w:date="2020-08-17T13:33:00Z"/>
        </w:trPr>
        <w:tc>
          <w:tcPr>
            <w:tcW w:w="1555" w:type="dxa"/>
          </w:tcPr>
          <w:p w14:paraId="4F804F8B" w14:textId="5550825B" w:rsidR="00E02F30" w:rsidRDefault="00E02F30" w:rsidP="00E02F30">
            <w:pPr>
              <w:spacing w:after="0"/>
              <w:jc w:val="left"/>
              <w:rPr>
                <w:ins w:id="93" w:author="Karol Schober" w:date="2020-08-17T13:33:00Z"/>
                <w:sz w:val="20"/>
                <w:szCs w:val="20"/>
              </w:rPr>
            </w:pPr>
            <w:ins w:id="94" w:author="Karol Schober" w:date="2020-08-17T13:33:00Z">
              <w:r>
                <w:rPr>
                  <w:sz w:val="20"/>
                  <w:szCs w:val="20"/>
                </w:rPr>
                <w:t>Nokia, NSB</w:t>
              </w:r>
            </w:ins>
          </w:p>
        </w:tc>
        <w:tc>
          <w:tcPr>
            <w:tcW w:w="7752" w:type="dxa"/>
          </w:tcPr>
          <w:p w14:paraId="0CA5C729" w14:textId="77777777" w:rsidR="00E02F30" w:rsidRDefault="00E02F30" w:rsidP="00E02F30">
            <w:pPr>
              <w:rPr>
                <w:ins w:id="95" w:author="Karol Schober" w:date="2020-08-17T13:33:00Z"/>
                <w:sz w:val="20"/>
              </w:rPr>
            </w:pPr>
            <w:ins w:id="96"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97" w:author="Karol Schober" w:date="2020-08-17T13:33:00Z"/>
                <w:sz w:val="20"/>
              </w:rPr>
            </w:pPr>
            <w:ins w:id="98" w:author="Karol Schober" w:date="2020-08-17T13:33:00Z">
              <w:r>
                <w:rPr>
                  <w:sz w:val="20"/>
                </w:rPr>
                <w:t>2) With respect to difference between C4 and C3. In my opinion</w:t>
              </w:r>
            </w:ins>
          </w:p>
          <w:p w14:paraId="0942B7BD" w14:textId="77777777" w:rsidR="00E02F30" w:rsidRDefault="00E02F30" w:rsidP="00E02F30">
            <w:pPr>
              <w:rPr>
                <w:ins w:id="99" w:author="Karol Schober" w:date="2020-08-17T13:33:00Z"/>
                <w:sz w:val="20"/>
              </w:rPr>
            </w:pPr>
          </w:p>
          <w:p w14:paraId="5F8F7A17" w14:textId="77777777" w:rsidR="00E02F30" w:rsidRDefault="00E02F30" w:rsidP="00E02F30">
            <w:pPr>
              <w:rPr>
                <w:ins w:id="100" w:author="Karol Schober" w:date="2020-08-17T13:33:00Z"/>
                <w:sz w:val="20"/>
              </w:rPr>
            </w:pPr>
            <w:ins w:id="101" w:author="Karol Schober" w:date="2020-08-17T13:33:00Z">
              <w:r>
                <w:rPr>
                  <w:sz w:val="20"/>
                </w:rPr>
                <w:t>in C4 OOO is caused by re-assignment of HARQ-ACK timing</w:t>
              </w:r>
            </w:ins>
          </w:p>
          <w:p w14:paraId="1E4BB98C" w14:textId="77777777" w:rsidR="00E02F30" w:rsidRDefault="00E02F30" w:rsidP="00E02F30">
            <w:pPr>
              <w:rPr>
                <w:ins w:id="102" w:author="Karol Schober" w:date="2020-08-17T13:33:00Z"/>
                <w:sz w:val="20"/>
              </w:rPr>
            </w:pPr>
            <w:ins w:id="103" w:author="Karol Schober" w:date="2020-08-17T13:33:00Z">
              <w:r>
                <w:rPr>
                  <w:sz w:val="20"/>
                </w:rPr>
                <w:t>in C3 OOO is caused by UE not receiving HARQ-ACK timing yet</w:t>
              </w:r>
            </w:ins>
          </w:p>
          <w:p w14:paraId="5A19E6A1" w14:textId="77777777" w:rsidR="00E02F30" w:rsidRDefault="00E02F30" w:rsidP="00E02F30">
            <w:pPr>
              <w:rPr>
                <w:ins w:id="104" w:author="Karol Schober" w:date="2020-08-17T13:33:00Z"/>
                <w:sz w:val="20"/>
              </w:rPr>
            </w:pPr>
          </w:p>
          <w:p w14:paraId="2EB1A63A" w14:textId="77777777" w:rsidR="00E02F30" w:rsidRDefault="00E02F30" w:rsidP="00E02F30">
            <w:pPr>
              <w:rPr>
                <w:ins w:id="105" w:author="Karol Schober" w:date="2020-08-17T13:33:00Z"/>
                <w:sz w:val="20"/>
              </w:rPr>
            </w:pPr>
            <w:ins w:id="106" w:author="Karol Schober" w:date="2020-08-17T13:33:00Z">
              <w:r>
                <w:rPr>
                  <w:sz w:val="20"/>
                </w:rPr>
                <w:t>In C3 Case 1 or Case 2,  at the time of first PUCCH,  first PDSCH has no HARQ-ACK timing, OOO is not broken, at the second PUCCH, OOO is broken due to DL SPS, which position cannot be dynamically influenced by gNB</w:t>
              </w:r>
            </w:ins>
          </w:p>
          <w:p w14:paraId="7042BC95" w14:textId="77777777" w:rsidR="00E02F30" w:rsidRDefault="00E02F30" w:rsidP="00E02F30">
            <w:pPr>
              <w:rPr>
                <w:ins w:id="107" w:author="Karol Schober" w:date="2020-08-17T13:33:00Z"/>
                <w:sz w:val="20"/>
              </w:rPr>
            </w:pPr>
            <w:ins w:id="108" w:author="Karol Schober" w:date="2020-08-17T13:33:00Z">
              <w:r>
                <w:rPr>
                  <w:sz w:val="20"/>
                </w:rPr>
                <w:t xml:space="preserve">In C4,  HARQ-ACK is re-assigned later on,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09" w:author="Karol Schober" w:date="2020-08-17T13:33:00Z"/>
                <w:sz w:val="20"/>
              </w:rPr>
            </w:pPr>
          </w:p>
          <w:p w14:paraId="63538625" w14:textId="77777777" w:rsidR="00E02F30" w:rsidRDefault="00E02F30" w:rsidP="00E02F30">
            <w:pPr>
              <w:rPr>
                <w:ins w:id="110" w:author="Karol Schober" w:date="2020-08-17T13:33:00Z"/>
                <w:sz w:val="20"/>
              </w:rPr>
            </w:pPr>
            <w:ins w:id="111"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12" w:author="Karol Schober" w:date="2020-08-17T13:33:00Z"/>
                <w:sz w:val="20"/>
              </w:rPr>
            </w:pPr>
          </w:p>
          <w:p w14:paraId="4C4F2271" w14:textId="77777777" w:rsidR="00E02F30" w:rsidRDefault="00E02F30" w:rsidP="00E02F30">
            <w:pPr>
              <w:rPr>
                <w:ins w:id="113" w:author="Karol Schober" w:date="2020-08-17T13:33:00Z"/>
                <w:sz w:val="20"/>
              </w:rPr>
            </w:pPr>
            <w:ins w:id="114" w:author="Karol Schober" w:date="2020-08-17T13:33:00Z">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15"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bookmarkStart w:id="116" w:name="_GoBack"/>
            <w:bookmarkEnd w:id="116"/>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zh-CN"/>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bl>
    <w:p w14:paraId="37AA8AE5" w14:textId="3F313D08"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249B8" w14:textId="77777777" w:rsidR="00A3000F" w:rsidRDefault="00A3000F">
      <w:r>
        <w:separator/>
      </w:r>
    </w:p>
  </w:endnote>
  <w:endnote w:type="continuationSeparator" w:id="0">
    <w:p w14:paraId="5B960930" w14:textId="77777777" w:rsidR="00A3000F" w:rsidRDefault="00A3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CEC0" w14:textId="77777777" w:rsidR="00A3000F" w:rsidRDefault="00A3000F">
      <w:r>
        <w:separator/>
      </w:r>
    </w:p>
  </w:footnote>
  <w:footnote w:type="continuationSeparator" w:id="0">
    <w:p w14:paraId="5C7AA52D" w14:textId="77777777" w:rsidR="00A3000F" w:rsidRDefault="00A30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David mazzarese">
    <w15:presenceInfo w15:providerId="AD" w15:userId="S-1-5-21-147214757-305610072-1517763936-888365"/>
  </w15:person>
  <w15:person w15:author="Huifa (Sharp)">
    <w15:presenceInfo w15:providerId="None" w15:userId="Huifa (Sharp)"/>
  </w15:person>
  <w15:person w15:author="Karol Schober">
    <w15:presenceInfo w15:providerId="None" w15:userId="Karol Schober"/>
  </w15:person>
  <w15:person w15:author="Huawei">
    <w15:presenceInfo w15:providerId="None" w15:userId="Huawei"/>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A0FD8364-0E88-4B23-8B4D-F104AD94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4589</Words>
  <Characters>26162</Characters>
  <Application>Microsoft Office Word</Application>
  <DocSecurity>0</DocSecurity>
  <Lines>218</Lines>
  <Paragraphs>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3</cp:revision>
  <cp:lastPrinted>2020-05-18T07:12:00Z</cp:lastPrinted>
  <dcterms:created xsi:type="dcterms:W3CDTF">2020-08-17T15:59:00Z</dcterms:created>
  <dcterms:modified xsi:type="dcterms:W3CDTF">2020-08-17T16:01:00Z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1597676646</vt:lpwstr>
  </property>
</Properties>
</file>