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 xml:space="preserve">Companies are invited to provide their comments on the TP in [2] using the table </w:t>
      </w:r>
      <w:r>
        <w:t>in section 2</w:t>
      </w:r>
      <w:r>
        <w:t>.</w:t>
      </w:r>
    </w:p>
    <w:p w14:paraId="170A57B7" w14:textId="77777777" w:rsidR="00D37453" w:rsidRPr="00AE4981" w:rsidRDefault="00D37453" w:rsidP="00BD0BCF"/>
    <w:p w14:paraId="13856D76" w14:textId="1B5E5A42" w:rsidR="003F2425" w:rsidRDefault="00A91F0C" w:rsidP="003F2425">
      <w:pPr>
        <w:pStyle w:val="Heading1"/>
        <w:spacing w:before="0" w:after="0"/>
      </w:pPr>
      <w:r>
        <w:t>Discussion on issue B18</w:t>
      </w:r>
    </w:p>
    <w:p w14:paraId="6D25ECB7" w14:textId="77777777" w:rsidR="004A0E39" w:rsidRDefault="004A0E39" w:rsidP="00456BE1">
      <w:bookmarkStart w:id="8" w:name="_GoBack"/>
      <w:bookmarkEnd w:id="8"/>
    </w:p>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9" w:name="_Toc12021480"/>
            <w:bookmarkStart w:id="10" w:name="_Toc20311592"/>
            <w:bookmarkStart w:id="11" w:name="_Toc26719417"/>
            <w:bookmarkStart w:id="12" w:name="_Toc29894852"/>
            <w:bookmarkStart w:id="13" w:name="_Toc29899151"/>
            <w:bookmarkStart w:id="14" w:name="_Toc29899569"/>
            <w:bookmarkStart w:id="15"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9"/>
            <w:bookmarkEnd w:id="10"/>
            <w:bookmarkEnd w:id="11"/>
            <w:bookmarkEnd w:id="12"/>
            <w:bookmarkEnd w:id="13"/>
            <w:bookmarkEnd w:id="14"/>
            <w:bookmarkEnd w:id="15"/>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6" w:name="_Hlk14280248"/>
            <m:oMath>
              <m:r>
                <w:rPr>
                  <w:rFonts w:ascii="Cambria Math"/>
                  <w:szCs w:val="20"/>
                  <w:lang w:val="x-none" w:eastAsia="x-none"/>
                </w:rPr>
                <m:t>μ</m:t>
              </m:r>
            </m:oMath>
            <w:bookmarkEnd w:id="16"/>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QC (it should be added at least in some parts since DCI requesting Type 3 w/o scheduling PDSCH uses same timeline as SPS release, i.e., it should be treated same as SPS release / Scell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Sharp (better to say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 ,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77777777" w:rsidR="00F43445" w:rsidRDefault="00F43445" w:rsidP="005F3470">
            <w:pPr>
              <w:jc w:val="left"/>
              <w:rPr>
                <w:sz w:val="20"/>
                <w:szCs w:val="20"/>
              </w:rPr>
            </w:pPr>
          </w:p>
        </w:tc>
        <w:tc>
          <w:tcPr>
            <w:tcW w:w="7796" w:type="dxa"/>
          </w:tcPr>
          <w:p w14:paraId="519D4F25" w14:textId="77777777" w:rsidR="00F43445" w:rsidRPr="005F3470" w:rsidRDefault="00F43445" w:rsidP="004A0E39">
            <w:pPr>
              <w:rPr>
                <w:rFonts w:eastAsiaTheme="minorEastAsia"/>
                <w:lang w:val="en-GB" w:eastAsia="zh-CN"/>
              </w:rPr>
            </w:pPr>
          </w:p>
        </w:tc>
      </w:tr>
    </w:tbl>
    <w:p w14:paraId="62F7210A" w14:textId="7F09DFFE"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E33E9" w14:textId="77777777" w:rsidR="0053536C" w:rsidRDefault="0053536C">
      <w:r>
        <w:separator/>
      </w:r>
    </w:p>
  </w:endnote>
  <w:endnote w:type="continuationSeparator" w:id="0">
    <w:p w14:paraId="411EFCBD" w14:textId="77777777" w:rsidR="0053536C" w:rsidRDefault="0053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080F3" w14:textId="77777777" w:rsidR="0053536C" w:rsidRDefault="0053536C">
      <w:r>
        <w:separator/>
      </w:r>
    </w:p>
  </w:footnote>
  <w:footnote w:type="continuationSeparator" w:id="0">
    <w:p w14:paraId="20F489A2" w14:textId="77777777" w:rsidR="0053536C" w:rsidRDefault="00535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36C"/>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6.xml><?xml version="1.0" encoding="utf-8"?>
<ds:datastoreItem xmlns:ds="http://schemas.openxmlformats.org/officeDocument/2006/customXml" ds:itemID="{4D3EC6A7-C134-4E93-94A8-079BD025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1274</Words>
  <Characters>7263</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13</cp:revision>
  <cp:lastPrinted>2020-05-18T07:12:00Z</cp:lastPrinted>
  <dcterms:created xsi:type="dcterms:W3CDTF">2020-08-14T09:48:00Z</dcterms:created>
  <dcterms:modified xsi:type="dcterms:W3CDTF">2020-08-17T02:40:00Z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1597631443</vt:lpwstr>
  </property>
</Properties>
</file>