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96F4" w14:textId="77777777" w:rsidR="00CD30E9" w:rsidRPr="00E83204" w:rsidRDefault="00114EEC">
      <w:pPr>
        <w:tabs>
          <w:tab w:val="center" w:pos="4536"/>
          <w:tab w:val="right" w:pos="9639"/>
        </w:tabs>
        <w:spacing w:after="0"/>
        <w:rPr>
          <w:rFonts w:ascii="Arial" w:hAnsi="Arial" w:cs="Arial"/>
          <w:b/>
          <w:bCs/>
          <w:sz w:val="24"/>
          <w:szCs w:val="24"/>
          <w:lang w:val="de-DE"/>
        </w:rPr>
      </w:pPr>
      <w:r w:rsidRPr="00E83204">
        <w:rPr>
          <w:rFonts w:ascii="Arial" w:hAnsi="Arial" w:cs="Arial"/>
          <w:b/>
          <w:bCs/>
          <w:sz w:val="24"/>
          <w:szCs w:val="24"/>
          <w:lang w:val="de-DE"/>
        </w:rPr>
        <w:t>3GPP TSG RAN WG1 #102-e</w:t>
      </w:r>
      <w:r w:rsidRPr="00E83204">
        <w:rPr>
          <w:rFonts w:ascii="Arial" w:hAnsi="Arial" w:cs="Arial"/>
          <w:b/>
          <w:bCs/>
          <w:sz w:val="24"/>
          <w:szCs w:val="24"/>
          <w:lang w:val="de-DE"/>
        </w:rPr>
        <w:tab/>
        <w:t xml:space="preserve">         </w:t>
      </w:r>
      <w:r w:rsidRPr="00E83204">
        <w:rPr>
          <w:rFonts w:ascii="Arial" w:hAnsi="Arial" w:cs="Arial"/>
          <w:b/>
          <w:bCs/>
          <w:sz w:val="24"/>
          <w:szCs w:val="24"/>
          <w:lang w:val="de-DE"/>
        </w:rPr>
        <w:tab/>
        <w:t xml:space="preserve"> R1- 200</w:t>
      </w:r>
      <w:r w:rsidRPr="00E83204">
        <w:rPr>
          <w:rFonts w:ascii="Arial" w:hAnsi="Arial" w:cs="Arial"/>
          <w:b/>
          <w:bCs/>
          <w:sz w:val="24"/>
          <w:szCs w:val="24"/>
          <w:highlight w:val="yellow"/>
          <w:lang w:val="de-DE"/>
        </w:rPr>
        <w:t>XXXX</w:t>
      </w:r>
    </w:p>
    <w:p w14:paraId="343EFCA3" w14:textId="77777777" w:rsidR="00CD30E9" w:rsidRDefault="00114EEC">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Heading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ListParagraph"/>
        <w:ind w:left="360"/>
        <w:contextualSpacing w:val="0"/>
        <w:rPr>
          <w:rFonts w:ascii="Times" w:hAnsi="Times" w:cs="Times"/>
          <w:sz w:val="20"/>
          <w:szCs w:val="20"/>
          <w:lang w:val="en-GB" w:eastAsia="en-US"/>
        </w:rPr>
      </w:pPr>
    </w:p>
    <w:p w14:paraId="3E3946C9" w14:textId="77777777" w:rsidR="00CD30E9" w:rsidRDefault="00114EEC">
      <w:pPr>
        <w:jc w:val="both"/>
      </w:pPr>
      <w:r>
        <w:t xml:space="preserve">This contribution summarizes the discussion and collects companies’ views. </w:t>
      </w:r>
    </w:p>
    <w:p w14:paraId="365D5C12" w14:textId="77777777" w:rsidR="00CD30E9" w:rsidRDefault="00CD30E9">
      <w:pPr>
        <w:jc w:val="both"/>
      </w:pPr>
    </w:p>
    <w:p w14:paraId="36A1EA38" w14:textId="77777777" w:rsidR="00CD30E9" w:rsidRDefault="00114EEC">
      <w:pPr>
        <w:pStyle w:val="Heading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BodyText"/>
              <w:rPr>
                <w:lang w:val="en-US"/>
              </w:rPr>
            </w:pPr>
            <w:r>
              <w:rPr>
                <w:lang w:val="en-US"/>
              </w:rPr>
              <w:t>Clarifications to UL to DL COT sharing</w:t>
            </w:r>
          </w:p>
        </w:tc>
        <w:tc>
          <w:tcPr>
            <w:tcW w:w="2268" w:type="dxa"/>
          </w:tcPr>
          <w:p w14:paraId="45FEA72C" w14:textId="77777777" w:rsidR="00CD30E9" w:rsidRDefault="00114EEC">
            <w:pPr>
              <w:pStyle w:val="BodyText"/>
              <w:rPr>
                <w:rFonts w:cs="Arial"/>
                <w:bCs/>
                <w:lang w:val="en-US" w:eastAsia="ja-JP"/>
              </w:rPr>
            </w:pPr>
            <w:r>
              <w:rPr>
                <w:rFonts w:cs="Arial"/>
                <w:bCs/>
                <w:lang w:val="en-US" w:eastAsia="ja-JP"/>
              </w:rPr>
              <w:t>R1-2005600 (p2)</w:t>
            </w:r>
          </w:p>
          <w:p w14:paraId="55601C26" w14:textId="77777777" w:rsidR="00CD30E9" w:rsidRDefault="00114EEC">
            <w:pPr>
              <w:pStyle w:val="BodyText"/>
              <w:rPr>
                <w:rFonts w:cs="Arial"/>
                <w:bCs/>
                <w:lang w:val="en-US" w:eastAsia="ja-JP"/>
              </w:rPr>
            </w:pPr>
            <w:r>
              <w:rPr>
                <w:rFonts w:cs="Arial"/>
                <w:bCs/>
                <w:lang w:val="en-US" w:eastAsia="ja-JP"/>
              </w:rPr>
              <w:t>R1-2006020 (p1)</w:t>
            </w:r>
          </w:p>
          <w:p w14:paraId="6324BD7C" w14:textId="77777777" w:rsidR="00CD30E9" w:rsidRDefault="00114EEC">
            <w:pPr>
              <w:pStyle w:val="BodyText"/>
              <w:rPr>
                <w:rFonts w:cs="Arial"/>
                <w:bCs/>
                <w:lang w:val="en-US" w:eastAsia="ja-JP"/>
              </w:rPr>
            </w:pPr>
            <w:r>
              <w:rPr>
                <w:rFonts w:cs="Arial"/>
                <w:bCs/>
                <w:lang w:val="en-US" w:eastAsia="ja-JP"/>
              </w:rPr>
              <w:t>R1-2006301 (p4)</w:t>
            </w:r>
          </w:p>
          <w:p w14:paraId="13863C87" w14:textId="77777777" w:rsidR="00CD30E9" w:rsidRDefault="00114EEC">
            <w:pPr>
              <w:pStyle w:val="BodyText"/>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contributions address the issue of ED threshold adaptation according to the agreement from RAN1#101e:</w:t>
      </w:r>
    </w:p>
    <w:p w14:paraId="6385877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bl>
      <w:tblPr>
        <w:tblStyle w:val="TableGrid"/>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SimSun" w:hAnsi="Times New Roman"/>
                <w:sz w:val="22"/>
                <w:szCs w:val="22"/>
                <w:lang w:val="en-US" w:eastAsia="ko-KR"/>
              </w:rPr>
            </w:pPr>
            <w:r>
              <w:rPr>
                <w:rFonts w:ascii="Times" w:eastAsia="Batang" w:hAnsi="Times"/>
                <w:kern w:val="2"/>
                <w:lang w:eastAsia="ko-KR"/>
              </w:rPr>
              <w:t xml:space="preserve">For at least PUSCH transmissions with configured grants, a UE </w:t>
            </w:r>
            <w:proofErr w:type="gramStart"/>
            <w:r>
              <w:rPr>
                <w:rFonts w:ascii="Times" w:eastAsia="Batang" w:hAnsi="Times"/>
                <w:kern w:val="2"/>
                <w:lang w:eastAsia="ko-KR"/>
              </w:rPr>
              <w:t>is allowed to</w:t>
            </w:r>
            <w:proofErr w:type="gramEnd"/>
            <w:r>
              <w:rPr>
                <w:rFonts w:ascii="Times" w:eastAsia="Batang" w:hAnsi="Times"/>
                <w:kern w:val="2"/>
                <w:lang w:eastAsia="ko-KR"/>
              </w:rPr>
              <w:t xml:space="preserve"> choose between the ED threshold given by ul-toDL-CO-SharingED-Threshold-r16 and the default one. Whether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BF34CCD" w14:textId="77777777" w:rsidR="00CD30E9" w:rsidRDefault="00114EEC">
      <w:pPr>
        <w:pStyle w:val="BodyText"/>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133F7C">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pt" equationxml="&lt;">
                  <v:imagedata r:id="rId13" o:title="" chromakey="white"/>
                </v:shape>
              </w:pict>
            </w:r>
            <w:r>
              <w:rPr>
                <w:lang w:val="en-US"/>
              </w:rPr>
              <w:instrText xml:space="preserve"> </w:instrText>
            </w:r>
            <w:r>
              <w:fldChar w:fldCharType="separate"/>
            </w:r>
            <w:r w:rsidR="00133F7C">
              <w:rPr>
                <w:position w:val="-5"/>
              </w:rPr>
              <w:pict w14:anchorId="61158822">
                <v:shape id="_x0000_i1026" type="#_x0000_t75" style="width:25.5pt;height:12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E83204">
              <w:rPr>
                <w:position w:val="-8"/>
              </w:rPr>
              <w:pict w14:anchorId="12147CF6">
                <v:shape id="_x0000_i1027" type="#_x0000_t75" style="width:41.25pt;height:12.75pt" equationxml="&lt;">
                  <v:imagedata r:id="rId14" o:title="" chromakey="white"/>
                </v:shape>
              </w:pict>
            </w:r>
            <w:r>
              <w:rPr>
                <w:lang w:val="en-US"/>
              </w:rPr>
              <w:instrText xml:space="preserve"> </w:instrText>
            </w:r>
            <w:r>
              <w:fldChar w:fldCharType="separate"/>
            </w:r>
            <w:r w:rsidR="00133F7C">
              <w:rPr>
                <w:position w:val="-8"/>
              </w:rPr>
              <w:pict w14:anchorId="370A9F77">
                <v:shape id="_x0000_i1028" type="#_x0000_t75" style="width:41.25pt;height:12.75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E83204">
              <w:rPr>
                <w:position w:val="-8"/>
              </w:rPr>
              <w:pict w14:anchorId="2D94779E">
                <v:shape id="_x0000_i1029" type="#_x0000_t75" style="width:41.25pt;height:12.75pt" equationxml="&lt;">
                  <v:imagedata r:id="rId14" o:title="" chromakey="white"/>
                </v:shape>
              </w:pict>
            </w:r>
            <w:r>
              <w:rPr>
                <w:lang w:val="en-US"/>
              </w:rPr>
              <w:instrText xml:space="preserve"> </w:instrText>
            </w:r>
            <w:r>
              <w:fldChar w:fldCharType="separate"/>
            </w:r>
            <w:r w:rsidR="00133F7C">
              <w:rPr>
                <w:position w:val="-8"/>
              </w:rPr>
              <w:pict w14:anchorId="33BDA4A4">
                <v:shape id="_x0000_i1030" type="#_x0000_t75" style="width:41.25pt;height:12.75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E83204">
              <w:rPr>
                <w:position w:val="-8"/>
              </w:rPr>
              <w:pict w14:anchorId="0D6202EB">
                <v:shape id="_x0000_i1031" type="#_x0000_t75" style="width:41.25pt;height:12.75pt" equationxml="&lt;">
                  <v:imagedata r:id="rId15" o:title="" chromakey="white"/>
                </v:shape>
              </w:pict>
            </w:r>
            <w:r>
              <w:instrText xml:space="preserve"> </w:instrText>
            </w:r>
            <w:r>
              <w:fldChar w:fldCharType="separate"/>
            </w:r>
            <w:r w:rsidR="00133F7C">
              <w:rPr>
                <w:position w:val="-8"/>
              </w:rPr>
              <w:pict w14:anchorId="0416B4F6">
                <v:shape id="_x0000_i1032" type="#_x0000_t75" style="width:41.25pt;height:12.75pt" equationxml="&lt;">
                  <v:imagedata r:id="rId15" o:title="" chromakey="white"/>
                </v:shape>
              </w:pict>
            </w:r>
            <w:r>
              <w:fldChar w:fldCharType="end"/>
            </w:r>
            <w:r>
              <w:t xml:space="preserve"> is set equal to the value signalled by the higher layer parameter;</w:t>
            </w:r>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E83204">
              <w:rPr>
                <w:position w:val="-8"/>
              </w:rPr>
              <w:pict w14:anchorId="7628EEB2">
                <v:shape id="_x0000_i1033" type="#_x0000_t75" style="width:45.75pt;height:12.75pt" equationxml="&lt;">
                  <v:imagedata r:id="rId16" o:title="" chromakey="white"/>
                </v:shape>
              </w:pict>
            </w:r>
            <w:r>
              <w:instrText xml:space="preserve"> </w:instrText>
            </w:r>
            <w:r>
              <w:fldChar w:fldCharType="separate"/>
            </w:r>
            <w:r w:rsidR="00133F7C">
              <w:rPr>
                <w:position w:val="-8"/>
              </w:rPr>
              <w:pict w14:anchorId="1B5A1EBF">
                <v:shape id="_x0000_i1034" type="#_x0000_t75" style="width:45pt;height:12.75pt" equationxml="&lt;">
                  <v:imagedata r:id="rId16" o:title="" chromakey="white"/>
                </v:shape>
              </w:pict>
            </w:r>
            <w:r>
              <w:fldChar w:fldCharType="end"/>
            </w:r>
            <w:r>
              <w:t xml:space="preserve"> according to the procedure described in clause 4.2.3.1;</w:t>
            </w:r>
          </w:p>
          <w:p w14:paraId="11EA0FBB" w14:textId="77777777" w:rsidR="00CD30E9" w:rsidRDefault="00114EEC">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E83204">
              <w:rPr>
                <w:position w:val="-8"/>
              </w:rPr>
              <w:pict w14:anchorId="6B5A576E">
                <v:shape id="_x0000_i1035" type="#_x0000_t75" style="width:41.25pt;height:12.75pt" equationxml="&lt;">
                  <v:imagedata r:id="rId14" o:title="" chromakey="white"/>
                </v:shape>
              </w:pict>
            </w:r>
            <w:r>
              <w:instrText xml:space="preserve"> </w:instrText>
            </w:r>
            <w:r>
              <w:fldChar w:fldCharType="separate"/>
            </w:r>
            <w:r w:rsidR="00133F7C">
              <w:rPr>
                <w:position w:val="-8"/>
              </w:rPr>
              <w:pict w14:anchorId="03D91332">
                <v:shape id="_x0000_i1036" type="#_x0000_t75" style="width:41.25pt;height:12.75pt" equationxml="&lt;">
                  <v:imagedata r:id="rId14" o:title="" chromakey="white"/>
                </v:shape>
              </w:pict>
            </w:r>
            <w:r>
              <w:fldChar w:fldCharType="end"/>
            </w:r>
            <w:r>
              <w:t xml:space="preserve"> is set by adjusting </w:t>
            </w:r>
            <w:r>
              <w:fldChar w:fldCharType="begin"/>
            </w:r>
            <w:r>
              <w:instrText xml:space="preserve"> QUOTE </w:instrText>
            </w:r>
            <w:r w:rsidR="00E83204">
              <w:rPr>
                <w:position w:val="-8"/>
              </w:rPr>
              <w:pict w14:anchorId="39C21EEF">
                <v:shape id="_x0000_i1037" type="#_x0000_t75" style="width:45.75pt;height:12.75pt" equationxml="&lt;">
                  <v:imagedata r:id="rId16" o:title="" chromakey="white"/>
                </v:shape>
              </w:pict>
            </w:r>
            <w:r>
              <w:instrText xml:space="preserve"> </w:instrText>
            </w:r>
            <w:r>
              <w:fldChar w:fldCharType="separate"/>
            </w:r>
            <w:r w:rsidR="00133F7C">
              <w:rPr>
                <w:position w:val="-8"/>
              </w:rPr>
              <w:pict w14:anchorId="67299262">
                <v:shape id="_x0000_i1038" type="#_x0000_t75" style="width:45pt;height:12.75pt" equationxml="&lt;">
                  <v:imagedata r:id="rId16" o:title="" chromakey="white"/>
                </v:shape>
              </w:pict>
            </w:r>
            <w:r>
              <w:fldChar w:fldCharType="end"/>
            </w:r>
            <w:r>
              <w:t xml:space="preserve"> according to the offset value signalled by the higher layer parameter;</w:t>
            </w:r>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E83204">
              <w:rPr>
                <w:position w:val="-8"/>
              </w:rPr>
              <w:pict w14:anchorId="40E1B875">
                <v:shape id="_x0000_i1039" type="#_x0000_t75" style="width:98.25pt;height:12.75pt" equationxml="&lt;">
                  <v:imagedata r:id="rId17" o:title="" chromakey="white"/>
                </v:shape>
              </w:pict>
            </w:r>
            <w:r>
              <w:instrText xml:space="preserve"> </w:instrText>
            </w:r>
            <w:r>
              <w:fldChar w:fldCharType="separate"/>
            </w:r>
            <w:r w:rsidR="00133F7C">
              <w:rPr>
                <w:position w:val="-8"/>
              </w:rPr>
              <w:pict w14:anchorId="2E6E27D6">
                <v:shape id="_x0000_i1040" type="#_x0000_t75" style="width:98.25pt;height:12.75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E83204">
              <w:rPr>
                <w:position w:val="-8"/>
              </w:rPr>
              <w:pict w14:anchorId="52FB1395">
                <v:shape id="_x0000_i1041" type="#_x0000_t75" style="width:41.25pt;height:12.75pt" equationxml="&lt;">
                  <v:imagedata r:id="rId14" o:title="" chromakey="white"/>
                </v:shape>
              </w:pict>
            </w:r>
            <w:r>
              <w:rPr>
                <w:lang w:val="en-US"/>
              </w:rPr>
              <w:instrText xml:space="preserve"> </w:instrText>
            </w:r>
            <w:r>
              <w:fldChar w:fldCharType="separate"/>
            </w:r>
            <w:r w:rsidR="00133F7C">
              <w:rPr>
                <w:position w:val="-8"/>
              </w:rPr>
              <w:pict w14:anchorId="052B28FA">
                <v:shape id="_x0000_i1042" type="#_x0000_t75" style="width:41.25pt;height:12.75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E83204">
              <w:rPr>
                <w:color w:val="FF0000"/>
                <w:lang w:val="en-US" w:eastAsia="zh-CN"/>
              </w:rPr>
              <w:pict w14:anchorId="63CFBD3C">
                <v:shape id="_x0000_i1043" type="#_x0000_t75" style="width:41.25pt;height:12.75pt" equationxml="&lt;">
                  <v:imagedata r:id="rId14" o:title="" chromakey="white"/>
                </v:shape>
              </w:pict>
            </w:r>
            <w:r>
              <w:rPr>
                <w:rStyle w:val="eop"/>
                <w:color w:val="FF0000"/>
                <w:lang w:val="en-US" w:eastAsia="zh-CN"/>
              </w:rPr>
              <w:instrText xml:space="preserve"> </w:instrText>
            </w:r>
            <w:r>
              <w:fldChar w:fldCharType="separate"/>
            </w:r>
            <w:r w:rsidR="00133F7C">
              <w:rPr>
                <w:color w:val="FF0000"/>
                <w:lang w:val="en-US" w:eastAsia="zh-CN"/>
              </w:rPr>
              <w:pict w14:anchorId="339B8C67">
                <v:shape id="_x0000_i1044" type="#_x0000_t75" style="width:41.25pt;height:12.75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381E69A4" w14:textId="77777777" w:rsidR="00CD30E9" w:rsidRDefault="00CD30E9">
      <w:pPr>
        <w:pStyle w:val="BodyText"/>
        <w:rPr>
          <w:rFonts w:cs="Arial"/>
          <w:bCs/>
          <w:lang w:val="en-US" w:eastAsia="ja-JP"/>
        </w:rPr>
      </w:pPr>
    </w:p>
    <w:p w14:paraId="01C7792C" w14:textId="77777777" w:rsidR="00CD30E9" w:rsidRDefault="00114EEC">
      <w:pPr>
        <w:pStyle w:val="BodyText"/>
        <w:rPr>
          <w:rFonts w:cs="Arial"/>
          <w:b/>
          <w:u w:val="single"/>
          <w:lang w:val="en-US" w:eastAsia="ja-JP"/>
        </w:rPr>
      </w:pPr>
      <w:r>
        <w:rPr>
          <w:rFonts w:cs="Arial"/>
          <w:b/>
          <w:u w:val="single"/>
          <w:lang w:val="en-US" w:eastAsia="ja-JP"/>
        </w:rPr>
        <w:t>R1-2006020</w:t>
      </w:r>
    </w:p>
    <w:tbl>
      <w:tblPr>
        <w:tblStyle w:val="TableGrid"/>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BodyText"/>
              <w:rPr>
                <w:color w:val="0000FF"/>
                <w:lang w:val="en-US" w:eastAsia="zh-CN"/>
              </w:rPr>
            </w:pPr>
            <w:r>
              <w:rPr>
                <w:color w:val="0000FF"/>
                <w:lang w:eastAsia="zh-CN"/>
              </w:rPr>
              <w:t>----------------------------------- TP1: Start of TP 37.213 section 4.2.3 ---------------------------------------</w:t>
            </w:r>
          </w:p>
          <w:p w14:paraId="3CC31CBC" w14:textId="77777777" w:rsidR="00CD30E9" w:rsidRDefault="00114EEC">
            <w:pPr>
              <w:pStyle w:val="BodyText"/>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Malgun Gothic"/>
                <w:color w:val="FF0000"/>
                <w:lang w:eastAsia="ko-KR"/>
              </w:rPr>
            </w:pPr>
            <w:r>
              <w:rPr>
                <w:color w:val="0000FF"/>
                <w:lang w:eastAsia="zh-CN"/>
              </w:rPr>
              <w:t>&lt;Unchanged parts are 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E83204">
              <w:rPr>
                <w:position w:val="-8"/>
              </w:rPr>
              <w:pict w14:anchorId="71660A94">
                <v:shape id="_x0000_i1045" type="#_x0000_t75" style="width:41.25pt;height:12.75pt" equationxml="&lt;">
                  <v:imagedata r:id="rId18" o:title="" chromakey="white"/>
                </v:shape>
              </w:pict>
            </w:r>
            <w:r>
              <w:instrText xml:space="preserve"> </w:instrText>
            </w:r>
            <w:r>
              <w:fldChar w:fldCharType="separate"/>
            </w:r>
            <w:r w:rsidR="00133F7C">
              <w:rPr>
                <w:position w:val="-8"/>
              </w:rPr>
              <w:pict w14:anchorId="72B0D4B0">
                <v:shape id="_x0000_i1046" type="#_x0000_t75" style="width:41.25pt;height:12.75pt" equationxml="&lt;">
                  <v:imagedata r:id="rId18"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E83204">
              <w:rPr>
                <w:color w:val="FF0000"/>
                <w:position w:val="-8"/>
              </w:rPr>
              <w:pict w14:anchorId="04DC46C6">
                <v:shape id="_x0000_i1047" type="#_x0000_t75" style="width:41.25pt;height:12.75pt" equationxml="&lt;">
                  <v:imagedata r:id="rId18" o:title="" chromakey="white"/>
                </v:shape>
              </w:pict>
            </w:r>
            <w:r>
              <w:rPr>
                <w:color w:val="FF0000"/>
              </w:rPr>
              <w:instrText xml:space="preserve"> </w:instrText>
            </w:r>
            <w:r>
              <w:rPr>
                <w:color w:val="FF0000"/>
              </w:rPr>
              <w:fldChar w:fldCharType="separate"/>
            </w:r>
            <w:r w:rsidR="00133F7C">
              <w:rPr>
                <w:color w:val="FF0000"/>
                <w:position w:val="-8"/>
              </w:rPr>
              <w:pict w14:anchorId="1193BD86">
                <v:shape id="_x0000_i1048" type="#_x0000_t75" style="width:41.25pt;height:12.75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BodyText"/>
              <w:rPr>
                <w:color w:val="0000FF"/>
                <w:szCs w:val="24"/>
                <w:lang w:eastAsia="zh-CN"/>
              </w:rPr>
            </w:pPr>
            <w:r>
              <w:rPr>
                <w:color w:val="0000FF"/>
                <w:lang w:eastAsia="zh-CN"/>
              </w:rPr>
              <w:t>----------------------------------------End of TP 37.213 section 4.2.3 -----------------------------------------</w:t>
            </w:r>
          </w:p>
        </w:tc>
      </w:tr>
    </w:tbl>
    <w:p w14:paraId="5D361E0B" w14:textId="77777777" w:rsidR="00CD30E9" w:rsidRDefault="00CD30E9">
      <w:pPr>
        <w:pStyle w:val="BodyText"/>
        <w:rPr>
          <w:rFonts w:cs="Arial"/>
          <w:bCs/>
          <w:lang w:val="en-US" w:eastAsia="ja-JP"/>
        </w:rPr>
      </w:pPr>
    </w:p>
    <w:p w14:paraId="002B85D5" w14:textId="77777777" w:rsidR="00CD30E9" w:rsidRDefault="00114EEC">
      <w:pPr>
        <w:pStyle w:val="BodyText"/>
        <w:rPr>
          <w:rFonts w:cs="Arial"/>
          <w:b/>
          <w:u w:val="single"/>
          <w:lang w:val="en-US" w:eastAsia="ja-JP"/>
        </w:rPr>
      </w:pPr>
      <w:r>
        <w:rPr>
          <w:rFonts w:cs="Arial"/>
          <w:b/>
          <w:u w:val="single"/>
          <w:lang w:val="en-US" w:eastAsia="ja-JP"/>
        </w:rPr>
        <w:t>R1-2006301</w:t>
      </w:r>
    </w:p>
    <w:tbl>
      <w:tblPr>
        <w:tblStyle w:val="TableGrid"/>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Malgun Gothic"/>
                <w:lang w:val="en-US" w:eastAsia="ko-KR"/>
              </w:rPr>
            </w:pPr>
            <w:r>
              <w:rPr>
                <w:rFonts w:eastAsia="Malgun Gothic"/>
                <w:lang w:val="en-US" w:eastAsia="ko-KR"/>
              </w:rPr>
              <w:t>================================ Start of TP#3 for TS 37.213 ===============================</w:t>
            </w:r>
          </w:p>
          <w:p w14:paraId="1A331F37" w14:textId="77777777" w:rsidR="00CD30E9" w:rsidRPr="000139B4" w:rsidRDefault="00114EEC">
            <w:pPr>
              <w:rPr>
                <w:rFonts w:ascii="Arial Unicode MS" w:eastAsia="Arial Unicode MS" w:hAnsi="Arial Unicode MS" w:cs="Arial Unicode MS"/>
                <w:sz w:val="24"/>
                <w:lang w:val="en-US"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Malgun Gothic"/>
                <w:lang w:val="en-US" w:eastAsia="ko-KR"/>
              </w:rPr>
            </w:pPr>
            <w:r>
              <w:rPr>
                <w:rFonts w:eastAsia="Malgun Gothic"/>
                <w:lang w:val="en-US" w:eastAsia="ko-KR"/>
              </w:rPr>
              <w:t>================================ Unchanged Texts Omitted =================================</w:t>
            </w:r>
          </w:p>
          <w:p w14:paraId="7FEAAE23" w14:textId="77777777" w:rsidR="00CD30E9" w:rsidRDefault="00114EEC">
            <w:pPr>
              <w:rPr>
                <w:rFonts w:eastAsia="Malgun Gothic"/>
                <w:color w:val="000000"/>
                <w:lang w:val="en-US" w:eastAsia="ko-KR"/>
              </w:rPr>
            </w:pPr>
            <w:r>
              <w:rPr>
                <w:rFonts w:eastAsia="Malgun Gothic"/>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 xml:space="preserve">ul-toDL-CO-SharingED-Threshold-r16 </w:t>
              </w:r>
              <w:r>
                <w:rPr>
                  <w:rFonts w:eastAsia="Malgun Gothic"/>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6927682D" w14:textId="77777777" w:rsidR="00CD30E9" w:rsidRDefault="00114EEC">
            <w:pPr>
              <w:rPr>
                <w:rFonts w:eastAsia="Malgun Gothic"/>
                <w:lang w:val="en-US" w:eastAsia="ko-KR"/>
              </w:rPr>
            </w:pPr>
            <w:r>
              <w:rPr>
                <w:rFonts w:eastAsia="Malgun Gothic"/>
                <w:lang w:val="en-US" w:eastAsia="ko-KR"/>
              </w:rPr>
              <w:t>================================ Unchanged Texts Omitted =================================</w:t>
            </w:r>
          </w:p>
          <w:p w14:paraId="27D4831B" w14:textId="77777777" w:rsidR="00CD30E9" w:rsidRDefault="00114EEC">
            <w:pPr>
              <w:spacing w:line="288" w:lineRule="auto"/>
              <w:rPr>
                <w:rFonts w:eastAsia="Malgun Gothic"/>
                <w:lang w:val="en-US" w:eastAsia="ko-KR"/>
              </w:rPr>
            </w:pPr>
            <w:r>
              <w:rPr>
                <w:rFonts w:eastAsia="Malgun Gothic"/>
                <w:lang w:val="en-US" w:eastAsia="ko-KR"/>
              </w:rPr>
              <w:t>================================= End of TP#3 for TS 37.213 ===============================</w:t>
            </w:r>
          </w:p>
        </w:tc>
      </w:tr>
    </w:tbl>
    <w:p w14:paraId="5694439C" w14:textId="77777777" w:rsidR="00CD30E9" w:rsidRDefault="00CD30E9">
      <w:pPr>
        <w:pStyle w:val="BodyText"/>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ListParagraph"/>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ListParagraph"/>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TableGrid"/>
        <w:tblW w:w="9771" w:type="dxa"/>
        <w:tblLayout w:type="fixed"/>
        <w:tblLook w:val="04A0" w:firstRow="1" w:lastRow="0" w:firstColumn="1" w:lastColumn="0" w:noHBand="0" w:noVBand="1"/>
      </w:tblPr>
      <w:tblGrid>
        <w:gridCol w:w="2263"/>
        <w:gridCol w:w="7502"/>
        <w:gridCol w:w="6"/>
      </w:tblGrid>
      <w:tr w:rsidR="00CD30E9" w14:paraId="458E1066" w14:textId="77777777" w:rsidTr="000B256F">
        <w:tc>
          <w:tcPr>
            <w:tcW w:w="2263" w:type="dxa"/>
          </w:tcPr>
          <w:p w14:paraId="626D34E9" w14:textId="77777777" w:rsidR="00CD30E9" w:rsidRDefault="00114EEC">
            <w:r>
              <w:t>Company</w:t>
            </w:r>
          </w:p>
        </w:tc>
        <w:tc>
          <w:tcPr>
            <w:tcW w:w="7508" w:type="dxa"/>
            <w:gridSpan w:val="2"/>
          </w:tcPr>
          <w:p w14:paraId="1293A783" w14:textId="77777777" w:rsidR="00CD30E9" w:rsidRDefault="00114EEC">
            <w:r>
              <w:t>Comment</w:t>
            </w:r>
          </w:p>
        </w:tc>
      </w:tr>
      <w:tr w:rsidR="00CD30E9" w14:paraId="52E379E3" w14:textId="77777777" w:rsidTr="000B256F">
        <w:tc>
          <w:tcPr>
            <w:tcW w:w="2263" w:type="dxa"/>
          </w:tcPr>
          <w:p w14:paraId="761801A7" w14:textId="77777777" w:rsidR="00CD30E9" w:rsidRDefault="00114EEC">
            <w:r>
              <w:t>OPPO</w:t>
            </w:r>
          </w:p>
        </w:tc>
        <w:tc>
          <w:tcPr>
            <w:tcW w:w="7508" w:type="dxa"/>
            <w:gridSpan w:val="2"/>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rsidTr="000B256F">
        <w:tc>
          <w:tcPr>
            <w:tcW w:w="2263" w:type="dxa"/>
          </w:tcPr>
          <w:p w14:paraId="7BC7E43C" w14:textId="77777777" w:rsidR="00CD30E9" w:rsidRDefault="00114EEC">
            <w:r>
              <w:t>Intel</w:t>
            </w:r>
          </w:p>
        </w:tc>
        <w:tc>
          <w:tcPr>
            <w:tcW w:w="7508" w:type="dxa"/>
            <w:gridSpan w:val="2"/>
          </w:tcPr>
          <w:p w14:paraId="3E8BCBC8" w14:textId="77777777" w:rsidR="00CD30E9" w:rsidRDefault="00114EEC">
            <w:r>
              <w:t xml:space="preserve">We are supportive of either TP from R1-2006020 or R1-2006301. </w:t>
            </w:r>
          </w:p>
        </w:tc>
      </w:tr>
      <w:tr w:rsidR="00CD30E9" w14:paraId="0BD2ED13" w14:textId="77777777" w:rsidTr="000B256F">
        <w:tc>
          <w:tcPr>
            <w:tcW w:w="2263" w:type="dxa"/>
          </w:tcPr>
          <w:p w14:paraId="18D219F4"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4F3A54C5" w14:textId="77777777" w:rsidR="00CD30E9" w:rsidRDefault="00114EEC">
            <w:r>
              <w:t>The current specification is not clear when the UE intends not to share its COT with gNB. Therefore it is better to clarify this behaviour by adopting the one of TP in the above that if UE does not share its corresponding channel occupancy time with the gNB, the UE shall set X</w:t>
            </w:r>
            <w:r>
              <w:rPr>
                <w:vertAlign w:val="subscript"/>
              </w:rPr>
              <w:t>Thresh_max</w:t>
            </w:r>
            <w:r>
              <w:t xml:space="preserve"> according to the procedure described in clause 4.2.3. The last TP in R1-2006301 can be starting point and the exact wording can be further discussed.</w:t>
            </w:r>
          </w:p>
        </w:tc>
      </w:tr>
      <w:tr w:rsidR="00CD30E9" w14:paraId="4B2156CA" w14:textId="77777777" w:rsidTr="000B256F">
        <w:tc>
          <w:tcPr>
            <w:tcW w:w="2263" w:type="dxa"/>
          </w:tcPr>
          <w:p w14:paraId="35DDADC5" w14:textId="77777777" w:rsidR="00CD30E9" w:rsidRDefault="00114EEC">
            <w:pPr>
              <w:rPr>
                <w:lang w:val="en-US" w:eastAsia="zh-CN"/>
              </w:rPr>
            </w:pPr>
            <w:r>
              <w:rPr>
                <w:rFonts w:hint="eastAsia"/>
                <w:lang w:val="en-US" w:eastAsia="zh-CN"/>
              </w:rPr>
              <w:t>ZTE, Sanechips</w:t>
            </w:r>
          </w:p>
        </w:tc>
        <w:tc>
          <w:tcPr>
            <w:tcW w:w="7508" w:type="dxa"/>
            <w:gridSpan w:val="2"/>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rsidTr="000B256F">
        <w:tc>
          <w:tcPr>
            <w:tcW w:w="2263" w:type="dxa"/>
          </w:tcPr>
          <w:p w14:paraId="2B8A7AC1" w14:textId="374B6A96" w:rsidR="00114EEC" w:rsidRDefault="00114EEC">
            <w:pPr>
              <w:rPr>
                <w:lang w:val="en-US" w:eastAsia="zh-CN"/>
              </w:rPr>
            </w:pPr>
            <w:r>
              <w:rPr>
                <w:lang w:val="en-US" w:eastAsia="zh-CN"/>
              </w:rPr>
              <w:t>Nokia, NSB</w:t>
            </w:r>
          </w:p>
        </w:tc>
        <w:tc>
          <w:tcPr>
            <w:tcW w:w="7508" w:type="dxa"/>
            <w:gridSpan w:val="2"/>
          </w:tcPr>
          <w:p w14:paraId="7A9405E4" w14:textId="42D58CD5" w:rsidR="00114EEC" w:rsidRDefault="00114EEC">
            <w:pPr>
              <w:rPr>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r w:rsidR="000139B4" w14:paraId="35B5528D" w14:textId="77777777" w:rsidTr="000B256F">
        <w:tc>
          <w:tcPr>
            <w:tcW w:w="2263" w:type="dxa"/>
          </w:tcPr>
          <w:p w14:paraId="16DFF044" w14:textId="54B546B8" w:rsidR="000139B4" w:rsidRDefault="000139B4" w:rsidP="000139B4">
            <w:pPr>
              <w:rPr>
                <w:lang w:val="en-US" w:eastAsia="zh-CN"/>
              </w:rPr>
            </w:pPr>
            <w:r>
              <w:rPr>
                <w:lang w:val="de-DE"/>
              </w:rPr>
              <w:t>Lenovo, Motorola Mobility</w:t>
            </w:r>
          </w:p>
        </w:tc>
        <w:tc>
          <w:tcPr>
            <w:tcW w:w="7508" w:type="dxa"/>
            <w:gridSpan w:val="2"/>
          </w:tcPr>
          <w:p w14:paraId="4966EB3E" w14:textId="77777777" w:rsidR="000139B4" w:rsidRDefault="000139B4" w:rsidP="000139B4">
            <w:pPr>
              <w:rPr>
                <w:lang w:val="en-US" w:eastAsia="zh-CN"/>
              </w:rPr>
            </w:pPr>
            <w:r>
              <w:rPr>
                <w:lang w:val="en-US" w:eastAsia="zh-CN"/>
              </w:rPr>
              <w:t>We support a spec change is needed.</w:t>
            </w:r>
          </w:p>
          <w:p w14:paraId="0C5B80AB" w14:textId="77777777" w:rsidR="000139B4" w:rsidRDefault="000139B4" w:rsidP="000139B4">
            <w:pPr>
              <w:pStyle w:val="BodyText"/>
              <w:rPr>
                <w:lang w:val="en-US" w:eastAsia="zh-CN"/>
              </w:rPr>
            </w:pPr>
            <w:r w:rsidRPr="00B150CC">
              <w:rPr>
                <w:lang w:val="en-US" w:eastAsia="zh-CN"/>
              </w:rPr>
              <w:t>Since R1-2005600</w:t>
            </w:r>
            <w:r>
              <w:rPr>
                <w:lang w:val="en-US" w:eastAsia="zh-CN"/>
              </w:rPr>
              <w:t xml:space="preserve"> differentiates ED threshold selection for DG PUSCH and CG PUSCH, we think it can be a starting point for TP discussion.</w:t>
            </w:r>
          </w:p>
          <w:p w14:paraId="28112B42" w14:textId="77777777" w:rsidR="000139B4" w:rsidRDefault="000139B4" w:rsidP="000139B4">
            <w:pPr>
              <w:rPr>
                <w:lang w:val="en-US" w:eastAsia="zh-CN"/>
              </w:rPr>
            </w:pPr>
          </w:p>
        </w:tc>
      </w:tr>
      <w:tr w:rsidR="005B6389" w14:paraId="72DFC0BA" w14:textId="77777777" w:rsidTr="000B256F">
        <w:tc>
          <w:tcPr>
            <w:tcW w:w="2263" w:type="dxa"/>
          </w:tcPr>
          <w:p w14:paraId="7111775F" w14:textId="61BE2310" w:rsidR="005B6389" w:rsidRPr="005B6389" w:rsidRDefault="005B6389" w:rsidP="000139B4">
            <w:r>
              <w:t>WILUS</w:t>
            </w:r>
          </w:p>
        </w:tc>
        <w:tc>
          <w:tcPr>
            <w:tcW w:w="7508" w:type="dxa"/>
            <w:gridSpan w:val="2"/>
          </w:tcPr>
          <w:p w14:paraId="461D735E" w14:textId="61AF0E52"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either TP in R1-2006020 or R1-2006301. TP in R1-2006301 can be starting point for making better wording in draft TP phase.</w:t>
            </w:r>
          </w:p>
        </w:tc>
      </w:tr>
      <w:tr w:rsidR="000B256F" w14:paraId="503AFE02" w14:textId="77777777" w:rsidTr="000B256F">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55C6D61D" w14:textId="77777777" w:rsidR="000B256F" w:rsidRDefault="000B256F">
            <w:pPr>
              <w:rPr>
                <w:lang w:val="de-DE" w:eastAsia="zh-CN"/>
              </w:rPr>
            </w:pPr>
            <w:r>
              <w:rPr>
                <w:lang w:val="de-DE"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481106B4" w14:textId="77777777" w:rsidR="000B256F" w:rsidRDefault="000B256F">
            <w:pPr>
              <w:rPr>
                <w:lang w:val="en-US" w:eastAsia="zh-CN"/>
              </w:rPr>
            </w:pPr>
            <w:r>
              <w:rPr>
                <w:lang w:val="en-US" w:eastAsia="zh-CN"/>
              </w:rPr>
              <w:t>Spec change is needed. TP in R1-2005600 is preferred since it clearly addressed the different cases for DG PUSCH and CG PUSCH.</w:t>
            </w:r>
          </w:p>
        </w:tc>
      </w:tr>
      <w:tr w:rsidR="000B256F" w14:paraId="447820DB" w14:textId="77777777" w:rsidTr="000B256F">
        <w:tc>
          <w:tcPr>
            <w:tcW w:w="2263" w:type="dxa"/>
          </w:tcPr>
          <w:p w14:paraId="2F48D6C3" w14:textId="255532A2" w:rsidR="000B256F" w:rsidRDefault="00E83204" w:rsidP="000139B4">
            <w:r>
              <w:t>Ericsson</w:t>
            </w:r>
          </w:p>
        </w:tc>
        <w:tc>
          <w:tcPr>
            <w:tcW w:w="7508" w:type="dxa"/>
            <w:gridSpan w:val="2"/>
          </w:tcPr>
          <w:p w14:paraId="1863B735" w14:textId="583ED110" w:rsidR="000B256F" w:rsidRDefault="00E83204" w:rsidP="000139B4">
            <w:pPr>
              <w:rPr>
                <w:rFonts w:eastAsia="Malgun Gothic"/>
                <w:lang w:val="en-US" w:eastAsia="ko-KR"/>
              </w:rPr>
            </w:pPr>
            <w:r>
              <w:rPr>
                <w:rFonts w:eastAsia="Malgun Gothic"/>
                <w:lang w:val="en-US" w:eastAsia="ko-KR"/>
              </w:rPr>
              <w:t xml:space="preserve">The proposals seem to assume that the UE knows when the COT will be shared when the UE initiates the COT using a scheduled UL. And that is not true. It’s up to the gNB if it wants to utilize the remaining of the </w:t>
            </w:r>
            <w:r>
              <w:rPr>
                <w:rFonts w:eastAsia="Malgun Gothic"/>
                <w:lang w:val="en-US" w:eastAsia="ko-KR"/>
              </w:rPr>
              <w:t>UE’s</w:t>
            </w:r>
            <w:r>
              <w:rPr>
                <w:rFonts w:eastAsia="Malgun Gothic"/>
                <w:lang w:val="en-US" w:eastAsia="ko-KR"/>
              </w:rPr>
              <w:t xml:space="preserve"> COT or not</w:t>
            </w:r>
            <w:r>
              <w:rPr>
                <w:rFonts w:eastAsia="Malgun Gothic"/>
                <w:lang w:val="en-US" w:eastAsia="ko-KR"/>
              </w:rPr>
              <w:t>. We</w:t>
            </w:r>
            <w:r>
              <w:rPr>
                <w:rFonts w:eastAsia="Malgun Gothic"/>
                <w:lang w:val="en-US" w:eastAsia="ko-KR"/>
              </w:rPr>
              <w:t xml:space="preserve"> don’t know how those TPs solve any issue.</w:t>
            </w:r>
          </w:p>
        </w:tc>
      </w:tr>
    </w:tbl>
    <w:p w14:paraId="590B5534" w14:textId="77777777" w:rsidR="00CD30E9" w:rsidRDefault="00CD30E9">
      <w:pPr>
        <w:pStyle w:val="BodyText"/>
        <w:rPr>
          <w:rFonts w:cs="Arial"/>
          <w:bCs/>
          <w:lang w:val="en-US" w:eastAsia="ja-JP"/>
        </w:rPr>
      </w:pPr>
    </w:p>
    <w:p w14:paraId="22D09338" w14:textId="77777777" w:rsidR="00CD30E9" w:rsidRDefault="00CD30E9">
      <w:pPr>
        <w:pStyle w:val="BodyText"/>
        <w:rPr>
          <w:rFonts w:cs="Arial"/>
          <w:bCs/>
          <w:lang w:val="en-US" w:eastAsia="ja-JP"/>
        </w:rPr>
      </w:pPr>
      <w:bookmarkStart w:id="11" w:name="_GoBack"/>
      <w:bookmarkEnd w:id="11"/>
    </w:p>
    <w:p w14:paraId="36AC9154" w14:textId="77777777" w:rsidR="00CD30E9" w:rsidRDefault="00CD30E9">
      <w:pPr>
        <w:pStyle w:val="BodyText"/>
        <w:rPr>
          <w:rFonts w:cs="Arial"/>
          <w:bCs/>
          <w:lang w:val="en-US" w:eastAsia="ja-JP"/>
        </w:rPr>
      </w:pPr>
    </w:p>
    <w:p w14:paraId="15501005" w14:textId="77777777" w:rsidR="00CD30E9" w:rsidRDefault="00114EEC">
      <w:pPr>
        <w:pStyle w:val="Doc-text2"/>
        <w:tabs>
          <w:tab w:val="left" w:pos="1276"/>
        </w:tabs>
        <w:ind w:left="0" w:firstLine="0"/>
        <w:rPr>
          <w:rFonts w:ascii="Times New Roman" w:eastAsia="SimSun" w:hAnsi="Times New Roman" w:cs="Arial"/>
          <w:bCs/>
          <w:szCs w:val="20"/>
          <w:lang w:val="en-US" w:eastAsia="ja-JP"/>
        </w:rPr>
      </w:pPr>
      <w:r>
        <w:rPr>
          <w:rFonts w:ascii="Times New Roman" w:eastAsia="SimSun" w:hAnsi="Times New Roman" w:cs="Arial"/>
          <w:b/>
          <w:szCs w:val="20"/>
          <w:u w:val="single"/>
          <w:lang w:val="en-US" w:eastAsia="ja-JP"/>
        </w:rPr>
        <w:t>R1-2006881</w:t>
      </w:r>
      <w:r>
        <w:rPr>
          <w:rFonts w:ascii="Times New Roman" w:eastAsia="SimSun"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SimSun" w:hAnsi="Times New Roman" w:cs="Arial"/>
          <w:bCs/>
          <w:szCs w:val="20"/>
          <w:lang w:val="en-US" w:eastAsia="ja-JP"/>
        </w:rPr>
      </w:pPr>
    </w:p>
    <w:tbl>
      <w:tblPr>
        <w:tblStyle w:val="TableGrid"/>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===========================Start of Text Proposal for TS37.213============================</w:t>
            </w:r>
          </w:p>
          <w:p w14:paraId="029E224A" w14:textId="77777777" w:rsidR="00CD30E9" w:rsidRDefault="00114EEC">
            <w:pPr>
              <w:keepNext/>
              <w:keepLines/>
              <w:autoSpaceDE/>
              <w:spacing w:before="120"/>
              <w:outlineLvl w:val="2"/>
              <w:rPr>
                <w:rFonts w:ascii="Arial" w:hAnsi="Arial"/>
                <w:sz w:val="22"/>
              </w:rPr>
            </w:pPr>
            <w:bookmarkStart w:id="12" w:name="_Toc35593594"/>
            <w:r>
              <w:rPr>
                <w:rFonts w:ascii="Arial" w:hAnsi="Arial"/>
                <w:sz w:val="22"/>
              </w:rPr>
              <w:t>4.1.3</w:t>
            </w:r>
            <w:r>
              <w:rPr>
                <w:rFonts w:ascii="Arial" w:hAnsi="Arial"/>
                <w:sz w:val="22"/>
              </w:rPr>
              <w:tab/>
              <w:t>DL channel access procedures in a shared channel occupancy</w:t>
            </w:r>
            <w:bookmarkEnd w:id="12"/>
          </w:p>
          <w:p w14:paraId="07962350" w14:textId="77777777" w:rsidR="00CD30E9" w:rsidRDefault="00114EEC">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13" w:name="_Hlk26442137"/>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3"/>
          <w:p w14:paraId="5F2ADBE2" w14:textId="77777777" w:rsidR="00CD30E9" w:rsidRDefault="00114EEC">
            <w:pPr>
              <w:autoSpaceDE/>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2"/>
        <w:gridCol w:w="6"/>
      </w:tblGrid>
      <w:tr w:rsidR="00CD30E9" w14:paraId="6EE8F5F9" w14:textId="77777777" w:rsidTr="000B256F">
        <w:tc>
          <w:tcPr>
            <w:tcW w:w="2263" w:type="dxa"/>
          </w:tcPr>
          <w:p w14:paraId="4A66CECC" w14:textId="77777777" w:rsidR="00CD30E9" w:rsidRDefault="00114EEC">
            <w:r>
              <w:lastRenderedPageBreak/>
              <w:t>Company</w:t>
            </w:r>
          </w:p>
        </w:tc>
        <w:tc>
          <w:tcPr>
            <w:tcW w:w="7508" w:type="dxa"/>
            <w:gridSpan w:val="2"/>
          </w:tcPr>
          <w:p w14:paraId="651843AB" w14:textId="77777777" w:rsidR="00CD30E9" w:rsidRDefault="00114EEC">
            <w:r>
              <w:t>Comment</w:t>
            </w:r>
          </w:p>
        </w:tc>
      </w:tr>
      <w:tr w:rsidR="00CD30E9" w14:paraId="477C6CC6" w14:textId="77777777" w:rsidTr="000B256F">
        <w:tc>
          <w:tcPr>
            <w:tcW w:w="2263" w:type="dxa"/>
          </w:tcPr>
          <w:p w14:paraId="7A313F26" w14:textId="77777777" w:rsidR="00CD30E9" w:rsidRDefault="00114EEC">
            <w:r>
              <w:rPr>
                <w:rFonts w:hint="eastAsia"/>
              </w:rPr>
              <w:t>OPPO</w:t>
            </w:r>
          </w:p>
        </w:tc>
        <w:tc>
          <w:tcPr>
            <w:tcW w:w="7508" w:type="dxa"/>
            <w:gridSpan w:val="2"/>
          </w:tcPr>
          <w:p w14:paraId="4E509202" w14:textId="77777777" w:rsidR="00CD30E9" w:rsidRDefault="00114EEC">
            <w:r>
              <w:t>T</w:t>
            </w:r>
            <w:r>
              <w:rPr>
                <w:rFonts w:hint="eastAsia"/>
              </w:rPr>
              <w:t xml:space="preserve">he </w:t>
            </w:r>
            <w:r>
              <w:t xml:space="preserve">TP seems inline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529966C" w14:textId="77777777" w:rsidR="00CD30E9" w:rsidRDefault="00CD30E9"/>
        </w:tc>
      </w:tr>
      <w:tr w:rsidR="00CD30E9" w14:paraId="3829BFCD" w14:textId="77777777" w:rsidTr="000B256F">
        <w:tc>
          <w:tcPr>
            <w:tcW w:w="2263" w:type="dxa"/>
          </w:tcPr>
          <w:p w14:paraId="0B65C2F9" w14:textId="77777777" w:rsidR="00CD30E9" w:rsidRDefault="00114EEC">
            <w:r>
              <w:t>Intel</w:t>
            </w:r>
          </w:p>
        </w:tc>
        <w:tc>
          <w:tcPr>
            <w:tcW w:w="7508" w:type="dxa"/>
            <w:gridSpan w:val="2"/>
          </w:tcPr>
          <w:p w14:paraId="59F5722B" w14:textId="77777777" w:rsidR="00CD30E9" w:rsidRDefault="00114EEC">
            <w:r>
              <w:t>We support this TP.</w:t>
            </w:r>
          </w:p>
        </w:tc>
      </w:tr>
      <w:tr w:rsidR="00CD30E9" w14:paraId="642732E2" w14:textId="77777777" w:rsidTr="000B256F">
        <w:tc>
          <w:tcPr>
            <w:tcW w:w="2263" w:type="dxa"/>
          </w:tcPr>
          <w:p w14:paraId="34AFEFB1"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5C8B396F" w14:textId="77777777" w:rsidR="00CD30E9" w:rsidRDefault="00114EEC">
            <w:pPr>
              <w:tabs>
                <w:tab w:val="left" w:pos="2472"/>
              </w:tabs>
              <w:rPr>
                <w:rFonts w:eastAsia="Malgun Gothic"/>
                <w:lang w:eastAsia="ko-KR"/>
              </w:rPr>
            </w:pPr>
            <w:r>
              <w:rPr>
                <w:rFonts w:eastAsia="Malgun Gothic" w:hint="eastAsia"/>
                <w:lang w:eastAsia="ko-KR"/>
              </w:rPr>
              <w:t>Support the TP.</w:t>
            </w:r>
            <w:r>
              <w:rPr>
                <w:rFonts w:eastAsia="Malgun Gothic"/>
                <w:lang w:eastAsia="ko-KR"/>
              </w:rPr>
              <w:tab/>
            </w:r>
          </w:p>
        </w:tc>
      </w:tr>
      <w:tr w:rsidR="00CD30E9" w14:paraId="32D33616" w14:textId="77777777" w:rsidTr="000B256F">
        <w:tc>
          <w:tcPr>
            <w:tcW w:w="2263" w:type="dxa"/>
          </w:tcPr>
          <w:p w14:paraId="4ED806F4" w14:textId="77777777" w:rsidR="00CD30E9" w:rsidRDefault="00114EEC">
            <w:r>
              <w:rPr>
                <w:rFonts w:hint="eastAsia"/>
                <w:lang w:val="en-US" w:eastAsia="zh-CN"/>
              </w:rPr>
              <w:t>ZTE, Sanechips</w:t>
            </w:r>
          </w:p>
        </w:tc>
        <w:tc>
          <w:tcPr>
            <w:tcW w:w="7508" w:type="dxa"/>
            <w:gridSpan w:val="2"/>
          </w:tcPr>
          <w:p w14:paraId="508FAC56" w14:textId="77777777" w:rsidR="00CD30E9" w:rsidRDefault="00114EEC">
            <w:pPr>
              <w:rPr>
                <w:lang w:val="en-US" w:eastAsia="zh-CN"/>
              </w:rPr>
            </w:pPr>
            <w:r>
              <w:rPr>
                <w:rFonts w:hint="eastAsia"/>
                <w:lang w:val="en-US" w:eastAsia="zh-CN"/>
              </w:rPr>
              <w:t>support</w:t>
            </w:r>
          </w:p>
        </w:tc>
      </w:tr>
      <w:tr w:rsidR="00114EEC" w14:paraId="2EFA47D0" w14:textId="77777777" w:rsidTr="000B256F">
        <w:tc>
          <w:tcPr>
            <w:tcW w:w="2263" w:type="dxa"/>
          </w:tcPr>
          <w:p w14:paraId="0E198336" w14:textId="184322DF" w:rsidR="00114EEC" w:rsidRDefault="00114EEC">
            <w:pPr>
              <w:rPr>
                <w:lang w:val="en-US" w:eastAsia="zh-CN"/>
              </w:rPr>
            </w:pPr>
            <w:r>
              <w:rPr>
                <w:lang w:val="en-US" w:eastAsia="zh-CN"/>
              </w:rPr>
              <w:t>Nokia, NSB</w:t>
            </w:r>
          </w:p>
        </w:tc>
        <w:tc>
          <w:tcPr>
            <w:tcW w:w="7508" w:type="dxa"/>
            <w:gridSpan w:val="2"/>
          </w:tcPr>
          <w:p w14:paraId="03CB72A8" w14:textId="7FD38B88" w:rsidR="00114EEC" w:rsidRDefault="00114EEC">
            <w:pPr>
              <w:rPr>
                <w:lang w:val="en-US" w:eastAsia="zh-CN"/>
              </w:rPr>
            </w:pPr>
            <w:r>
              <w:rPr>
                <w:lang w:val="en-US" w:eastAsia="zh-CN"/>
              </w:rPr>
              <w:t>OK with the TP</w:t>
            </w:r>
          </w:p>
        </w:tc>
      </w:tr>
      <w:tr w:rsidR="000139B4" w14:paraId="683B9060" w14:textId="77777777" w:rsidTr="000B256F">
        <w:tc>
          <w:tcPr>
            <w:tcW w:w="2263" w:type="dxa"/>
          </w:tcPr>
          <w:p w14:paraId="204D158C" w14:textId="3AFF43C1" w:rsidR="000139B4" w:rsidRDefault="000139B4" w:rsidP="000139B4">
            <w:pPr>
              <w:rPr>
                <w:lang w:val="en-US" w:eastAsia="zh-CN"/>
              </w:rPr>
            </w:pPr>
            <w:r>
              <w:rPr>
                <w:lang w:val="en-US" w:eastAsia="zh-CN"/>
              </w:rPr>
              <w:t>Lenovo, Motorola Mobility</w:t>
            </w:r>
          </w:p>
        </w:tc>
        <w:tc>
          <w:tcPr>
            <w:tcW w:w="7508" w:type="dxa"/>
            <w:gridSpan w:val="2"/>
          </w:tcPr>
          <w:p w14:paraId="48405CF9" w14:textId="6DD72976" w:rsidR="000139B4" w:rsidRDefault="000139B4" w:rsidP="000139B4">
            <w:pPr>
              <w:rPr>
                <w:lang w:val="en-US" w:eastAsia="zh-CN"/>
              </w:rPr>
            </w:pPr>
            <w:r>
              <w:rPr>
                <w:lang w:val="en-US" w:eastAsia="zh-CN"/>
              </w:rPr>
              <w:t>We are OK with this TP.</w:t>
            </w:r>
          </w:p>
        </w:tc>
      </w:tr>
      <w:tr w:rsidR="005B6389" w14:paraId="50103412" w14:textId="77777777" w:rsidTr="000B256F">
        <w:tc>
          <w:tcPr>
            <w:tcW w:w="2263" w:type="dxa"/>
          </w:tcPr>
          <w:p w14:paraId="7912B27C" w14:textId="6EC7EBD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5D563A87" w14:textId="4A5C819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0B256F" w14:paraId="300D2FA5" w14:textId="77777777" w:rsidTr="00E83204">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558D4049" w14:textId="77777777" w:rsidR="000B256F" w:rsidRDefault="000B256F">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6E81227" w14:textId="77777777" w:rsidR="000B256F" w:rsidRDefault="000B256F">
            <w:pPr>
              <w:rPr>
                <w:lang w:val="en-US" w:eastAsia="zh-CN"/>
              </w:rPr>
            </w:pPr>
            <w:r>
              <w:rPr>
                <w:lang w:val="en-US" w:eastAsia="zh-CN"/>
              </w:rPr>
              <w:t>Agree with the TP.</w:t>
            </w:r>
          </w:p>
        </w:tc>
      </w:tr>
      <w:tr w:rsidR="00E83204" w14:paraId="2A6A9CD7" w14:textId="77777777" w:rsidTr="000B256F">
        <w:tc>
          <w:tcPr>
            <w:tcW w:w="2263" w:type="dxa"/>
          </w:tcPr>
          <w:p w14:paraId="32D86B0D" w14:textId="0679C54D" w:rsidR="00E83204" w:rsidRPr="00E83204" w:rsidRDefault="00E83204" w:rsidP="00E83204">
            <w:pPr>
              <w:rPr>
                <w:rFonts w:eastAsia="Malgun Gothic"/>
                <w:b/>
                <w:bCs/>
                <w:lang w:val="en-US" w:eastAsia="ko-KR"/>
              </w:rPr>
            </w:pPr>
            <w:r>
              <w:rPr>
                <w:rFonts w:eastAsia="Malgun Gothic"/>
                <w:lang w:val="en-US" w:eastAsia="ko-KR"/>
              </w:rPr>
              <w:t xml:space="preserve">Ericsson </w:t>
            </w:r>
          </w:p>
        </w:tc>
        <w:tc>
          <w:tcPr>
            <w:tcW w:w="7508" w:type="dxa"/>
            <w:gridSpan w:val="2"/>
          </w:tcPr>
          <w:p w14:paraId="338FB049" w14:textId="624BA861" w:rsidR="00E83204" w:rsidRDefault="00E83204" w:rsidP="00E83204">
            <w:pPr>
              <w:rPr>
                <w:rFonts w:eastAsia="Malgun Gothic"/>
                <w:lang w:val="en-US" w:eastAsia="ko-KR"/>
              </w:rPr>
            </w:pPr>
            <w:r>
              <w:rPr>
                <w:rFonts w:eastAsia="Malgun Gothic"/>
                <w:lang w:val="en-US" w:eastAsia="ko-KR"/>
              </w:rPr>
              <w:t>We do not agree with the proposal. This has been discussed before. And the purpose of adding user plane data was not to exclude sending unicast control plane data (such as RRC reconfiguration</w:t>
            </w:r>
            <w:r>
              <w:rPr>
                <w:rFonts w:eastAsia="Malgun Gothic"/>
                <w:lang w:val="en-US" w:eastAsia="ko-KR"/>
              </w:rPr>
              <w:t>, paging etc..</w:t>
            </w:r>
            <w:r>
              <w:rPr>
                <w:rFonts w:eastAsia="Malgun Gothic"/>
                <w:lang w:val="en-US" w:eastAsia="ko-KR"/>
              </w:rPr>
              <w:t xml:space="preserve">) to other UEs. our understanding is that, the intentions when the agreement was made is that any form of control information to other UEs can be sent. </w:t>
            </w:r>
          </w:p>
        </w:tc>
      </w:tr>
    </w:tbl>
    <w:p w14:paraId="6BCEB179"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37B53BC" w14:textId="77777777" w:rsidR="00CD30E9" w:rsidRDefault="00CD30E9">
      <w:pPr>
        <w:rPr>
          <w:lang w:val="en-US"/>
        </w:rPr>
      </w:pPr>
    </w:p>
    <w:p w14:paraId="5D4838F9" w14:textId="77777777" w:rsidR="00CD30E9" w:rsidRDefault="00114EEC">
      <w:pPr>
        <w:pStyle w:val="Heading1"/>
        <w:rPr>
          <w:color w:val="000000"/>
          <w:lang w:val="en-US"/>
        </w:rPr>
      </w:pPr>
      <w:bookmarkStart w:id="14" w:name="_Toc48566787"/>
      <w:r>
        <w:rPr>
          <w:color w:val="000000"/>
          <w:lang w:val="en-US"/>
        </w:rPr>
        <w:t>3. Conclusions</w:t>
      </w:r>
      <w:bookmarkEnd w:id="14"/>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Heading1"/>
        <w:rPr>
          <w:lang w:val="en-US"/>
        </w:rPr>
      </w:pPr>
      <w:bookmarkStart w:id="15" w:name="_Toc48566788"/>
      <w:r>
        <w:rPr>
          <w:lang w:val="en-US"/>
        </w:rPr>
        <w:t>References</w:t>
      </w:r>
      <w:bookmarkEnd w:id="15"/>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114EEC">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114EEC">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114EEC">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114EEC">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114EEC">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114EEC">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114EEC">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114EEC">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114EEC">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133F7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114EEC">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725A0" w14:textId="77777777" w:rsidR="00133F7C" w:rsidRDefault="00133F7C" w:rsidP="008C685B">
      <w:pPr>
        <w:spacing w:after="0" w:line="240" w:lineRule="auto"/>
      </w:pPr>
      <w:r>
        <w:separator/>
      </w:r>
    </w:p>
  </w:endnote>
  <w:endnote w:type="continuationSeparator" w:id="0">
    <w:p w14:paraId="4ABE3974" w14:textId="77777777" w:rsidR="00133F7C" w:rsidRDefault="00133F7C"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BatangChe"/>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7508A" w14:textId="77777777" w:rsidR="00133F7C" w:rsidRDefault="00133F7C" w:rsidP="008C685B">
      <w:pPr>
        <w:spacing w:after="0" w:line="240" w:lineRule="auto"/>
      </w:pPr>
      <w:r>
        <w:separator/>
      </w:r>
    </w:p>
  </w:footnote>
  <w:footnote w:type="continuationSeparator" w:id="0">
    <w:p w14:paraId="3BAACC72" w14:textId="77777777" w:rsidR="00133F7C" w:rsidRDefault="00133F7C" w:rsidP="008C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9B4"/>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56F"/>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3F7C"/>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89"/>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389"/>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148"/>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10EA"/>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5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47C94"/>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204"/>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TableNormal"/>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99939">
      <w:bodyDiv w:val="1"/>
      <w:marLeft w:val="0"/>
      <w:marRight w:val="0"/>
      <w:marTop w:val="0"/>
      <w:marBottom w:val="0"/>
      <w:divBdr>
        <w:top w:val="none" w:sz="0" w:space="0" w:color="auto"/>
        <w:left w:val="none" w:sz="0" w:space="0" w:color="auto"/>
        <w:bottom w:val="none" w:sz="0" w:space="0" w:color="auto"/>
        <w:right w:val="none" w:sz="0" w:space="0" w:color="auto"/>
      </w:divBdr>
    </w:div>
    <w:div w:id="409279531">
      <w:bodyDiv w:val="1"/>
      <w:marLeft w:val="0"/>
      <w:marRight w:val="0"/>
      <w:marTop w:val="0"/>
      <w:marBottom w:val="0"/>
      <w:divBdr>
        <w:top w:val="none" w:sz="0" w:space="0" w:color="auto"/>
        <w:left w:val="none" w:sz="0" w:space="0" w:color="auto"/>
        <w:bottom w:val="none" w:sz="0" w:space="0" w:color="auto"/>
        <w:right w:val="none" w:sz="0" w:space="0" w:color="auto"/>
      </w:divBdr>
    </w:div>
    <w:div w:id="46073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C196D564-54B4-44AE-9E4D-152B569E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6</Pages>
  <Words>2174</Words>
  <Characters>12394</Characters>
  <Application>Microsoft Office Word</Application>
  <DocSecurity>0</DocSecurity>
  <Lines>103</Lines>
  <Paragraphs>29</Paragraphs>
  <ScaleCrop>false</ScaleCrop>
  <Company>Nokia &amp; NSN</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Reem Karaki</cp:lastModifiedBy>
  <cp:revision>2</cp:revision>
  <cp:lastPrinted>2016-06-20T11:35:00Z</cp:lastPrinted>
  <dcterms:created xsi:type="dcterms:W3CDTF">2020-08-19T11:05:00Z</dcterms:created>
  <dcterms:modified xsi:type="dcterms:W3CDTF">2020-08-19T11:05:00Z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