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F96F4" w14:textId="77777777" w:rsidR="00CD30E9" w:rsidRDefault="00114EEC">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R1- 200</w:t>
      </w:r>
      <w:r>
        <w:rPr>
          <w:rFonts w:ascii="Arial" w:hAnsi="Arial" w:cs="Arial"/>
          <w:b/>
          <w:bCs/>
          <w:sz w:val="24"/>
          <w:szCs w:val="24"/>
          <w:highlight w:val="yellow"/>
        </w:rPr>
        <w:t>XXXX</w:t>
      </w:r>
    </w:p>
    <w:p w14:paraId="343EFCA3" w14:textId="77777777" w:rsidR="00CD30E9" w:rsidRDefault="00114EEC">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6F6EC590" w14:textId="77777777" w:rsidR="00CD30E9" w:rsidRDefault="00CD30E9">
      <w:pPr>
        <w:pStyle w:val="CRCoverPage"/>
        <w:rPr>
          <w:rFonts w:cs="Arial"/>
          <w:b/>
          <w:sz w:val="24"/>
        </w:rPr>
      </w:pPr>
    </w:p>
    <w:p w14:paraId="079E290A" w14:textId="77777777" w:rsidR="00CD30E9" w:rsidRDefault="00114EEC">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599924B2" w14:textId="77777777" w:rsidR="00CD30E9" w:rsidRDefault="00114EEC">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6321A61D" w14:textId="77777777" w:rsidR="00CD30E9" w:rsidRDefault="00114EEC">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r>
      <w:r>
        <w:rPr>
          <w:rFonts w:ascii="Arial" w:hAnsi="Arial" w:cs="Arial"/>
          <w:b/>
          <w:bCs/>
          <w:sz w:val="24"/>
          <w:lang w:val="en-US"/>
        </w:rPr>
        <w:t>Summary of [102-e-NR-unlic-NRU-ChAcc-0</w:t>
      </w:r>
      <w:r w:rsidR="008C685B">
        <w:rPr>
          <w:rFonts w:ascii="Arial" w:hAnsi="Arial" w:cs="Arial"/>
          <w:b/>
          <w:bCs/>
          <w:sz w:val="24"/>
          <w:lang w:val="en-US"/>
        </w:rPr>
        <w:t>2</w:t>
      </w:r>
      <w:r>
        <w:rPr>
          <w:rFonts w:ascii="Arial" w:hAnsi="Arial" w:cs="Arial"/>
          <w:b/>
          <w:bCs/>
          <w:sz w:val="24"/>
          <w:lang w:val="en-US"/>
        </w:rPr>
        <w:t xml:space="preserve">] Email discussion/approval on </w:t>
      </w:r>
      <w:r>
        <w:rPr>
          <w:rFonts w:ascii="Arial" w:hAnsi="Arial" w:cs="Arial"/>
          <w:b/>
          <w:bCs/>
          <w:sz w:val="24"/>
          <w:highlight w:val="yellow"/>
          <w:lang w:val="en-US"/>
        </w:rPr>
        <w:t>XXXX</w:t>
      </w:r>
    </w:p>
    <w:p w14:paraId="1CEEA47E" w14:textId="77777777" w:rsidR="00CD30E9" w:rsidRDefault="00114EEC">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0A293637" w14:textId="77777777" w:rsidR="00CD30E9" w:rsidRDefault="00114EEC">
      <w:pPr>
        <w:pStyle w:val="Heading1"/>
        <w:rPr>
          <w:lang w:val="en-US"/>
        </w:rPr>
      </w:pPr>
      <w:bookmarkStart w:id="0" w:name="_Toc48566745"/>
      <w:r>
        <w:rPr>
          <w:lang w:val="en-US"/>
        </w:rPr>
        <w:t>1</w:t>
      </w:r>
      <w:r>
        <w:rPr>
          <w:lang w:val="en-US"/>
        </w:rPr>
        <w:tab/>
        <w:t>Introduction</w:t>
      </w:r>
      <w:bookmarkEnd w:id="0"/>
    </w:p>
    <w:p w14:paraId="6A11978C" w14:textId="77777777" w:rsidR="00CD30E9" w:rsidRDefault="00114EEC">
      <w:pPr>
        <w:jc w:val="both"/>
        <w:rPr>
          <w:lang w:val="en-US" w:eastAsia="ko-KR"/>
        </w:rPr>
      </w:pPr>
      <w:r>
        <w:rPr>
          <w:lang w:val="en-US" w:eastAsia="ko-KR"/>
        </w:rPr>
        <w:t>This document captures the discussion in the following RAN1#102-e email thread:</w:t>
      </w:r>
    </w:p>
    <w:p w14:paraId="3FEFBF35" w14:textId="77777777" w:rsidR="00CD30E9" w:rsidRDefault="00114EEC">
      <w:pPr>
        <w:rPr>
          <w:lang w:eastAsia="zh-CN"/>
        </w:rPr>
      </w:pPr>
      <w:r>
        <w:rPr>
          <w:highlight w:val="cyan"/>
          <w:lang w:val="en-US" w:eastAsia="zh-CN"/>
        </w:rPr>
        <w:t xml:space="preserve">[102-e-NR-unlic-NRU-ChAcc-02] Email discussion/approval </w:t>
      </w:r>
      <w:r>
        <w:rPr>
          <w:highlight w:val="cyan"/>
          <w:lang w:val="en-US"/>
        </w:rPr>
        <w:t>of TPs to capture earlier agreements and align specifications on clarifications to UL to DL COT sharing (Issue#3 in R1-2006675)</w:t>
      </w:r>
      <w:r>
        <w:rPr>
          <w:highlight w:val="cyan"/>
          <w:lang w:val="en-US" w:eastAsia="zh-CN"/>
        </w:rPr>
        <w:t xml:space="preserve"> until 8/19 – Timo (Nokia)</w:t>
      </w:r>
    </w:p>
    <w:p w14:paraId="6B873CED" w14:textId="77777777" w:rsidR="00CD30E9" w:rsidRDefault="00CD30E9">
      <w:pPr>
        <w:pStyle w:val="ListParagraph"/>
        <w:ind w:left="360"/>
        <w:contextualSpacing w:val="0"/>
        <w:rPr>
          <w:rFonts w:ascii="Times" w:hAnsi="Times" w:cs="Times"/>
          <w:sz w:val="20"/>
          <w:szCs w:val="20"/>
          <w:lang w:val="en-GB" w:eastAsia="en-US"/>
        </w:rPr>
      </w:pPr>
    </w:p>
    <w:p w14:paraId="3E3946C9" w14:textId="77777777" w:rsidR="00CD30E9" w:rsidRDefault="00114EEC">
      <w:pPr>
        <w:jc w:val="both"/>
      </w:pPr>
      <w:r>
        <w:t>This contribution summarizes the discussion a</w:t>
      </w:r>
      <w:r>
        <w:t xml:space="preserve">nd collects companies’ views. </w:t>
      </w:r>
    </w:p>
    <w:p w14:paraId="365D5C12" w14:textId="77777777" w:rsidR="00CD30E9" w:rsidRDefault="00CD30E9">
      <w:pPr>
        <w:jc w:val="both"/>
      </w:pPr>
    </w:p>
    <w:p w14:paraId="36A1EA38" w14:textId="77777777" w:rsidR="00CD30E9" w:rsidRDefault="00114EEC">
      <w:pPr>
        <w:pStyle w:val="Heading1"/>
        <w:rPr>
          <w:color w:val="000000"/>
          <w:lang w:val="en-US"/>
        </w:rPr>
      </w:pPr>
      <w:bookmarkStart w:id="1" w:name="_Toc48566746"/>
      <w:r>
        <w:rPr>
          <w:color w:val="000000"/>
          <w:lang w:val="en-US"/>
        </w:rPr>
        <w:t>2. Issue #</w:t>
      </w:r>
      <w:bookmarkEnd w:id="1"/>
      <w:r>
        <w:rPr>
          <w:color w:val="000000"/>
          <w:lang w:val="en-US"/>
        </w:rPr>
        <w:t>3</w:t>
      </w:r>
    </w:p>
    <w:p w14:paraId="7CA32B59" w14:textId="77777777" w:rsidR="00CD30E9" w:rsidRDefault="00114EEC">
      <w:pPr>
        <w:pStyle w:val="BodyText"/>
        <w:rPr>
          <w:b/>
          <w:bCs/>
          <w:lang w:val="en-US"/>
        </w:rPr>
      </w:pPr>
      <w:r>
        <w:rPr>
          <w:b/>
          <w:bCs/>
          <w:lang w:val="en-US"/>
        </w:rPr>
        <w:t>Issue #3</w:t>
      </w:r>
      <w:r>
        <w:rPr>
          <w:lang w:val="en-US"/>
        </w:rPr>
        <w:t xml:space="preserve"> Clarifications to UL to DL COT sharing</w:t>
      </w:r>
    </w:p>
    <w:tbl>
      <w:tblPr>
        <w:tblStyle w:val="TableGrid"/>
        <w:tblW w:w="9634" w:type="dxa"/>
        <w:tblLayout w:type="fixed"/>
        <w:tblLook w:val="04A0" w:firstRow="1" w:lastRow="0" w:firstColumn="1" w:lastColumn="0" w:noHBand="0" w:noVBand="1"/>
      </w:tblPr>
      <w:tblGrid>
        <w:gridCol w:w="7366"/>
        <w:gridCol w:w="2268"/>
      </w:tblGrid>
      <w:tr w:rsidR="00CD30E9" w14:paraId="1FCCD1E6" w14:textId="77777777">
        <w:tc>
          <w:tcPr>
            <w:tcW w:w="7366" w:type="dxa"/>
          </w:tcPr>
          <w:p w14:paraId="1AC300B4" w14:textId="77777777" w:rsidR="00CD30E9" w:rsidRDefault="00114EEC">
            <w:pPr>
              <w:pStyle w:val="BodyText"/>
              <w:rPr>
                <w:lang w:val="en-US"/>
              </w:rPr>
            </w:pPr>
            <w:r>
              <w:rPr>
                <w:lang w:val="en-US"/>
              </w:rPr>
              <w:t>Clarifications to UL to DL COT sharing</w:t>
            </w:r>
          </w:p>
        </w:tc>
        <w:tc>
          <w:tcPr>
            <w:tcW w:w="2268" w:type="dxa"/>
          </w:tcPr>
          <w:p w14:paraId="45FEA72C" w14:textId="77777777" w:rsidR="00CD30E9" w:rsidRDefault="00114EEC">
            <w:pPr>
              <w:pStyle w:val="BodyText"/>
              <w:rPr>
                <w:rFonts w:cs="Arial"/>
                <w:bCs/>
                <w:lang w:val="en-US" w:eastAsia="ja-JP"/>
              </w:rPr>
            </w:pPr>
            <w:r>
              <w:rPr>
                <w:rFonts w:cs="Arial"/>
                <w:bCs/>
                <w:lang w:val="en-US" w:eastAsia="ja-JP"/>
              </w:rPr>
              <w:t>R1-2005600 (p2)</w:t>
            </w:r>
          </w:p>
          <w:p w14:paraId="55601C26" w14:textId="77777777" w:rsidR="00CD30E9" w:rsidRDefault="00114EEC">
            <w:pPr>
              <w:pStyle w:val="BodyText"/>
              <w:rPr>
                <w:rFonts w:cs="Arial"/>
                <w:bCs/>
                <w:lang w:val="en-US" w:eastAsia="ja-JP"/>
              </w:rPr>
            </w:pPr>
            <w:r>
              <w:rPr>
                <w:rFonts w:cs="Arial"/>
                <w:bCs/>
                <w:lang w:val="en-US" w:eastAsia="ja-JP"/>
              </w:rPr>
              <w:t>R1-2006020 (p1)</w:t>
            </w:r>
          </w:p>
          <w:p w14:paraId="6324BD7C" w14:textId="77777777" w:rsidR="00CD30E9" w:rsidRDefault="00114EEC">
            <w:pPr>
              <w:pStyle w:val="BodyText"/>
              <w:rPr>
                <w:rFonts w:cs="Arial"/>
                <w:bCs/>
                <w:lang w:val="en-US" w:eastAsia="ja-JP"/>
              </w:rPr>
            </w:pPr>
            <w:r>
              <w:rPr>
                <w:rFonts w:cs="Arial"/>
                <w:bCs/>
                <w:lang w:val="en-US" w:eastAsia="ja-JP"/>
              </w:rPr>
              <w:t>R1-2006301 (p4)</w:t>
            </w:r>
          </w:p>
          <w:p w14:paraId="13863C87" w14:textId="77777777" w:rsidR="00CD30E9" w:rsidRDefault="00114EEC">
            <w:pPr>
              <w:pStyle w:val="BodyText"/>
              <w:rPr>
                <w:rFonts w:cs="Arial"/>
                <w:bCs/>
                <w:lang w:val="en-US" w:eastAsia="ja-JP"/>
              </w:rPr>
            </w:pPr>
            <w:r>
              <w:rPr>
                <w:rFonts w:cs="Arial"/>
                <w:bCs/>
                <w:lang w:val="en-US" w:eastAsia="ja-JP"/>
              </w:rPr>
              <w:t>R1-2006881 (p1)</w:t>
            </w:r>
          </w:p>
        </w:tc>
      </w:tr>
    </w:tbl>
    <w:p w14:paraId="0F9D29A4"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1B533E30"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Three contributions address the issue of ED </w:t>
      </w:r>
      <w:r>
        <w:rPr>
          <w:rFonts w:ascii="Times New Roman" w:eastAsia="SimSun" w:hAnsi="Times New Roman"/>
          <w:sz w:val="22"/>
          <w:szCs w:val="22"/>
          <w:lang w:val="en-US" w:eastAsia="ko-KR"/>
        </w:rPr>
        <w:t>threshold adaptation according to the agreement from RAN1#101e:</w:t>
      </w:r>
    </w:p>
    <w:p w14:paraId="63858776"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tbl>
      <w:tblPr>
        <w:tblStyle w:val="TableGrid"/>
        <w:tblW w:w="9067" w:type="dxa"/>
        <w:tblInd w:w="704" w:type="dxa"/>
        <w:tblLayout w:type="fixed"/>
        <w:tblLook w:val="04A0" w:firstRow="1" w:lastRow="0" w:firstColumn="1" w:lastColumn="0" w:noHBand="0" w:noVBand="1"/>
      </w:tblPr>
      <w:tblGrid>
        <w:gridCol w:w="9067"/>
      </w:tblGrid>
      <w:tr w:rsidR="00CD30E9" w14:paraId="2DE54567" w14:textId="77777777">
        <w:tc>
          <w:tcPr>
            <w:tcW w:w="9067" w:type="dxa"/>
          </w:tcPr>
          <w:p w14:paraId="14AA9369" w14:textId="77777777" w:rsidR="00CD30E9" w:rsidRDefault="00114EEC">
            <w:pPr>
              <w:spacing w:after="0"/>
              <w:ind w:left="284"/>
              <w:rPr>
                <w:rFonts w:ascii="Calibri" w:eastAsia="Batang" w:hAnsi="Calibri"/>
                <w:kern w:val="2"/>
                <w:szCs w:val="22"/>
                <w:lang w:val="en-US" w:eastAsia="ko-KR"/>
              </w:rPr>
            </w:pPr>
            <w:r>
              <w:rPr>
                <w:rFonts w:ascii="Times" w:eastAsia="Batang" w:hAnsi="Times"/>
                <w:kern w:val="2"/>
                <w:szCs w:val="24"/>
                <w:highlight w:val="green"/>
                <w:lang w:eastAsia="ko-KR"/>
              </w:rPr>
              <w:t>Agreement:</w:t>
            </w:r>
          </w:p>
          <w:p w14:paraId="6EE5D8F1" w14:textId="77777777" w:rsidR="00CD30E9" w:rsidRDefault="00114EEC">
            <w:pPr>
              <w:pStyle w:val="Doc-text2"/>
              <w:tabs>
                <w:tab w:val="left" w:pos="1276"/>
              </w:tabs>
              <w:ind w:left="284" w:firstLine="0"/>
              <w:rPr>
                <w:rFonts w:ascii="Times New Roman" w:eastAsia="SimSun" w:hAnsi="Times New Roman"/>
                <w:sz w:val="22"/>
                <w:szCs w:val="22"/>
                <w:lang w:val="en-US" w:eastAsia="ko-KR"/>
              </w:rPr>
            </w:pPr>
            <w:r>
              <w:rPr>
                <w:rFonts w:ascii="Times" w:eastAsia="Batang" w:hAnsi="Times"/>
                <w:kern w:val="2"/>
                <w:lang w:eastAsia="ko-KR"/>
              </w:rPr>
              <w:t>For at least PUSCH transmissions with configured grants, a UE is allowed to choose between the ED threshold given by ul-toDL-CO-SharingED-Threshold-r16 and the default one. Whether</w:t>
            </w:r>
            <w:r>
              <w:rPr>
                <w:rFonts w:ascii="Times" w:eastAsia="Batang" w:hAnsi="Times"/>
                <w:kern w:val="2"/>
                <w:lang w:eastAsia="ko-KR"/>
              </w:rPr>
              <w:t xml:space="preserve"> a spec change is required needs further discussion. Discuss and decide the possible TPs in the next meeting.</w:t>
            </w:r>
          </w:p>
          <w:p w14:paraId="02C07F6E"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tc>
      </w:tr>
    </w:tbl>
    <w:p w14:paraId="4FA43ADD"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6A7314D6"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5BF34CCD" w14:textId="77777777" w:rsidR="00CD30E9" w:rsidRDefault="00114EEC">
      <w:pPr>
        <w:pStyle w:val="BodyText"/>
        <w:rPr>
          <w:rFonts w:cs="Arial"/>
          <w:b/>
          <w:u w:val="single"/>
          <w:lang w:val="en-US" w:eastAsia="ja-JP"/>
        </w:rPr>
      </w:pPr>
      <w:r>
        <w:rPr>
          <w:rFonts w:cs="Arial"/>
          <w:b/>
          <w:u w:val="single"/>
          <w:lang w:val="en-US" w:eastAsia="ja-JP"/>
        </w:rPr>
        <w:t>R1-2005600</w:t>
      </w:r>
    </w:p>
    <w:tbl>
      <w:tblPr>
        <w:tblStyle w:val="TableGrid"/>
        <w:tblW w:w="9771" w:type="dxa"/>
        <w:tblLayout w:type="fixed"/>
        <w:tblLook w:val="04A0" w:firstRow="1" w:lastRow="0" w:firstColumn="1" w:lastColumn="0" w:noHBand="0" w:noVBand="1"/>
      </w:tblPr>
      <w:tblGrid>
        <w:gridCol w:w="9771"/>
      </w:tblGrid>
      <w:tr w:rsidR="00CD30E9" w14:paraId="03C5035B" w14:textId="77777777">
        <w:tc>
          <w:tcPr>
            <w:tcW w:w="9771" w:type="dxa"/>
          </w:tcPr>
          <w:p w14:paraId="1FD6465E" w14:textId="77777777" w:rsidR="00CD30E9" w:rsidRDefault="00114EEC">
            <w:pPr>
              <w:rPr>
                <w:color w:val="C00000"/>
                <w:lang w:val="en-US" w:eastAsia="zh-CN"/>
              </w:rPr>
            </w:pPr>
            <w:r>
              <w:rPr>
                <w:color w:val="C00000"/>
              </w:rPr>
              <w:t xml:space="preserve">--------------------------------------------------------- </w:t>
            </w:r>
            <w:r>
              <w:rPr>
                <w:color w:val="C00000"/>
                <w:lang w:val="en-US" w:eastAsia="zh-CN"/>
              </w:rPr>
              <w:t>Start</w:t>
            </w:r>
            <w:r>
              <w:rPr>
                <w:color w:val="C00000"/>
              </w:rPr>
              <w:t xml:space="preserve"> of TP </w:t>
            </w:r>
            <w:r>
              <w:rPr>
                <w:color w:val="C00000"/>
                <w:lang w:val="en-US" w:eastAsia="zh-CN"/>
              </w:rPr>
              <w:t>#1</w:t>
            </w:r>
            <w:r>
              <w:rPr>
                <w:color w:val="C00000"/>
              </w:rPr>
              <w:t>--------------------------------------------------------</w:t>
            </w:r>
            <w:r>
              <w:rPr>
                <w:color w:val="C00000"/>
                <w:lang w:val="en-US" w:eastAsia="zh-CN"/>
              </w:rPr>
              <w:t>---------</w:t>
            </w:r>
          </w:p>
          <w:p w14:paraId="7A563B38" w14:textId="77777777" w:rsidR="00CD30E9" w:rsidRDefault="00114EEC">
            <w:pPr>
              <w:jc w:val="both"/>
              <w:rPr>
                <w:rFonts w:eastAsia="Times New Roman"/>
              </w:rPr>
            </w:pPr>
            <w:bookmarkStart w:id="2" w:name="_Toc35593624"/>
            <w:bookmarkStart w:id="3" w:name="_Toc524694444"/>
            <w:bookmarkStart w:id="4" w:name="_Toc44669032"/>
            <w:bookmarkStart w:id="5" w:name="_Toc28873166"/>
            <w:bookmarkStart w:id="6" w:name="_Toc35593611"/>
            <w:bookmarkStart w:id="7" w:name="_Toc28873153"/>
            <w:r>
              <w:t>4.2.3</w:t>
            </w:r>
            <w:r>
              <w:tab/>
              <w:t>Energy detection threshold adaptation procedure</w:t>
            </w:r>
            <w:bookmarkEnd w:id="2"/>
            <w:bookmarkEnd w:id="3"/>
            <w:bookmarkEnd w:id="4"/>
            <w:bookmarkEnd w:id="5"/>
          </w:p>
          <w:p w14:paraId="592AC097" w14:textId="77777777" w:rsidR="00CD30E9" w:rsidRDefault="00114EEC">
            <w:pPr>
              <w:jc w:val="both"/>
              <w:rPr>
                <w:lang w:val="en-US"/>
              </w:rPr>
            </w:pPr>
            <w:r>
              <w:rPr>
                <w:lang w:val="en-US"/>
              </w:rPr>
              <w:t>A UE accessing a channel on which UL transmission(s) are performed, shall set the energy detection threshold (</w:t>
            </w:r>
            <w:r>
              <w:fldChar w:fldCharType="begin"/>
            </w:r>
            <w:r>
              <w:rPr>
                <w:lang w:val="en-US"/>
              </w:rPr>
              <w:instrText xml:space="preserve"> QUOTE </w:instrText>
            </w:r>
            <w:r w:rsidR="008C685B">
              <w:rPr>
                <w:position w:val="-5"/>
              </w:rPr>
              <w:pict w14:anchorId="3A90D3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pt;height:12.25pt" equationxml="&lt;">
                  <v:imagedata r:id="rId13" o:title="" chromakey="white"/>
                </v:shape>
              </w:pict>
            </w:r>
            <w:r>
              <w:rPr>
                <w:lang w:val="en-US"/>
              </w:rPr>
              <w:instrText xml:space="preserve"> </w:instrText>
            </w:r>
            <w:r>
              <w:fldChar w:fldCharType="separate"/>
            </w:r>
            <w:r>
              <w:rPr>
                <w:position w:val="-5"/>
              </w:rPr>
              <w:pict w14:anchorId="61158822">
                <v:shape id="_x0000_i1026" type="#_x0000_t75" style="width:25.3pt;height:12.25pt" equationxml="&lt;">
                  <v:imagedata r:id="rId13" o:title="" chromakey="white"/>
                </v:shape>
              </w:pict>
            </w:r>
            <w:r>
              <w:fldChar w:fldCharType="end"/>
            </w:r>
            <w:r>
              <w:rPr>
                <w:lang w:val="en-US"/>
              </w:rPr>
              <w:t xml:space="preserve">) to be less than or equal to the maximum energy detection threshold </w:t>
            </w:r>
            <w:r>
              <w:fldChar w:fldCharType="begin"/>
            </w:r>
            <w:r>
              <w:rPr>
                <w:lang w:val="en-US"/>
              </w:rPr>
              <w:instrText xml:space="preserve"> QUOTE </w:instrText>
            </w:r>
            <w:r w:rsidR="008C685B">
              <w:rPr>
                <w:position w:val="-8"/>
              </w:rPr>
              <w:pict w14:anchorId="12147CF6">
                <v:shape id="_x0000_i1027" type="#_x0000_t75" style="width:41.35pt;height:13pt" equationxml="&lt;">
                  <v:imagedata r:id="rId14" o:title="" chromakey="white"/>
                </v:shape>
              </w:pict>
            </w:r>
            <w:r>
              <w:rPr>
                <w:lang w:val="en-US"/>
              </w:rPr>
              <w:instrText xml:space="preserve"> </w:instrText>
            </w:r>
            <w:r>
              <w:fldChar w:fldCharType="separate"/>
            </w:r>
            <w:r>
              <w:rPr>
                <w:position w:val="-8"/>
              </w:rPr>
              <w:pict w14:anchorId="370A9F77">
                <v:shape id="_x0000_i1028" type="#_x0000_t75" style="width:41.35pt;height:13pt" equationxml="&lt;">
                  <v:imagedata r:id="rId14" o:title="" chromakey="white"/>
                </v:shape>
              </w:pict>
            </w:r>
            <w:r>
              <w:fldChar w:fldCharType="end"/>
            </w:r>
            <w:r>
              <w:rPr>
                <w:lang w:val="en-US"/>
              </w:rPr>
              <w:t>.</w:t>
            </w:r>
          </w:p>
          <w:p w14:paraId="582B3466" w14:textId="77777777" w:rsidR="00CD30E9" w:rsidRDefault="00114EEC">
            <w:pPr>
              <w:jc w:val="both"/>
              <w:rPr>
                <w:lang w:val="en-US"/>
              </w:rPr>
            </w:pPr>
            <w:r>
              <w:fldChar w:fldCharType="begin"/>
            </w:r>
            <w:r>
              <w:rPr>
                <w:lang w:val="en-US"/>
              </w:rPr>
              <w:instrText xml:space="preserve"> QUOTE </w:instrText>
            </w:r>
            <w:r w:rsidR="008C685B">
              <w:rPr>
                <w:position w:val="-8"/>
              </w:rPr>
              <w:pict w14:anchorId="2D94779E">
                <v:shape id="_x0000_i1029" type="#_x0000_t75" style="width:41.35pt;height:13pt" equationxml="&lt;">
                  <v:imagedata r:id="rId14" o:title="" chromakey="white"/>
                </v:shape>
              </w:pict>
            </w:r>
            <w:r>
              <w:rPr>
                <w:lang w:val="en-US"/>
              </w:rPr>
              <w:instrText xml:space="preserve"> </w:instrText>
            </w:r>
            <w:r>
              <w:fldChar w:fldCharType="separate"/>
            </w:r>
            <w:r>
              <w:rPr>
                <w:position w:val="-8"/>
              </w:rPr>
              <w:pict w14:anchorId="33BDA4A4">
                <v:shape id="_x0000_i1030" type="#_x0000_t75" style="width:41.35pt;height:13pt" equationxml="&lt;">
                  <v:imagedata r:id="rId14" o:title="" chromakey="white"/>
                </v:shape>
              </w:pict>
            </w:r>
            <w:r>
              <w:fldChar w:fldCharType="end"/>
            </w:r>
            <w:r>
              <w:rPr>
                <w:lang w:val="en-US"/>
              </w:rPr>
              <w:t xml:space="preserve"> is determined as follows:</w:t>
            </w:r>
          </w:p>
          <w:p w14:paraId="0C861B34" w14:textId="77777777" w:rsidR="00CD30E9" w:rsidRDefault="00114EEC">
            <w:pPr>
              <w:pStyle w:val="B1"/>
              <w:jc w:val="both"/>
            </w:pPr>
            <w:r>
              <w:lastRenderedPageBreak/>
              <w:t>-</w:t>
            </w:r>
            <w:r>
              <w:tab/>
              <w:t xml:space="preserve">If the UE is configured with higher layer parameter </w:t>
            </w:r>
            <w:r>
              <w:rPr>
                <w:i/>
              </w:rPr>
              <w:t>maxEnergyDetectionThreshold-r14</w:t>
            </w:r>
            <w:r>
              <w:t xml:space="preserve"> or </w:t>
            </w:r>
            <w:r>
              <w:rPr>
                <w:i/>
              </w:rPr>
              <w:t>maxEnergyDetectionThreshold-r16</w:t>
            </w:r>
            <w:r>
              <w:t xml:space="preserve">, </w:t>
            </w:r>
          </w:p>
          <w:p w14:paraId="0FCE4DD2" w14:textId="77777777" w:rsidR="00CD30E9" w:rsidRDefault="00114EEC">
            <w:pPr>
              <w:pStyle w:val="B2"/>
              <w:jc w:val="both"/>
            </w:pPr>
            <w:r>
              <w:t>-</w:t>
            </w:r>
            <w:r>
              <w:tab/>
            </w:r>
            <w:r>
              <w:fldChar w:fldCharType="begin"/>
            </w:r>
            <w:r>
              <w:instrText xml:space="preserve"> QUOTE </w:instrText>
            </w:r>
            <w:r w:rsidR="008C685B">
              <w:rPr>
                <w:position w:val="-8"/>
              </w:rPr>
              <w:pict w14:anchorId="0D6202EB">
                <v:shape id="_x0000_i1031" type="#_x0000_t75" style="width:41.35pt;height:13pt" equationxml="&lt;">
                  <v:imagedata r:id="rId15" o:title="" chromakey="white"/>
                </v:shape>
              </w:pict>
            </w:r>
            <w:r>
              <w:instrText xml:space="preserve"> </w:instrText>
            </w:r>
            <w:r>
              <w:fldChar w:fldCharType="separate"/>
            </w:r>
            <w:r w:rsidR="008C685B">
              <w:rPr>
                <w:position w:val="-8"/>
              </w:rPr>
              <w:pict w14:anchorId="0416B4F6">
                <v:shape id="_x0000_i1032" type="#_x0000_t75" style="width:41.35pt;height:13pt" equationxml="&lt;">
                  <v:imagedata r:id="rId15" o:title="" chromakey="white"/>
                </v:shape>
              </w:pict>
            </w:r>
            <w:r>
              <w:fldChar w:fldCharType="end"/>
            </w:r>
            <w:r>
              <w:t xml:space="preserve"> is set equal to the value signalled by the higher layer parameter;</w:t>
            </w:r>
          </w:p>
          <w:p w14:paraId="788C200B" w14:textId="77777777" w:rsidR="00CD30E9" w:rsidRDefault="00114EEC">
            <w:pPr>
              <w:pStyle w:val="B1"/>
              <w:jc w:val="both"/>
            </w:pPr>
            <w:r>
              <w:t>-</w:t>
            </w:r>
            <w:r>
              <w:tab/>
              <w:t>otherwise</w:t>
            </w:r>
          </w:p>
          <w:p w14:paraId="32B62D06" w14:textId="77777777" w:rsidR="00CD30E9" w:rsidRDefault="00114EEC">
            <w:pPr>
              <w:pStyle w:val="B2"/>
              <w:jc w:val="both"/>
              <w:rPr>
                <w:lang w:val="en-US"/>
              </w:rPr>
            </w:pPr>
            <w:r>
              <w:t>-</w:t>
            </w:r>
            <w:r>
              <w:tab/>
              <w:t xml:space="preserve">the UE shall determine </w:t>
            </w:r>
            <w:r>
              <w:fldChar w:fldCharType="begin"/>
            </w:r>
            <w:r>
              <w:instrText xml:space="preserve"> QUOTE </w:instrText>
            </w:r>
            <w:r w:rsidR="008C685B">
              <w:rPr>
                <w:position w:val="-8"/>
              </w:rPr>
              <w:pict w14:anchorId="7628EEB2">
                <v:shape id="_x0000_i1033" type="#_x0000_t75" style="width:45.2pt;height:13pt" equationxml="&lt;">
                  <v:imagedata r:id="rId16" o:title="" chromakey="white"/>
                </v:shape>
              </w:pict>
            </w:r>
            <w:r>
              <w:instrText xml:space="preserve"> </w:instrText>
            </w:r>
            <w:r>
              <w:fldChar w:fldCharType="separate"/>
            </w:r>
            <w:r w:rsidR="008C685B">
              <w:rPr>
                <w:position w:val="-8"/>
              </w:rPr>
              <w:pict w14:anchorId="1B5A1EBF">
                <v:shape id="_x0000_i1034" type="#_x0000_t75" style="width:45.2pt;height:13pt" equationxml="&lt;">
                  <v:imagedata r:id="rId16" o:title="" chromakey="white"/>
                </v:shape>
              </w:pict>
            </w:r>
            <w:r>
              <w:fldChar w:fldCharType="end"/>
            </w:r>
            <w:r>
              <w:t xml:space="preserve"> according to the procedure described in clause 4.2.3.1;</w:t>
            </w:r>
          </w:p>
          <w:p w14:paraId="11EA0FBB" w14:textId="77777777" w:rsidR="00CD30E9" w:rsidRDefault="00114EEC">
            <w:pPr>
              <w:pStyle w:val="B2"/>
              <w:jc w:val="both"/>
              <w:rPr>
                <w:lang w:val="en-US"/>
              </w:rPr>
            </w:pPr>
            <w:r>
              <w:t>-</w:t>
            </w:r>
            <w:r>
              <w:tab/>
              <w:t xml:space="preserve">if the UE is configured with higher layer parameter </w:t>
            </w:r>
            <w:r>
              <w:rPr>
                <w:i/>
              </w:rPr>
              <w:t>energyDetectionThresh</w:t>
            </w:r>
            <w:r>
              <w:rPr>
                <w:i/>
              </w:rPr>
              <w:t>oldOffset-r14</w:t>
            </w:r>
            <w:r>
              <w:t xml:space="preserve"> or </w:t>
            </w:r>
            <w:r>
              <w:rPr>
                <w:i/>
              </w:rPr>
              <w:t>energyDetectionThresholdOffset-r16</w:t>
            </w:r>
          </w:p>
          <w:p w14:paraId="5B6A3686" w14:textId="77777777" w:rsidR="00CD30E9" w:rsidRDefault="00114EEC">
            <w:pPr>
              <w:pStyle w:val="B3"/>
              <w:jc w:val="both"/>
              <w:rPr>
                <w:lang w:val="en-US"/>
              </w:rPr>
            </w:pPr>
            <w:r>
              <w:t>-</w:t>
            </w:r>
            <w:r>
              <w:tab/>
            </w:r>
            <w:r>
              <w:fldChar w:fldCharType="begin"/>
            </w:r>
            <w:r>
              <w:instrText xml:space="preserve"> QUOTE </w:instrText>
            </w:r>
            <w:r w:rsidR="008C685B">
              <w:rPr>
                <w:position w:val="-8"/>
              </w:rPr>
              <w:pict w14:anchorId="6B5A576E">
                <v:shape id="_x0000_i1035" type="#_x0000_t75" style="width:41.35pt;height:13pt" equationxml="&lt;">
                  <v:imagedata r:id="rId14" o:title="" chromakey="white"/>
                </v:shape>
              </w:pict>
            </w:r>
            <w:r>
              <w:instrText xml:space="preserve"> </w:instrText>
            </w:r>
            <w:r>
              <w:fldChar w:fldCharType="separate"/>
            </w:r>
            <w:r w:rsidR="008C685B">
              <w:rPr>
                <w:position w:val="-8"/>
              </w:rPr>
              <w:pict w14:anchorId="03D91332">
                <v:shape id="_x0000_i1036" type="#_x0000_t75" style="width:41.35pt;height:13pt" equationxml="&lt;">
                  <v:imagedata r:id="rId14" o:title="" chromakey="white"/>
                </v:shape>
              </w:pict>
            </w:r>
            <w:r>
              <w:fldChar w:fldCharType="end"/>
            </w:r>
            <w:r>
              <w:t xml:space="preserve"> is set by adjusting </w:t>
            </w:r>
            <w:r>
              <w:fldChar w:fldCharType="begin"/>
            </w:r>
            <w:r>
              <w:instrText xml:space="preserve"> QUOTE </w:instrText>
            </w:r>
            <w:r w:rsidR="008C685B">
              <w:rPr>
                <w:position w:val="-8"/>
              </w:rPr>
              <w:pict w14:anchorId="39C21EEF">
                <v:shape id="_x0000_i1037" type="#_x0000_t75" style="width:45.2pt;height:13pt" equationxml="&lt;">
                  <v:imagedata r:id="rId16" o:title="" chromakey="white"/>
                </v:shape>
              </w:pict>
            </w:r>
            <w:r>
              <w:instrText xml:space="preserve"> </w:instrText>
            </w:r>
            <w:r>
              <w:fldChar w:fldCharType="separate"/>
            </w:r>
            <w:r w:rsidR="008C685B">
              <w:rPr>
                <w:position w:val="-8"/>
              </w:rPr>
              <w:pict w14:anchorId="67299262">
                <v:shape id="_x0000_i1038" type="#_x0000_t75" style="width:45.2pt;height:13pt" equationxml="&lt;">
                  <v:imagedata r:id="rId16" o:title="" chromakey="white"/>
                </v:shape>
              </w:pict>
            </w:r>
            <w:r>
              <w:fldChar w:fldCharType="end"/>
            </w:r>
            <w:r>
              <w:t xml:space="preserve"> according to the offset value signalled by the higher layer parameter;</w:t>
            </w:r>
          </w:p>
          <w:p w14:paraId="14BA985C" w14:textId="77777777" w:rsidR="00CD30E9" w:rsidRDefault="00114EEC">
            <w:pPr>
              <w:pStyle w:val="B2"/>
              <w:jc w:val="both"/>
              <w:rPr>
                <w:lang w:val="en-US"/>
              </w:rPr>
            </w:pPr>
            <w:r>
              <w:t>-</w:t>
            </w:r>
            <w:r>
              <w:tab/>
              <w:t>otherwise</w:t>
            </w:r>
          </w:p>
          <w:p w14:paraId="5573C78E" w14:textId="77777777" w:rsidR="00CD30E9" w:rsidRDefault="00114EEC">
            <w:pPr>
              <w:pStyle w:val="B3"/>
              <w:jc w:val="both"/>
            </w:pPr>
            <w:r>
              <w:t>-</w:t>
            </w:r>
            <w:r>
              <w:tab/>
              <w:t xml:space="preserve">the UE shall set </w:t>
            </w:r>
            <w:r>
              <w:fldChar w:fldCharType="begin"/>
            </w:r>
            <w:r>
              <w:instrText xml:space="preserve"> QUOTE </w:instrText>
            </w:r>
            <w:r w:rsidR="008C685B">
              <w:rPr>
                <w:position w:val="-8"/>
              </w:rPr>
              <w:pict w14:anchorId="40E1B875">
                <v:shape id="_x0000_i1039" type="#_x0000_t75" style="width:98.8pt;height:13pt" equationxml="&lt;">
                  <v:imagedata r:id="rId17" o:title="" chromakey="white"/>
                </v:shape>
              </w:pict>
            </w:r>
            <w:r>
              <w:instrText xml:space="preserve"> </w:instrText>
            </w:r>
            <w:r>
              <w:fldChar w:fldCharType="separate"/>
            </w:r>
            <w:r w:rsidR="008C685B">
              <w:rPr>
                <w:position w:val="-8"/>
              </w:rPr>
              <w:pict w14:anchorId="2E6E27D6">
                <v:shape id="_x0000_i1040" type="#_x0000_t75" style="width:98.8pt;height:13pt" equationxml="&lt;">
                  <v:imagedata r:id="rId17" o:title="" chromakey="white"/>
                </v:shape>
              </w:pict>
            </w:r>
            <w:r>
              <w:fldChar w:fldCharType="end"/>
            </w:r>
            <w:r>
              <w:t>.</w:t>
            </w:r>
          </w:p>
          <w:p w14:paraId="55BB6D06" w14:textId="77777777" w:rsidR="00CD30E9" w:rsidRDefault="00114EEC">
            <w:pPr>
              <w:jc w:val="both"/>
              <w:rPr>
                <w:rStyle w:val="eop"/>
                <w:color w:val="000000"/>
                <w:lang w:val="en-US" w:eastAsia="sv-SE"/>
              </w:rPr>
            </w:pPr>
            <w:r>
              <w:rPr>
                <w:lang w:val="en-US"/>
              </w:rPr>
              <w:t xml:space="preserve">If the higher layer parameter </w:t>
            </w:r>
            <w:r>
              <w:rPr>
                <w:i/>
                <w:lang w:val="en-US"/>
              </w:rPr>
              <w:t>absence</w:t>
            </w:r>
            <w:r>
              <w:rPr>
                <w:i/>
                <w:lang w:val="en-US"/>
              </w:rPr>
              <w:t xml:space="preserve">OfAnyOtherTechnology-r16 </w:t>
            </w:r>
            <w:r>
              <w:rPr>
                <w:lang w:val="en-US"/>
              </w:rPr>
              <w:t xml:space="preserve">is not configured to a UE, and the higher layer parameter </w:t>
            </w:r>
            <w:r>
              <w:rPr>
                <w:i/>
                <w:lang w:val="en-US"/>
              </w:rPr>
              <w:t>ul-toDL-COT-SharingED-Threshold-r16</w:t>
            </w:r>
            <w:r>
              <w:rPr>
                <w:i/>
                <w:lang w:val="en-US" w:eastAsia="zh-CN"/>
              </w:rPr>
              <w:t xml:space="preserve"> </w:t>
            </w:r>
            <w:r>
              <w:rPr>
                <w:lang w:val="en-US"/>
              </w:rPr>
              <w:t xml:space="preserve">is configured to the UE, the gNB should use the gNB's transmit power in determining the resulting energy detection threshold </w:t>
            </w:r>
            <w:r>
              <w:rPr>
                <w:i/>
                <w:lang w:val="en-US"/>
              </w:rPr>
              <w:t>ul-toDL-COT-</w:t>
            </w:r>
            <w:r>
              <w:rPr>
                <w:i/>
                <w:lang w:val="en-US"/>
              </w:rPr>
              <w:t>SharingED-Threshold-r16</w:t>
            </w:r>
            <w:r>
              <w:rPr>
                <w:rStyle w:val="eop"/>
                <w:color w:val="000000"/>
                <w:lang w:val="en-US"/>
              </w:rPr>
              <w:t xml:space="preserve">. </w:t>
            </w:r>
          </w:p>
          <w:p w14:paraId="1252623D" w14:textId="77777777" w:rsidR="00CD30E9" w:rsidRDefault="00114EEC">
            <w:pPr>
              <w:spacing w:beforeLines="50" w:before="120" w:afterLines="50" w:after="120"/>
              <w:jc w:val="both"/>
              <w:rPr>
                <w:lang w:eastAsia="zh-CN"/>
              </w:rPr>
            </w:pPr>
            <w:bookmarkStart w:id="8" w:name="_Hlk24365483"/>
            <w:r>
              <w:rPr>
                <w:lang w:val="en-US"/>
              </w:rPr>
              <w:t>For the case where a UE</w:t>
            </w:r>
            <w:bookmarkStart w:id="9" w:name="_Hlk24365304"/>
            <w:r>
              <w:rPr>
                <w:lang w:val="en-US"/>
              </w:rPr>
              <w:t xml:space="preserve"> performs channel access procedures as described in clause 4.2.1.2.1</w:t>
            </w:r>
            <w:bookmarkEnd w:id="9"/>
            <w:r>
              <w:rPr>
                <w:lang w:val="en-US"/>
              </w:rPr>
              <w:t xml:space="preserve"> and shares its corresponding channel occupancy time with the gNB, </w:t>
            </w:r>
            <w:r>
              <w:rPr>
                <w:color w:val="FF0000"/>
                <w:lang w:val="en-US" w:eastAsia="zh-CN"/>
              </w:rPr>
              <w:t>for scheduling UL transmission,</w:t>
            </w:r>
            <w:r>
              <w:rPr>
                <w:lang w:val="en-US"/>
              </w:rPr>
              <w:t xml:space="preserve"> </w:t>
            </w:r>
            <w:r>
              <w:fldChar w:fldCharType="begin"/>
            </w:r>
            <w:r>
              <w:rPr>
                <w:lang w:val="en-US"/>
              </w:rPr>
              <w:instrText xml:space="preserve"> QUOTE </w:instrText>
            </w:r>
            <w:r w:rsidR="008C685B">
              <w:rPr>
                <w:position w:val="-8"/>
              </w:rPr>
              <w:pict w14:anchorId="52FB1395">
                <v:shape id="_x0000_i1041" type="#_x0000_t75" style="width:41.35pt;height:13pt" equationxml="&lt;">
                  <v:imagedata r:id="rId14" o:title="" chromakey="white"/>
                </v:shape>
              </w:pict>
            </w:r>
            <w:r>
              <w:rPr>
                <w:lang w:val="en-US"/>
              </w:rPr>
              <w:instrText xml:space="preserve"> </w:instrText>
            </w:r>
            <w:r>
              <w:fldChar w:fldCharType="separate"/>
            </w:r>
            <w:r w:rsidR="008C685B">
              <w:rPr>
                <w:position w:val="-8"/>
              </w:rPr>
              <w:pict w14:anchorId="052B28FA">
                <v:shape id="_x0000_i1042" type="#_x0000_t75" style="width:41.35pt;height:13pt" equationxml="&lt;">
                  <v:imagedata r:id="rId14" o:title="" chromakey="white"/>
                </v:shape>
              </w:pict>
            </w:r>
            <w:r>
              <w:fldChar w:fldCharType="end"/>
            </w:r>
            <w:r>
              <w:rPr>
                <w:lang w:val="en-US"/>
              </w:rPr>
              <w:t xml:space="preserve"> is set equal to the value provided by the higher layer parameter </w:t>
            </w:r>
            <w:r>
              <w:rPr>
                <w:i/>
                <w:lang w:val="en-US"/>
              </w:rPr>
              <w:t>ul-toDL-COT-SharingED-Threshold-r16</w:t>
            </w:r>
            <w:r>
              <w:rPr>
                <w:lang w:val="en-US"/>
              </w:rPr>
              <w:t>, if provided</w:t>
            </w:r>
            <w:r>
              <w:rPr>
                <w:rStyle w:val="eop"/>
                <w:color w:val="000000"/>
                <w:lang w:val="en-US"/>
              </w:rPr>
              <w:t>.</w:t>
            </w:r>
            <w:bookmarkEnd w:id="8"/>
            <w:r>
              <w:rPr>
                <w:rStyle w:val="eop"/>
                <w:color w:val="000000"/>
                <w:lang w:val="en-US" w:eastAsia="zh-CN"/>
              </w:rPr>
              <w:t xml:space="preserve"> </w:t>
            </w:r>
            <w:r>
              <w:rPr>
                <w:rStyle w:val="eop"/>
                <w:color w:val="FF0000"/>
                <w:lang w:val="en-US" w:eastAsia="zh-CN"/>
              </w:rPr>
              <w:t xml:space="preserve">Otherwise, </w:t>
            </w:r>
            <w:r>
              <w:fldChar w:fldCharType="begin"/>
            </w:r>
            <w:r>
              <w:rPr>
                <w:rStyle w:val="eop"/>
                <w:color w:val="FF0000"/>
                <w:lang w:val="en-US" w:eastAsia="zh-CN"/>
              </w:rPr>
              <w:instrText xml:space="preserve"> QUOTE </w:instrText>
            </w:r>
            <w:r w:rsidR="008C685B">
              <w:rPr>
                <w:color w:val="FF0000"/>
                <w:lang w:val="en-US" w:eastAsia="zh-CN"/>
              </w:rPr>
              <w:pict w14:anchorId="63CFBD3C">
                <v:shape id="_x0000_i1043" type="#_x0000_t75" style="width:41.35pt;height:13pt" equationxml="&lt;">
                  <v:imagedata r:id="rId14" o:title="" chromakey="white"/>
                </v:shape>
              </w:pict>
            </w:r>
            <w:r>
              <w:rPr>
                <w:rStyle w:val="eop"/>
                <w:color w:val="FF0000"/>
                <w:lang w:val="en-US" w:eastAsia="zh-CN"/>
              </w:rPr>
              <w:instrText xml:space="preserve"> </w:instrText>
            </w:r>
            <w:r>
              <w:fldChar w:fldCharType="separate"/>
            </w:r>
            <w:r w:rsidR="008C685B">
              <w:rPr>
                <w:color w:val="FF0000"/>
                <w:lang w:val="en-US" w:eastAsia="zh-CN"/>
              </w:rPr>
              <w:pict w14:anchorId="339B8C67">
                <v:shape id="_x0000_i1044" type="#_x0000_t75" style="width:41.35pt;height:13pt" equationxml="&lt;">
                  <v:imagedata r:id="rId14" o:title="" chromakey="white"/>
                </v:shape>
              </w:pict>
            </w:r>
            <w:r>
              <w:fldChar w:fldCharType="end"/>
            </w:r>
            <w:r>
              <w:rPr>
                <w:rStyle w:val="eop"/>
                <w:color w:val="FF0000"/>
                <w:lang w:val="en-US" w:eastAsia="zh-CN"/>
              </w:rPr>
              <w:t xml:space="preserve"> is set by </w:t>
            </w:r>
            <w:r>
              <w:rPr>
                <w:color w:val="FF0000"/>
                <w:lang w:val="en-US" w:eastAsia="zh-CN"/>
              </w:rPr>
              <w:t xml:space="preserve">the above method in Section 4.2.3.1. For configured grant UL transmission, </w:t>
            </w:r>
            <m:oMath>
              <m:sSub>
                <m:sSubPr>
                  <m:ctrlPr>
                    <w:rPr>
                      <w:rFonts w:ascii="Cambria Math" w:eastAsia="Times New Roman" w:hAnsi="Cambria Math"/>
                      <w:i/>
                    </w:rPr>
                  </m:ctrlPr>
                </m:sSubPr>
                <m:e>
                  <m:r>
                    <w:rPr>
                      <w:rFonts w:ascii="Cambria Math" w:hAnsi="Cambria Math"/>
                    </w:rPr>
                    <m:t>X</m:t>
                  </m:r>
                </m:e>
                <m:sub>
                  <m:r>
                    <m:rPr>
                      <m:nor/>
                    </m:rPr>
                    <w:rPr>
                      <w:rFonts w:ascii="Cambria Math" w:hAnsi="Cambria Math"/>
                      <w:lang w:val="en-US"/>
                    </w:rPr>
                    <m:t>Thresh_max</m:t>
                  </m:r>
                  <m:ctrlPr>
                    <w:rPr>
                      <w:rFonts w:ascii="Cambria Math" w:eastAsia="Times New Roman" w:hAnsi="Cambria Math"/>
                    </w:rPr>
                  </m:ctrlPr>
                </m:sub>
              </m:sSub>
            </m:oMath>
            <w:r>
              <w:rPr>
                <w:lang w:val="en-US" w:eastAsia="zh-CN"/>
              </w:rPr>
              <w:t xml:space="preserve"> </w:t>
            </w:r>
            <w:r>
              <w:rPr>
                <w:color w:val="FF0000"/>
                <w:lang w:val="en-US" w:eastAsia="zh-CN"/>
              </w:rPr>
              <w:t xml:space="preserve">is determined by </w:t>
            </w:r>
            <w:r>
              <w:rPr>
                <w:color w:val="FF0000"/>
                <w:lang w:val="en-US" w:eastAsia="zh-CN"/>
              </w:rPr>
              <w:t xml:space="preserve">UE to choose the energy detection threshold given by the higher layer parameter </w:t>
            </w:r>
            <w:r>
              <w:rPr>
                <w:i/>
                <w:iCs/>
                <w:color w:val="FF0000"/>
                <w:lang w:val="en-US" w:eastAsia="zh-CN"/>
              </w:rPr>
              <w:t xml:space="preserve">ul-toDL-COT-SharingED-Threshold-r16 </w:t>
            </w:r>
            <w:r>
              <w:rPr>
                <w:color w:val="FF0000"/>
                <w:lang w:val="en-US" w:eastAsia="zh-CN"/>
              </w:rPr>
              <w:t>if provided and the above method in Section 4.2.3.1</w:t>
            </w:r>
            <w:bookmarkEnd w:id="6"/>
            <w:bookmarkEnd w:id="7"/>
          </w:p>
          <w:p w14:paraId="7D8F7694" w14:textId="77777777" w:rsidR="00CD30E9" w:rsidRDefault="00114EEC">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#1</w:t>
            </w:r>
            <w:r>
              <w:rPr>
                <w:color w:val="C00000"/>
              </w:rPr>
              <w:t>------------------</w:t>
            </w:r>
            <w:r>
              <w:rPr>
                <w:color w:val="C00000"/>
              </w:rPr>
              <w:t>--------------------------------------</w:t>
            </w:r>
            <w:r>
              <w:rPr>
                <w:color w:val="C00000"/>
                <w:lang w:val="en-US" w:eastAsia="zh-CN"/>
              </w:rPr>
              <w:t>---------</w:t>
            </w:r>
          </w:p>
        </w:tc>
      </w:tr>
    </w:tbl>
    <w:p w14:paraId="381E69A4" w14:textId="77777777" w:rsidR="00CD30E9" w:rsidRDefault="00CD30E9">
      <w:pPr>
        <w:pStyle w:val="BodyText"/>
        <w:rPr>
          <w:rFonts w:cs="Arial"/>
          <w:bCs/>
          <w:lang w:val="en-US" w:eastAsia="ja-JP"/>
        </w:rPr>
      </w:pPr>
    </w:p>
    <w:p w14:paraId="01C7792C" w14:textId="77777777" w:rsidR="00CD30E9" w:rsidRDefault="00114EEC">
      <w:pPr>
        <w:pStyle w:val="BodyText"/>
        <w:rPr>
          <w:rFonts w:cs="Arial"/>
          <w:b/>
          <w:u w:val="single"/>
          <w:lang w:val="en-US" w:eastAsia="ja-JP"/>
        </w:rPr>
      </w:pPr>
      <w:r>
        <w:rPr>
          <w:rFonts w:cs="Arial"/>
          <w:b/>
          <w:u w:val="single"/>
          <w:lang w:val="en-US" w:eastAsia="ja-JP"/>
        </w:rPr>
        <w:t>R1-2006020</w:t>
      </w:r>
    </w:p>
    <w:tbl>
      <w:tblPr>
        <w:tblStyle w:val="TableGrid"/>
        <w:tblW w:w="9771" w:type="dxa"/>
        <w:tblLayout w:type="fixed"/>
        <w:tblLook w:val="04A0" w:firstRow="1" w:lastRow="0" w:firstColumn="1" w:lastColumn="0" w:noHBand="0" w:noVBand="1"/>
      </w:tblPr>
      <w:tblGrid>
        <w:gridCol w:w="9771"/>
      </w:tblGrid>
      <w:tr w:rsidR="00CD30E9" w14:paraId="5EE39E20" w14:textId="77777777">
        <w:tc>
          <w:tcPr>
            <w:tcW w:w="9771" w:type="dxa"/>
          </w:tcPr>
          <w:p w14:paraId="5C803020" w14:textId="77777777" w:rsidR="00CD30E9" w:rsidRDefault="00114EEC">
            <w:pPr>
              <w:pStyle w:val="BodyText"/>
              <w:rPr>
                <w:color w:val="0000FF"/>
                <w:lang w:val="en-US" w:eastAsia="zh-CN"/>
              </w:rPr>
            </w:pPr>
            <w:r>
              <w:rPr>
                <w:color w:val="0000FF"/>
                <w:lang w:eastAsia="zh-CN"/>
              </w:rPr>
              <w:t>----------------------------------- TP1: Start of TP 37.213 section 4.2.3 ---------------------------------------</w:t>
            </w:r>
          </w:p>
          <w:p w14:paraId="3CC31CBC" w14:textId="77777777" w:rsidR="00CD30E9" w:rsidRDefault="00114EEC">
            <w:pPr>
              <w:pStyle w:val="BodyText"/>
              <w:rPr>
                <w:rFonts w:ascii="Arial" w:eastAsia="MS Mincho" w:hAnsi="Arial" w:cs="Arial"/>
                <w:sz w:val="28"/>
                <w:szCs w:val="28"/>
              </w:rPr>
            </w:pPr>
            <w:r>
              <w:rPr>
                <w:rFonts w:ascii="Arial" w:hAnsi="Arial" w:cs="Arial"/>
                <w:sz w:val="28"/>
                <w:szCs w:val="28"/>
              </w:rPr>
              <w:t>4.2.3</w:t>
            </w:r>
            <w:r>
              <w:rPr>
                <w:rFonts w:ascii="Arial" w:hAnsi="Arial" w:cs="Arial"/>
                <w:sz w:val="28"/>
                <w:szCs w:val="28"/>
              </w:rPr>
              <w:tab/>
              <w:t>Energy detection threshold adaptation procedure</w:t>
            </w:r>
          </w:p>
          <w:p w14:paraId="2432325D" w14:textId="77777777" w:rsidR="00CD30E9" w:rsidRDefault="00114EEC">
            <w:pPr>
              <w:jc w:val="center"/>
              <w:rPr>
                <w:rFonts w:eastAsia="Malgun Gothic"/>
                <w:color w:val="FF0000"/>
                <w:lang w:eastAsia="ko-KR"/>
              </w:rPr>
            </w:pPr>
            <w:r>
              <w:rPr>
                <w:color w:val="0000FF"/>
                <w:lang w:eastAsia="zh-CN"/>
              </w:rPr>
              <w:t xml:space="preserve">&lt;Unchanged parts are </w:t>
            </w:r>
            <w:r>
              <w:rPr>
                <w:color w:val="0000FF"/>
                <w:lang w:eastAsia="zh-CN"/>
              </w:rPr>
              <w:t>omitted&gt;</w:t>
            </w:r>
          </w:p>
          <w:p w14:paraId="34C2DA00" w14:textId="77777777" w:rsidR="00CD30E9" w:rsidRDefault="00114EEC">
            <w:pPr>
              <w:rPr>
                <w:rFonts w:eastAsia="Times New Roman"/>
                <w:color w:val="000000"/>
                <w:lang w:eastAsia="sv-SE"/>
              </w:rPr>
            </w:pPr>
            <w:r>
              <w:t xml:space="preserve">If the higher layer parameter </w:t>
            </w:r>
            <w:r>
              <w:rPr>
                <w:i/>
              </w:rPr>
              <w:t xml:space="preserve">absenceOfAnyOtherTechnology-r16 </w:t>
            </w:r>
            <w:r>
              <w:t xml:space="preserve">is not configured to a UE, and the higher layer parameter </w:t>
            </w:r>
            <w:r>
              <w:rPr>
                <w:i/>
              </w:rPr>
              <w:t>ul-toDL-COT-SharingED-Threshold-r16</w:t>
            </w:r>
            <w:r>
              <w:rPr>
                <w:color w:val="000000"/>
              </w:rPr>
              <w:t> </w:t>
            </w:r>
            <w:r>
              <w:t>is configured to the UE, the gNB should use the gNB's transmit power in determining the res</w:t>
            </w:r>
            <w:r>
              <w:t xml:space="preserve">ulting energy detection threshold </w:t>
            </w:r>
            <w:r>
              <w:rPr>
                <w:i/>
              </w:rPr>
              <w:t>ul-toDL-COT-SharingED-Threshold-r16</w:t>
            </w:r>
            <w:r>
              <w:rPr>
                <w:color w:val="000000"/>
              </w:rPr>
              <w:t xml:space="preserve">. </w:t>
            </w:r>
          </w:p>
          <w:p w14:paraId="3231FF07" w14:textId="77777777" w:rsidR="00CD30E9" w:rsidRDefault="00114EEC">
            <w:pPr>
              <w:spacing w:after="120"/>
              <w:rPr>
                <w:lang w:eastAsia="zh-CN"/>
              </w:rPr>
            </w:pPr>
            <w:r>
              <w:rPr>
                <w:strike/>
                <w:color w:val="FF0000"/>
                <w:lang w:eastAsia="zh-CN"/>
              </w:rPr>
              <w:t>For the case where a</w:t>
            </w:r>
            <w:r>
              <w:rPr>
                <w:lang w:eastAsia="zh-CN"/>
              </w:rPr>
              <w:t xml:space="preserve"> </w:t>
            </w:r>
            <w:r>
              <w:rPr>
                <w:color w:val="FF0000"/>
                <w:lang w:eastAsia="zh-CN"/>
              </w:rPr>
              <w:t>When a</w:t>
            </w:r>
            <w:r>
              <w:rPr>
                <w:lang w:eastAsia="zh-CN"/>
              </w:rPr>
              <w:t xml:space="preserve"> UE performs channel access procedures as described in clause 4.2.1.2.1</w:t>
            </w:r>
            <w:r>
              <w:rPr>
                <w:strike/>
                <w:color w:val="FF0000"/>
                <w:lang w:eastAsia="zh-CN"/>
              </w:rPr>
              <w:t xml:space="preserve"> and shares its corresponding channel occupancy time with the gNB</w:t>
            </w:r>
            <w:r>
              <w:rPr>
                <w:lang w:eastAsia="zh-CN"/>
              </w:rPr>
              <w:t xml:space="preserve">,  </w:t>
            </w:r>
          </w:p>
          <w:p w14:paraId="43117EE4" w14:textId="77777777" w:rsidR="00CD30E9" w:rsidRDefault="00114EEC">
            <w:pPr>
              <w:numPr>
                <w:ilvl w:val="0"/>
                <w:numId w:val="4"/>
              </w:numPr>
              <w:overflowPunct/>
              <w:autoSpaceDE/>
              <w:autoSpaceDN/>
              <w:adjustRightInd/>
              <w:spacing w:after="120"/>
              <w:textAlignment w:val="auto"/>
              <w:rPr>
                <w:color w:val="000000"/>
              </w:rPr>
            </w:pPr>
            <w:r>
              <w:fldChar w:fldCharType="begin"/>
            </w:r>
            <w:r>
              <w:instrText xml:space="preserve"> QUOTE </w:instrText>
            </w:r>
            <w:r w:rsidR="008C685B">
              <w:rPr>
                <w:position w:val="-8"/>
              </w:rPr>
              <w:pict w14:anchorId="71660A94">
                <v:shape id="_x0000_i1045" type="#_x0000_t75" style="width:41.35pt;height:13pt" equationxml="&lt;">
                  <v:imagedata r:id="rId18" o:title="" chromakey="white"/>
                </v:shape>
              </w:pict>
            </w:r>
            <w:r>
              <w:instrText xml:space="preserve"> </w:instrText>
            </w:r>
            <w:r>
              <w:fldChar w:fldCharType="separate"/>
            </w:r>
            <w:r w:rsidR="008C685B">
              <w:rPr>
                <w:position w:val="-8"/>
              </w:rPr>
              <w:pict w14:anchorId="72B0D4B0">
                <v:shape id="_x0000_i1046" type="#_x0000_t75" style="width:41.35pt;height:13pt" equationxml="&lt;">
                  <v:imagedata r:id="rId18" o:title="" chromakey="white"/>
                </v:shape>
              </w:pict>
            </w:r>
            <w:r>
              <w:fldChar w:fldCharType="end"/>
            </w:r>
            <w:r>
              <w:t xml:space="preserve"> is </w:t>
            </w:r>
            <w:r>
              <w:t xml:space="preserve">set equal to the value provided by the higher layer parameter </w:t>
            </w:r>
            <w:r>
              <w:rPr>
                <w:i/>
              </w:rPr>
              <w:t>ul-toDL-COT-SharingED-Threshold-r16</w:t>
            </w:r>
            <w:r>
              <w:t>, if provided</w:t>
            </w:r>
            <w:r>
              <w:rPr>
                <w:strike/>
                <w:color w:val="FF0000"/>
              </w:rPr>
              <w:t>.</w:t>
            </w:r>
            <w:r>
              <w:rPr>
                <w:color w:val="FF0000"/>
              </w:rPr>
              <w:t xml:space="preserve"> and if the UE </w:t>
            </w:r>
            <w:r>
              <w:rPr>
                <w:color w:val="FF0000"/>
                <w:lang w:eastAsia="zh-CN"/>
              </w:rPr>
              <w:t>shares its corresponding channel occupancy time with the gNB.</w:t>
            </w:r>
          </w:p>
          <w:p w14:paraId="113DD862" w14:textId="77777777" w:rsidR="00CD30E9" w:rsidRDefault="00114EEC">
            <w:pPr>
              <w:numPr>
                <w:ilvl w:val="0"/>
                <w:numId w:val="4"/>
              </w:numPr>
              <w:overflowPunct/>
              <w:autoSpaceDE/>
              <w:autoSpaceDN/>
              <w:adjustRightInd/>
              <w:spacing w:after="120"/>
              <w:textAlignment w:val="auto"/>
              <w:rPr>
                <w:color w:val="FF0000"/>
              </w:rPr>
            </w:pPr>
            <w:r>
              <w:rPr>
                <w:color w:val="FF0000"/>
              </w:rPr>
              <w:t xml:space="preserve">Otherwise,  </w:t>
            </w:r>
            <w:r>
              <w:rPr>
                <w:color w:val="FF0000"/>
              </w:rPr>
              <w:fldChar w:fldCharType="begin"/>
            </w:r>
            <w:r>
              <w:rPr>
                <w:color w:val="FF0000"/>
              </w:rPr>
              <w:instrText xml:space="preserve"> QUOTE </w:instrText>
            </w:r>
            <w:r w:rsidR="008C685B">
              <w:rPr>
                <w:color w:val="FF0000"/>
                <w:position w:val="-8"/>
              </w:rPr>
              <w:pict w14:anchorId="04DC46C6">
                <v:shape id="_x0000_i1047" type="#_x0000_t75" style="width:41.35pt;height:13pt" equationxml="&lt;">
                  <v:imagedata r:id="rId18" o:title="" chromakey="white"/>
                </v:shape>
              </w:pict>
            </w:r>
            <w:r>
              <w:rPr>
                <w:color w:val="FF0000"/>
              </w:rPr>
              <w:instrText xml:space="preserve"> </w:instrText>
            </w:r>
            <w:r>
              <w:rPr>
                <w:color w:val="FF0000"/>
              </w:rPr>
              <w:fldChar w:fldCharType="separate"/>
            </w:r>
            <w:r w:rsidR="008C685B">
              <w:rPr>
                <w:color w:val="FF0000"/>
                <w:position w:val="-8"/>
              </w:rPr>
              <w:pict w14:anchorId="1193BD86">
                <v:shape id="_x0000_i1048" type="#_x0000_t75" style="width:41.35pt;height:13pt" equationxml="&lt;">
                  <v:imagedata r:id="rId18" o:title="" chromakey="white"/>
                </v:shape>
              </w:pict>
            </w:r>
            <w:r>
              <w:rPr>
                <w:color w:val="FF0000"/>
              </w:rPr>
              <w:fldChar w:fldCharType="end"/>
            </w:r>
            <w:r>
              <w:rPr>
                <w:color w:val="FF0000"/>
              </w:rPr>
              <w:t xml:space="preserve"> may be determined according to the procedure described in clause 4.2.3.1 and the UE indicates no COT sharing in the corresponding CG-UCI according to Clause 6.3.2.1.3 [x, 38.212].</w:t>
            </w:r>
          </w:p>
          <w:p w14:paraId="0CA2DC21" w14:textId="77777777" w:rsidR="00CD30E9" w:rsidRDefault="00114EEC">
            <w:pPr>
              <w:pStyle w:val="BodyText"/>
              <w:rPr>
                <w:color w:val="0000FF"/>
                <w:szCs w:val="24"/>
                <w:lang w:eastAsia="zh-CN"/>
              </w:rPr>
            </w:pPr>
            <w:r>
              <w:rPr>
                <w:color w:val="0000FF"/>
                <w:lang w:eastAsia="zh-CN"/>
              </w:rPr>
              <w:t>----------------------------------------End of TP 37.213 section 4.2.3 ----</w:t>
            </w:r>
            <w:r>
              <w:rPr>
                <w:color w:val="0000FF"/>
                <w:lang w:eastAsia="zh-CN"/>
              </w:rPr>
              <w:t>-------------------------------------</w:t>
            </w:r>
          </w:p>
        </w:tc>
      </w:tr>
    </w:tbl>
    <w:p w14:paraId="5D361E0B" w14:textId="77777777" w:rsidR="00CD30E9" w:rsidRDefault="00CD30E9">
      <w:pPr>
        <w:pStyle w:val="BodyText"/>
        <w:rPr>
          <w:rFonts w:cs="Arial"/>
          <w:bCs/>
          <w:lang w:val="en-US" w:eastAsia="ja-JP"/>
        </w:rPr>
      </w:pPr>
    </w:p>
    <w:p w14:paraId="002B85D5" w14:textId="77777777" w:rsidR="00CD30E9" w:rsidRDefault="00114EEC">
      <w:pPr>
        <w:pStyle w:val="BodyText"/>
        <w:rPr>
          <w:rFonts w:cs="Arial"/>
          <w:b/>
          <w:u w:val="single"/>
          <w:lang w:val="en-US" w:eastAsia="ja-JP"/>
        </w:rPr>
      </w:pPr>
      <w:r>
        <w:rPr>
          <w:rFonts w:cs="Arial"/>
          <w:b/>
          <w:u w:val="single"/>
          <w:lang w:val="en-US" w:eastAsia="ja-JP"/>
        </w:rPr>
        <w:t>R1-2006301</w:t>
      </w:r>
    </w:p>
    <w:tbl>
      <w:tblPr>
        <w:tblStyle w:val="TableGrid"/>
        <w:tblW w:w="9771" w:type="dxa"/>
        <w:tblLayout w:type="fixed"/>
        <w:tblLook w:val="04A0" w:firstRow="1" w:lastRow="0" w:firstColumn="1" w:lastColumn="0" w:noHBand="0" w:noVBand="1"/>
      </w:tblPr>
      <w:tblGrid>
        <w:gridCol w:w="9771"/>
      </w:tblGrid>
      <w:tr w:rsidR="00CD30E9" w14:paraId="1EB666D9" w14:textId="77777777">
        <w:tc>
          <w:tcPr>
            <w:tcW w:w="9771" w:type="dxa"/>
          </w:tcPr>
          <w:p w14:paraId="20B9FD32" w14:textId="77777777" w:rsidR="00CD30E9" w:rsidRDefault="00114EEC">
            <w:pPr>
              <w:rPr>
                <w:rFonts w:eastAsia="Malgun Gothic"/>
                <w:lang w:val="en-US" w:eastAsia="ko-KR"/>
              </w:rPr>
            </w:pPr>
            <w:r>
              <w:rPr>
                <w:rFonts w:eastAsia="Malgun Gothic"/>
                <w:lang w:val="en-US" w:eastAsia="ko-KR"/>
              </w:rPr>
              <w:t>================================ Start of TP#3 for TS 37.213 ===============================</w:t>
            </w:r>
          </w:p>
          <w:p w14:paraId="1A331F37" w14:textId="77777777" w:rsidR="00CD30E9" w:rsidRDefault="00114EEC">
            <w:pPr>
              <w:rPr>
                <w:rFonts w:ascii="Arial Unicode MS" w:eastAsia="Arial Unicode MS" w:hAnsi="Arial Unicode MS" w:cs="Arial Unicode MS"/>
                <w:sz w:val="24"/>
                <w:lang w:val="zh-CN" w:eastAsia="ko-KR"/>
              </w:rPr>
            </w:pPr>
            <w:r>
              <w:rPr>
                <w:rFonts w:ascii="Arial Unicode MS" w:eastAsia="Arial Unicode MS" w:hAnsi="Arial Unicode MS" w:cs="Arial Unicode MS" w:hint="eastAsia"/>
                <w:sz w:val="24"/>
                <w:lang w:eastAsia="ko-KR"/>
              </w:rPr>
              <w:lastRenderedPageBreak/>
              <w:t>4.2.3</w:t>
            </w:r>
            <w:r>
              <w:rPr>
                <w:rFonts w:ascii="Arial Unicode MS" w:eastAsia="Arial Unicode MS" w:hAnsi="Arial Unicode MS" w:cs="Arial Unicode MS" w:hint="eastAsia"/>
                <w:sz w:val="24"/>
                <w:lang w:eastAsia="ko-KR"/>
              </w:rPr>
              <w:tab/>
              <w:t>Energy detection threshold adaptation procedure</w:t>
            </w:r>
          </w:p>
          <w:p w14:paraId="36413DC0" w14:textId="77777777" w:rsidR="00CD30E9" w:rsidRDefault="00114EEC">
            <w:pPr>
              <w:rPr>
                <w:rFonts w:eastAsia="Malgun Gothic"/>
                <w:lang w:val="en-US" w:eastAsia="ko-KR"/>
              </w:rPr>
            </w:pPr>
            <w:r>
              <w:rPr>
                <w:rFonts w:eastAsia="Malgun Gothic"/>
                <w:lang w:val="en-US" w:eastAsia="ko-KR"/>
              </w:rPr>
              <w:t>================================ Unchanged Texts Omitted =</w:t>
            </w:r>
            <w:r>
              <w:rPr>
                <w:rFonts w:eastAsia="Malgun Gothic"/>
                <w:lang w:val="en-US" w:eastAsia="ko-KR"/>
              </w:rPr>
              <w:t>================================</w:t>
            </w:r>
          </w:p>
          <w:p w14:paraId="7FEAAE23" w14:textId="77777777" w:rsidR="00CD30E9" w:rsidRDefault="00114EEC">
            <w:pPr>
              <w:rPr>
                <w:rFonts w:eastAsia="Malgun Gothic"/>
                <w:color w:val="000000"/>
                <w:lang w:val="en-US" w:eastAsia="ko-KR"/>
              </w:rPr>
            </w:pPr>
            <w:r>
              <w:rPr>
                <w:rFonts w:eastAsia="Malgun Gothic"/>
                <w:lang w:val="en-US" w:eastAsia="zh-CN"/>
              </w:rPr>
              <w:t xml:space="preserve">For the case where a UE performs channel access procedures as described in clause 4.2.1.1 and shares its corresponding channel occupancy time with the gNB, </w:t>
            </w:r>
            <m:oMath>
              <m:sSub>
                <m:sSubPr>
                  <m:ctrlPr>
                    <w:rPr>
                      <w:rFonts w:ascii="Cambria Math" w:eastAsia="MS Mincho" w:hAnsi="Cambria Math"/>
                      <w:i/>
                    </w:rPr>
                  </m:ctrlPr>
                </m:sSubPr>
                <m:e>
                  <m:r>
                    <w:rPr>
                      <w:rFonts w:ascii="Cambria Math" w:hAnsi="Cambria Math"/>
                    </w:rPr>
                    <m:t>X</m:t>
                  </m:r>
                </m:e>
                <m:sub>
                  <m:r>
                    <m:rPr>
                      <m:nor/>
                    </m:rPr>
                    <w:rPr>
                      <w:lang w:val="en-US"/>
                    </w:rPr>
                    <m:t>Thresh_max</m:t>
                  </m:r>
                  <m:ctrlPr>
                    <w:rPr>
                      <w:rFonts w:ascii="Cambria Math" w:eastAsia="MS Mincho" w:hAnsi="Cambria Math"/>
                    </w:rPr>
                  </m:ctrlPr>
                </m:sub>
              </m:sSub>
            </m:oMath>
            <w:r>
              <w:rPr>
                <w:rFonts w:eastAsia="Malgun Gothic"/>
                <w:lang w:val="en-US"/>
              </w:rPr>
              <w:t xml:space="preserve"> is set equal to the value provided by the higher layer parameter </w:t>
            </w:r>
            <w:r>
              <w:rPr>
                <w:rFonts w:eastAsia="Malgun Gothic"/>
                <w:i/>
                <w:lang w:val="en-US"/>
              </w:rPr>
              <w:t>ul-toDL-CO-SharingED-Threshold-r16</w:t>
            </w:r>
            <w:r>
              <w:rPr>
                <w:rFonts w:eastAsia="Malgun Gothic"/>
                <w:lang w:val="en-US"/>
              </w:rPr>
              <w:t>, if provided</w:t>
            </w:r>
            <w:r>
              <w:rPr>
                <w:rFonts w:eastAsia="Malgun Gothic"/>
                <w:color w:val="000000"/>
                <w:lang w:val="en-US"/>
              </w:rPr>
              <w:t xml:space="preserve">. </w:t>
            </w:r>
            <w:ins w:id="10" w:author="Sechang Myung" w:date="2020-08-07T15:22:00Z">
              <w:r>
                <w:rPr>
                  <w:rFonts w:eastAsia="Malgun Gothic"/>
                  <w:color w:val="000000"/>
                  <w:highlight w:val="yellow"/>
                  <w:lang w:val="en-US"/>
                </w:rPr>
                <w:t xml:space="preserve">For the case where a UE configured with </w:t>
              </w:r>
              <w:r>
                <w:rPr>
                  <w:rFonts w:eastAsia="Malgun Gothic"/>
                  <w:i/>
                  <w:highlight w:val="yellow"/>
                  <w:lang w:val="en-US"/>
                </w:rPr>
                <w:t xml:space="preserve">ul-toDL-CO-SharingED-Threshold-r16 </w:t>
              </w:r>
              <w:r>
                <w:rPr>
                  <w:rFonts w:eastAsia="Malgun Gothic"/>
                  <w:color w:val="000000"/>
                  <w:highlight w:val="yellow"/>
                  <w:lang w:val="en-US"/>
                </w:rPr>
                <w:t>performs channel access procedure as described in clause 4.2.1.1 a</w:t>
              </w:r>
              <w:r>
                <w:rPr>
                  <w:rFonts w:eastAsia="Malgun Gothic"/>
                  <w:color w:val="000000"/>
                  <w:highlight w:val="yellow"/>
                  <w:lang w:val="en-US"/>
                </w:rPr>
                <w:t xml:space="preserve">nd does not share its corresponding channel occupancy time with the gNB, the UE shall set </w:t>
              </w:r>
              <m:oMath>
                <m:sSub>
                  <m:sSubPr>
                    <m:ctrlPr>
                      <w:rPr>
                        <w:rFonts w:ascii="Cambria Math" w:eastAsia="MS Mincho" w:hAnsi="Cambria Math"/>
                        <w:i/>
                        <w:highlight w:val="yellow"/>
                      </w:rPr>
                    </m:ctrlPr>
                  </m:sSubPr>
                  <m:e>
                    <m:r>
                      <w:rPr>
                        <w:rFonts w:ascii="Cambria Math" w:hAnsi="Cambria Math"/>
                        <w:highlight w:val="yellow"/>
                      </w:rPr>
                      <m:t>X</m:t>
                    </m:r>
                  </m:e>
                  <m:sub>
                    <m:r>
                      <m:rPr>
                        <m:sty m:val="p"/>
                      </m:rPr>
                      <w:rPr>
                        <w:rFonts w:ascii="Cambria Math" w:hAnsi="Cambria Math"/>
                        <w:highlight w:val="yellow"/>
                        <w:lang w:val="en-US"/>
                      </w:rPr>
                      <m:t>Thresh_max</m:t>
                    </m:r>
                    <m:ctrlPr>
                      <w:rPr>
                        <w:rFonts w:ascii="Cambria Math" w:eastAsia="MS Mincho" w:hAnsi="Cambria Math"/>
                        <w:highlight w:val="yellow"/>
                      </w:rPr>
                    </m:ctrlPr>
                  </m:sub>
                </m:sSub>
              </m:oMath>
              <w:r>
                <w:rPr>
                  <w:rFonts w:eastAsia="Malgun Gothic"/>
                  <w:highlight w:val="yellow"/>
                  <w:lang w:eastAsia="ko-KR"/>
                </w:rPr>
                <w:t xml:space="preserve"> according to the procedure described in clause 4.2.3.</w:t>
              </w:r>
            </w:ins>
          </w:p>
          <w:p w14:paraId="6927682D" w14:textId="77777777" w:rsidR="00CD30E9" w:rsidRDefault="00114EEC">
            <w:pPr>
              <w:rPr>
                <w:rFonts w:eastAsia="Malgun Gothic"/>
                <w:lang w:val="en-US" w:eastAsia="ko-KR"/>
              </w:rPr>
            </w:pPr>
            <w:r>
              <w:rPr>
                <w:rFonts w:eastAsia="Malgun Gothic"/>
                <w:lang w:val="en-US" w:eastAsia="ko-KR"/>
              </w:rPr>
              <w:t>================================ Unchanged Texts Omitted =================================</w:t>
            </w:r>
          </w:p>
          <w:p w14:paraId="27D4831B" w14:textId="77777777" w:rsidR="00CD30E9" w:rsidRDefault="00114EEC">
            <w:pPr>
              <w:spacing w:line="288" w:lineRule="auto"/>
              <w:rPr>
                <w:rFonts w:eastAsia="Malgun Gothic"/>
                <w:lang w:val="en-US" w:eastAsia="ko-KR"/>
              </w:rPr>
            </w:pPr>
            <w:r>
              <w:rPr>
                <w:rFonts w:eastAsia="Malgun Gothic"/>
                <w:lang w:val="en-US" w:eastAsia="ko-KR"/>
              </w:rPr>
              <w:t>========</w:t>
            </w:r>
            <w:r>
              <w:rPr>
                <w:rFonts w:eastAsia="Malgun Gothic"/>
                <w:lang w:val="en-US" w:eastAsia="ko-KR"/>
              </w:rPr>
              <w:t>========================= End of TP#3 for TS 37.213 ===============================</w:t>
            </w:r>
          </w:p>
        </w:tc>
      </w:tr>
    </w:tbl>
    <w:p w14:paraId="5694439C" w14:textId="77777777" w:rsidR="00CD30E9" w:rsidRDefault="00CD30E9">
      <w:pPr>
        <w:pStyle w:val="BodyText"/>
        <w:rPr>
          <w:rFonts w:cs="Arial"/>
          <w:bCs/>
          <w:lang w:val="en-US" w:eastAsia="ja-JP"/>
        </w:rPr>
      </w:pPr>
    </w:p>
    <w:p w14:paraId="10F29B08" w14:textId="77777777" w:rsidR="00CD30E9" w:rsidRDefault="00114EEC">
      <w:pPr>
        <w:rPr>
          <w:highlight w:val="yellow"/>
        </w:rPr>
      </w:pPr>
      <w:r>
        <w:rPr>
          <w:highlight w:val="yellow"/>
        </w:rPr>
        <w:t>Companies are asked to provide their views related to the above proposals with the table below, namely:</w:t>
      </w:r>
    </w:p>
    <w:p w14:paraId="46322FD6" w14:textId="77777777" w:rsidR="00CD30E9" w:rsidRDefault="00114EEC">
      <w:pPr>
        <w:pStyle w:val="ListParagraph"/>
        <w:numPr>
          <w:ilvl w:val="0"/>
          <w:numId w:val="4"/>
        </w:numPr>
        <w:rPr>
          <w:sz w:val="20"/>
          <w:szCs w:val="20"/>
          <w:highlight w:val="yellow"/>
          <w:lang w:val="en-US"/>
        </w:rPr>
      </w:pPr>
      <w:r>
        <w:rPr>
          <w:sz w:val="20"/>
          <w:szCs w:val="20"/>
          <w:highlight w:val="yellow"/>
          <w:lang w:val="en-US"/>
        </w:rPr>
        <w:t>is a spec change needed?</w:t>
      </w:r>
    </w:p>
    <w:p w14:paraId="0E620BD9" w14:textId="77777777" w:rsidR="00CD30E9" w:rsidRDefault="00114EEC">
      <w:pPr>
        <w:pStyle w:val="ListParagraph"/>
        <w:numPr>
          <w:ilvl w:val="0"/>
          <w:numId w:val="4"/>
        </w:numPr>
        <w:rPr>
          <w:sz w:val="20"/>
          <w:szCs w:val="20"/>
          <w:highlight w:val="yellow"/>
          <w:lang w:val="en-US"/>
        </w:rPr>
      </w:pPr>
      <w:r>
        <w:rPr>
          <w:sz w:val="20"/>
          <w:szCs w:val="20"/>
          <w:highlight w:val="yellow"/>
          <w:lang w:val="en-US"/>
        </w:rPr>
        <w:t>which one of the three TPs is the preferr</w:t>
      </w:r>
      <w:r>
        <w:rPr>
          <w:sz w:val="20"/>
          <w:szCs w:val="20"/>
          <w:highlight w:val="yellow"/>
          <w:lang w:val="en-US"/>
        </w:rPr>
        <w:t>ed starting point for a TP and what modifications are needed, if any?</w:t>
      </w:r>
    </w:p>
    <w:tbl>
      <w:tblPr>
        <w:tblStyle w:val="TableGrid"/>
        <w:tblW w:w="9771" w:type="dxa"/>
        <w:tblLayout w:type="fixed"/>
        <w:tblLook w:val="04A0" w:firstRow="1" w:lastRow="0" w:firstColumn="1" w:lastColumn="0" w:noHBand="0" w:noVBand="1"/>
      </w:tblPr>
      <w:tblGrid>
        <w:gridCol w:w="2263"/>
        <w:gridCol w:w="7508"/>
      </w:tblGrid>
      <w:tr w:rsidR="00CD30E9" w14:paraId="458E1066" w14:textId="77777777">
        <w:tc>
          <w:tcPr>
            <w:tcW w:w="2263" w:type="dxa"/>
          </w:tcPr>
          <w:p w14:paraId="626D34E9" w14:textId="77777777" w:rsidR="00CD30E9" w:rsidRDefault="00114EEC">
            <w:r>
              <w:t>Company</w:t>
            </w:r>
          </w:p>
        </w:tc>
        <w:tc>
          <w:tcPr>
            <w:tcW w:w="7508" w:type="dxa"/>
          </w:tcPr>
          <w:p w14:paraId="1293A783" w14:textId="77777777" w:rsidR="00CD30E9" w:rsidRDefault="00114EEC">
            <w:r>
              <w:t>Comment</w:t>
            </w:r>
          </w:p>
        </w:tc>
      </w:tr>
      <w:tr w:rsidR="00CD30E9" w14:paraId="52E379E3" w14:textId="77777777">
        <w:tc>
          <w:tcPr>
            <w:tcW w:w="2263" w:type="dxa"/>
          </w:tcPr>
          <w:p w14:paraId="761801A7" w14:textId="77777777" w:rsidR="00CD30E9" w:rsidRDefault="00114EEC">
            <w:r>
              <w:t>OPPO</w:t>
            </w:r>
          </w:p>
        </w:tc>
        <w:tc>
          <w:tcPr>
            <w:tcW w:w="7508" w:type="dxa"/>
          </w:tcPr>
          <w:p w14:paraId="12045364" w14:textId="77777777" w:rsidR="00CD30E9" w:rsidRDefault="00114EEC">
            <w:r>
              <w:t>A</w:t>
            </w:r>
            <w:r>
              <w:rPr>
                <w:rFonts w:hint="eastAsia"/>
              </w:rPr>
              <w:t xml:space="preserve"> </w:t>
            </w:r>
            <w:r>
              <w:t xml:space="preserve">spec change is needed. </w:t>
            </w:r>
          </w:p>
          <w:p w14:paraId="4AFFD036" w14:textId="77777777" w:rsidR="00CD30E9" w:rsidRDefault="00114EEC">
            <w:r>
              <w:t xml:space="preserve">We are fine for R1-2006020 or R1-2006301. </w:t>
            </w:r>
          </w:p>
        </w:tc>
      </w:tr>
      <w:tr w:rsidR="00CD30E9" w14:paraId="14158669" w14:textId="77777777">
        <w:tc>
          <w:tcPr>
            <w:tcW w:w="2263" w:type="dxa"/>
          </w:tcPr>
          <w:p w14:paraId="7BC7E43C" w14:textId="77777777" w:rsidR="00CD30E9" w:rsidRDefault="00114EEC">
            <w:r>
              <w:t>Intel</w:t>
            </w:r>
          </w:p>
        </w:tc>
        <w:tc>
          <w:tcPr>
            <w:tcW w:w="7508" w:type="dxa"/>
          </w:tcPr>
          <w:p w14:paraId="3E8BCBC8" w14:textId="77777777" w:rsidR="00CD30E9" w:rsidRDefault="00114EEC">
            <w:r>
              <w:t xml:space="preserve">We are supportive of either TP from R1-2006020 or R1-2006301. </w:t>
            </w:r>
          </w:p>
        </w:tc>
      </w:tr>
      <w:tr w:rsidR="00CD30E9" w14:paraId="0BD2ED13" w14:textId="77777777">
        <w:tc>
          <w:tcPr>
            <w:tcW w:w="2263" w:type="dxa"/>
          </w:tcPr>
          <w:p w14:paraId="18D219F4" w14:textId="77777777" w:rsidR="00CD30E9" w:rsidRDefault="00114EEC">
            <w:pPr>
              <w:rPr>
                <w:rFonts w:eastAsia="Malgun Gothic"/>
                <w:lang w:eastAsia="ko-KR"/>
              </w:rPr>
            </w:pPr>
            <w:r>
              <w:rPr>
                <w:rFonts w:eastAsia="Malgun Gothic" w:hint="eastAsia"/>
                <w:lang w:eastAsia="ko-KR"/>
              </w:rPr>
              <w:t>LG</w:t>
            </w:r>
          </w:p>
        </w:tc>
        <w:tc>
          <w:tcPr>
            <w:tcW w:w="7508" w:type="dxa"/>
          </w:tcPr>
          <w:p w14:paraId="4F3A54C5" w14:textId="77777777" w:rsidR="00CD30E9" w:rsidRDefault="00114EEC">
            <w:r>
              <w:t xml:space="preserve">The current specification is not clear when the UE intends not to share its COT with gNB. Therefore it is better to clarify this behaviour by adopting the one of TP in the above that if </w:t>
            </w:r>
            <w:r>
              <w:t>UE does not share its corresponding channel occupancy time with the gNB, the UE shall set X</w:t>
            </w:r>
            <w:r>
              <w:rPr>
                <w:vertAlign w:val="subscript"/>
              </w:rPr>
              <w:t>Thresh_max</w:t>
            </w:r>
            <w:r>
              <w:t xml:space="preserve"> according to the procedure described in clause 4.2.3. The last TP in R1-2006301 can be starting point and the exact wording can be further discussed.</w:t>
            </w:r>
          </w:p>
        </w:tc>
      </w:tr>
      <w:tr w:rsidR="00CD30E9" w14:paraId="4B2156CA" w14:textId="77777777">
        <w:tc>
          <w:tcPr>
            <w:tcW w:w="2263" w:type="dxa"/>
          </w:tcPr>
          <w:p w14:paraId="35DDADC5" w14:textId="77777777" w:rsidR="00CD30E9" w:rsidRDefault="00114EEC">
            <w:pPr>
              <w:rPr>
                <w:lang w:val="en-US" w:eastAsia="zh-CN"/>
              </w:rPr>
            </w:pPr>
            <w:r>
              <w:rPr>
                <w:rFonts w:hint="eastAsia"/>
                <w:lang w:val="en-US" w:eastAsia="zh-CN"/>
              </w:rPr>
              <w:t>ZTE</w:t>
            </w:r>
            <w:r>
              <w:rPr>
                <w:rFonts w:hint="eastAsia"/>
                <w:lang w:val="en-US" w:eastAsia="zh-CN"/>
              </w:rPr>
              <w:t>, Sanechips</w:t>
            </w:r>
          </w:p>
        </w:tc>
        <w:tc>
          <w:tcPr>
            <w:tcW w:w="7508" w:type="dxa"/>
          </w:tcPr>
          <w:p w14:paraId="14603D6E" w14:textId="77777777" w:rsidR="00CD30E9" w:rsidRDefault="00114EEC">
            <w:pPr>
              <w:rPr>
                <w:lang w:val="en-US" w:eastAsia="zh-CN"/>
              </w:rPr>
            </w:pPr>
            <w:r>
              <w:rPr>
                <w:rFonts w:hint="eastAsia"/>
                <w:lang w:val="en-US" w:eastAsia="zh-CN"/>
              </w:rPr>
              <w:t>Support to capture the previous agreement, but about how to present this agreement more accurately, we can further discuss in draft TP phase.</w:t>
            </w:r>
          </w:p>
        </w:tc>
      </w:tr>
      <w:tr w:rsidR="00114EEC" w14:paraId="1BB2FC7C" w14:textId="77777777">
        <w:tc>
          <w:tcPr>
            <w:tcW w:w="2263" w:type="dxa"/>
          </w:tcPr>
          <w:p w14:paraId="2B8A7AC1" w14:textId="374B6A96" w:rsidR="00114EEC" w:rsidRDefault="00114EEC">
            <w:pPr>
              <w:rPr>
                <w:rFonts w:hint="eastAsia"/>
                <w:lang w:val="en-US" w:eastAsia="zh-CN"/>
              </w:rPr>
            </w:pPr>
            <w:r>
              <w:rPr>
                <w:lang w:val="en-US" w:eastAsia="zh-CN"/>
              </w:rPr>
              <w:t>Nokia, NSB</w:t>
            </w:r>
          </w:p>
        </w:tc>
        <w:tc>
          <w:tcPr>
            <w:tcW w:w="7508" w:type="dxa"/>
          </w:tcPr>
          <w:p w14:paraId="7A9405E4" w14:textId="42D58CD5" w:rsidR="00114EEC" w:rsidRDefault="00114EEC">
            <w:pPr>
              <w:rPr>
                <w:rFonts w:hint="eastAsia"/>
                <w:lang w:val="en-US" w:eastAsia="zh-CN"/>
              </w:rPr>
            </w:pPr>
            <w:r>
              <w:rPr>
                <w:lang w:val="en-US" w:eastAsia="zh-CN"/>
              </w:rPr>
              <w:t xml:space="preserve">ok to update the specs to capture the agreement. </w:t>
            </w:r>
            <w:r w:rsidRPr="00114EEC">
              <w:rPr>
                <w:lang w:val="en-US" w:eastAsia="zh-CN"/>
              </w:rPr>
              <w:t>R1-2006301</w:t>
            </w:r>
            <w:r>
              <w:rPr>
                <w:lang w:val="en-US" w:eastAsia="zh-CN"/>
              </w:rPr>
              <w:t xml:space="preserve"> can be the starting point for the discussion.</w:t>
            </w:r>
          </w:p>
        </w:tc>
      </w:tr>
    </w:tbl>
    <w:p w14:paraId="590B5534" w14:textId="77777777" w:rsidR="00CD30E9" w:rsidRDefault="00CD30E9">
      <w:pPr>
        <w:pStyle w:val="BodyText"/>
        <w:rPr>
          <w:rFonts w:cs="Arial"/>
          <w:bCs/>
          <w:lang w:val="en-US" w:eastAsia="ja-JP"/>
        </w:rPr>
      </w:pPr>
    </w:p>
    <w:p w14:paraId="22D09338" w14:textId="77777777" w:rsidR="00CD30E9" w:rsidRDefault="00CD30E9">
      <w:pPr>
        <w:pStyle w:val="BodyText"/>
        <w:rPr>
          <w:rFonts w:cs="Arial"/>
          <w:bCs/>
          <w:lang w:val="en-US" w:eastAsia="ja-JP"/>
        </w:rPr>
      </w:pPr>
    </w:p>
    <w:p w14:paraId="36AC9154" w14:textId="77777777" w:rsidR="00CD30E9" w:rsidRDefault="00CD30E9">
      <w:pPr>
        <w:pStyle w:val="BodyText"/>
        <w:rPr>
          <w:rFonts w:cs="Arial"/>
          <w:bCs/>
          <w:lang w:val="en-US" w:eastAsia="ja-JP"/>
        </w:rPr>
      </w:pPr>
    </w:p>
    <w:p w14:paraId="15501005" w14:textId="77777777" w:rsidR="00CD30E9" w:rsidRDefault="00114EEC">
      <w:pPr>
        <w:pStyle w:val="Doc-text2"/>
        <w:tabs>
          <w:tab w:val="left" w:pos="1276"/>
        </w:tabs>
        <w:ind w:left="0" w:firstLine="0"/>
        <w:rPr>
          <w:rFonts w:ascii="Times New Roman" w:eastAsia="SimSun" w:hAnsi="Times New Roman" w:cs="Arial"/>
          <w:bCs/>
          <w:szCs w:val="20"/>
          <w:lang w:val="en-US" w:eastAsia="ja-JP"/>
        </w:rPr>
      </w:pPr>
      <w:r>
        <w:rPr>
          <w:rFonts w:ascii="Times New Roman" w:eastAsia="SimSun" w:hAnsi="Times New Roman" w:cs="Arial"/>
          <w:b/>
          <w:szCs w:val="20"/>
          <w:u w:val="single"/>
          <w:lang w:val="en-US" w:eastAsia="ja-JP"/>
        </w:rPr>
        <w:t>R1-2006881</w:t>
      </w:r>
      <w:r>
        <w:rPr>
          <w:rFonts w:ascii="Times New Roman" w:eastAsia="SimSun" w:hAnsi="Times New Roman" w:cs="Arial"/>
          <w:bCs/>
          <w:szCs w:val="20"/>
          <w:lang w:val="en-US" w:eastAsia="ja-JP"/>
        </w:rPr>
        <w:t xml:space="preserve"> considers a bit different issue related to UL-DL Cot sharing:</w:t>
      </w:r>
    </w:p>
    <w:p w14:paraId="3B8354C0" w14:textId="77777777" w:rsidR="00CD30E9" w:rsidRDefault="00CD30E9">
      <w:pPr>
        <w:pStyle w:val="Doc-text2"/>
        <w:tabs>
          <w:tab w:val="left" w:pos="1276"/>
        </w:tabs>
        <w:ind w:left="0" w:firstLine="0"/>
        <w:rPr>
          <w:rFonts w:ascii="Times New Roman" w:eastAsia="SimSun" w:hAnsi="Times New Roman" w:cs="Arial"/>
          <w:bCs/>
          <w:szCs w:val="20"/>
          <w:lang w:val="en-US" w:eastAsia="ja-JP"/>
        </w:rPr>
      </w:pPr>
    </w:p>
    <w:tbl>
      <w:tblPr>
        <w:tblStyle w:val="TableGrid"/>
        <w:tblW w:w="9771" w:type="dxa"/>
        <w:tblLayout w:type="fixed"/>
        <w:tblLook w:val="04A0" w:firstRow="1" w:lastRow="0" w:firstColumn="1" w:lastColumn="0" w:noHBand="0" w:noVBand="1"/>
      </w:tblPr>
      <w:tblGrid>
        <w:gridCol w:w="9771"/>
      </w:tblGrid>
      <w:tr w:rsidR="00CD30E9" w14:paraId="49C441A4" w14:textId="77777777">
        <w:tc>
          <w:tcPr>
            <w:tcW w:w="9771" w:type="dxa"/>
          </w:tcPr>
          <w:p w14:paraId="385727C9" w14:textId="77777777" w:rsidR="00CD30E9" w:rsidRDefault="00114EEC">
            <w:pPr>
              <w:autoSpaceDE/>
              <w:rPr>
                <w:lang w:val="en-US"/>
              </w:rPr>
            </w:pPr>
            <w:r>
              <w:t>========================</w:t>
            </w:r>
            <w:r>
              <w:t>===Start of Text Proposal for TS37.213============================</w:t>
            </w:r>
          </w:p>
          <w:p w14:paraId="029E224A" w14:textId="77777777" w:rsidR="00CD30E9" w:rsidRDefault="00114EEC">
            <w:pPr>
              <w:keepNext/>
              <w:keepLines/>
              <w:autoSpaceDE/>
              <w:spacing w:before="120"/>
              <w:outlineLvl w:val="2"/>
              <w:rPr>
                <w:rFonts w:ascii="Arial" w:hAnsi="Arial"/>
                <w:sz w:val="22"/>
              </w:rPr>
            </w:pPr>
            <w:bookmarkStart w:id="11" w:name="_Toc35593594"/>
            <w:r>
              <w:rPr>
                <w:rFonts w:ascii="Arial" w:hAnsi="Arial"/>
                <w:sz w:val="22"/>
              </w:rPr>
              <w:t>4.1.3</w:t>
            </w:r>
            <w:r>
              <w:rPr>
                <w:rFonts w:ascii="Arial" w:hAnsi="Arial"/>
                <w:sz w:val="22"/>
              </w:rPr>
              <w:tab/>
              <w:t>DL channel access procedures in a shared channel occupancy</w:t>
            </w:r>
            <w:bookmarkEnd w:id="11"/>
          </w:p>
          <w:p w14:paraId="07962350" w14:textId="77777777" w:rsidR="00CD30E9" w:rsidRDefault="00114EEC">
            <w:pPr>
              <w:autoSpaceDE/>
              <w:rPr>
                <w:lang w:val="en-US" w:eastAsia="zh-CN"/>
              </w:rPr>
            </w:pPr>
            <w:r>
              <w:rPr>
                <w:lang w:eastAsia="zh-CN"/>
              </w:rPr>
              <w:t xml:space="preserve">For the case where an eNB shares a channel occupancy initiated by a UE, the eNB may </w:t>
            </w:r>
            <w:r>
              <w:t>transmit a transmission that follows an</w:t>
            </w:r>
            <w:r>
              <w:rPr>
                <w:lang w:eastAsia="zh-CN"/>
              </w:rPr>
              <w:t xml:space="preserve"> </w:t>
            </w:r>
            <w:r>
              <w:rPr>
                <w:lang w:eastAsia="zh-CN"/>
              </w:rPr>
              <w:t>autonomous</w:t>
            </w:r>
            <w:r>
              <w:t xml:space="preserve"> </w:t>
            </w:r>
            <w:r>
              <w:rPr>
                <w:lang w:eastAsia="zh-CN"/>
              </w:rPr>
              <w:t>PUSCH transmission by the UE as follows:</w:t>
            </w:r>
          </w:p>
          <w:p w14:paraId="25D570E9" w14:textId="77777777" w:rsidR="00CD30E9" w:rsidRDefault="00114EEC">
            <w:pPr>
              <w:autoSpaceDE/>
              <w:ind w:left="568" w:hanging="284"/>
            </w:pPr>
            <w:r>
              <w:rPr>
                <w:lang w:eastAsia="zh-CN"/>
              </w:rPr>
              <w:t>-</w:t>
            </w:r>
            <w:r>
              <w:rPr>
                <w:lang w:eastAsia="zh-CN"/>
              </w:rPr>
              <w:tab/>
              <w:t xml:space="preserve">If </w:t>
            </w:r>
            <w:r>
              <w:t xml:space="preserve">'COT sharing indication' in AUL-UCI in subframe </w:t>
            </w:r>
            <m:oMath>
              <m:r>
                <w:rPr>
                  <w:rFonts w:ascii="Cambria Math" w:hAnsi="Cambria Math"/>
                </w:rPr>
                <m:t>n</m:t>
              </m:r>
            </m:oMath>
            <w:r>
              <w:t xml:space="preserve"> indicates '1'</w:t>
            </w:r>
            <w:r>
              <w:rPr>
                <w:lang w:eastAsia="zh-CN"/>
              </w:rPr>
              <w:t xml:space="preserve">, </w:t>
            </w:r>
            <w:r>
              <w:t xml:space="preserve">an eNB may transmit a transmission in subframe </w:t>
            </w:r>
            <m:oMath>
              <m:r>
                <w:rPr>
                  <w:rFonts w:ascii="Cambria Math" w:hAnsi="Cambria Math"/>
                </w:rPr>
                <m:t>n</m:t>
              </m:r>
              <m:r>
                <w:rPr>
                  <w:rFonts w:ascii="Cambria Math" w:hAnsi="Cambria Math"/>
                </w:rPr>
                <m:t>+</m:t>
              </m:r>
              <m:r>
                <w:rPr>
                  <w:rFonts w:ascii="Cambria Math" w:hAnsi="Cambria Math"/>
                </w:rPr>
                <m:t>X</m:t>
              </m:r>
            </m:oMath>
            <w:r>
              <w:t xml:space="preserve">, where </w:t>
            </w:r>
            <m:oMath>
              <m:r>
                <w:rPr>
                  <w:rFonts w:ascii="Cambria Math" w:hAnsi="Cambria Math"/>
                </w:rPr>
                <m:t>X</m:t>
              </m:r>
            </m:oMath>
            <w:r>
              <w:t xml:space="preserve"> is subframeOffsetCOT-Sharing, including PDCCH but not including PDSCH </w:t>
            </w:r>
            <w:r>
              <w:rPr>
                <w:lang w:eastAsia="zh-CN"/>
              </w:rPr>
              <w:t xml:space="preserve">on the same </w:t>
            </w:r>
            <w:r>
              <w:t>channel</w:t>
            </w:r>
            <w:r>
              <w:rPr>
                <w:lang w:eastAsia="zh-CN"/>
              </w:rPr>
              <w:t xml:space="preserve"> </w:t>
            </w:r>
            <w:r>
              <w:t>immediately after performing Type 2A DL channel access procedures in clause 4.1.2.1, if the duration of the PDCCH is less than or equal to duration of two OFDM symbo</w:t>
            </w:r>
            <w:r>
              <w:t xml:space="preserve">ls and it shall contain at least AUL-DFI or UL grant to the UE from which the PUSCH transmission indicating COT sharing was received. </w:t>
            </w:r>
          </w:p>
          <w:p w14:paraId="085951A3" w14:textId="77777777" w:rsidR="00CD30E9" w:rsidRDefault="00114EEC">
            <w:pPr>
              <w:autoSpaceDE/>
              <w:rPr>
                <w:lang w:val="en-US" w:eastAsia="zh-CN"/>
              </w:rPr>
            </w:pPr>
            <w:r>
              <w:rPr>
                <w:lang w:eastAsia="zh-CN"/>
              </w:rPr>
              <w:lastRenderedPageBreak/>
              <w:t xml:space="preserve">If a gNB shares a channel occupancy initiated by a UE using the channel access procedures described in clause 4.2.1.1 on </w:t>
            </w:r>
            <w:r>
              <w:rPr>
                <w:lang w:eastAsia="zh-CN"/>
              </w:rPr>
              <w:t xml:space="preserve">a channel, the gNB may </w:t>
            </w:r>
            <w:r>
              <w:t>transmit a transmission that follows a</w:t>
            </w:r>
            <w:r>
              <w:rPr>
                <w:lang w:eastAsia="zh-CN"/>
              </w:rPr>
              <w:t xml:space="preserve"> UL transmission on scheduled resources or a PUSCH transmission on configured resources by the UE after a gap as follows:</w:t>
            </w:r>
          </w:p>
          <w:p w14:paraId="659D8AE1" w14:textId="77777777" w:rsidR="00CD30E9" w:rsidRDefault="00114EEC">
            <w:pPr>
              <w:autoSpaceDE/>
              <w:ind w:left="568" w:hanging="284"/>
            </w:pPr>
            <w:bookmarkStart w:id="12" w:name="_Hlk26442137"/>
            <w:r>
              <w:rPr>
                <w:lang w:eastAsia="zh-CN"/>
              </w:rPr>
              <w:t>-</w:t>
            </w:r>
            <w:r>
              <w:rPr>
                <w:lang w:eastAsia="zh-CN"/>
              </w:rPr>
              <w:tab/>
              <w:t xml:space="preserve">The transmission </w:t>
            </w:r>
            <w:r>
              <w:t xml:space="preserve">shall contain transmission to the UE that </w:t>
            </w:r>
            <w:r>
              <w:t>initiated the channel occupancy</w:t>
            </w:r>
            <w:r>
              <w:rPr>
                <w:lang w:eastAsia="zh-CN"/>
              </w:rPr>
              <w:t xml:space="preserve"> and can include </w:t>
            </w:r>
            <w:r>
              <w:t xml:space="preserve">non-unicast and/or unicast transmissions where any unicast transmission </w:t>
            </w:r>
            <w:r>
              <w:rPr>
                <w:strike/>
                <w:color w:val="FF0000"/>
                <w:u w:val="single"/>
              </w:rPr>
              <w:t>that includes user plane data</w:t>
            </w:r>
            <w:r>
              <w:rPr>
                <w:color w:val="FF0000"/>
                <w:u w:val="single"/>
              </w:rPr>
              <w:t xml:space="preserve"> </w:t>
            </w:r>
            <w:r>
              <w:t xml:space="preserve">is only transmitted to the UE that initiated the channel occupancy. </w:t>
            </w:r>
          </w:p>
          <w:p w14:paraId="67E5C5D2" w14:textId="77777777" w:rsidR="00CD30E9" w:rsidRDefault="00114EEC">
            <w:pPr>
              <w:pStyle w:val="B2"/>
            </w:pPr>
            <w:r>
              <w:t>-</w:t>
            </w:r>
            <w:r>
              <w:tab/>
              <w:t xml:space="preserve">If the higher layer parameters </w:t>
            </w:r>
            <w:r>
              <w:rPr>
                <w:i/>
                <w:color w:val="000000"/>
              </w:rPr>
              <w:t>ul-t</w:t>
            </w:r>
            <w:r>
              <w:rPr>
                <w:i/>
                <w:color w:val="000000"/>
              </w:rPr>
              <w:t>oDL-COT-SharingED-Threshold-r16</w:t>
            </w:r>
            <w:r>
              <w:rPr>
                <w:color w:val="000000"/>
              </w:rPr>
              <w:t xml:space="preserve"> is not </w:t>
            </w:r>
            <w:r>
              <w:t>provided, the transmission shall not include any unicast transmissions with user plane data and the transmission duration is not more than the duration of 2, 4 and 8 symbols for subcarrier spacing of 15, 30 and 60 kHz</w:t>
            </w:r>
            <w:r>
              <w:t xml:space="preserve"> of the corresponding channel, respectively. </w:t>
            </w:r>
          </w:p>
          <w:p w14:paraId="74E2F6FB" w14:textId="77777777" w:rsidR="00CD30E9" w:rsidRDefault="00114EEC">
            <w:pPr>
              <w:pStyle w:val="B1"/>
            </w:pPr>
            <w:r>
              <w:t>-</w:t>
            </w:r>
            <w:r>
              <w:tab/>
              <w:t xml:space="preserve">If the gap is up to </w:t>
            </w:r>
            <m:oMath>
              <m:r>
                <w:rPr>
                  <w:rFonts w:ascii="Cambria Math" w:hAnsi="Cambria Math"/>
                </w:rPr>
                <m:t>16</m:t>
              </m:r>
              <m:r>
                <w:rPr>
                  <w:rFonts w:ascii="Cambria Math" w:hAnsi="Cambria Math"/>
                </w:rPr>
                <m:t>us</m:t>
              </m:r>
            </m:oMath>
            <w:r>
              <w:t>, the gNB can transmit the transmission on the channel after performing Type 2C DL channel access as described in clause 4.1.2.3.</w:t>
            </w:r>
          </w:p>
          <w:p w14:paraId="4229F864" w14:textId="77777777" w:rsidR="00CD30E9" w:rsidRDefault="00114EEC">
            <w:pPr>
              <w:pStyle w:val="B1"/>
            </w:pPr>
            <w:r>
              <w:t>-</w:t>
            </w:r>
            <w:r>
              <w:tab/>
              <w:t xml:space="preserve">If the gap is </w:t>
            </w:r>
            <m:oMath>
              <m:r>
                <w:rPr>
                  <w:rFonts w:ascii="Cambria Math" w:hAnsi="Cambria Math"/>
                </w:rPr>
                <m:t>25</m:t>
              </m:r>
              <m:r>
                <w:rPr>
                  <w:rFonts w:ascii="Cambria Math" w:hAnsi="Cambria Math"/>
                </w:rPr>
                <m:t>us</m:t>
              </m:r>
            </m:oMath>
            <w:r>
              <w:t xml:space="preserve">  or </w:t>
            </w:r>
            <m:oMath>
              <m:r>
                <w:rPr>
                  <w:rFonts w:ascii="Cambria Math" w:hAnsi="Cambria Math"/>
                </w:rPr>
                <m:t>16</m:t>
              </m:r>
              <m:r>
                <w:rPr>
                  <w:rFonts w:ascii="Cambria Math" w:hAnsi="Cambria Math"/>
                </w:rPr>
                <m:t>us</m:t>
              </m:r>
            </m:oMath>
            <w:r>
              <w:t>, the gNB can trans</w:t>
            </w:r>
            <w:r>
              <w:t>mit the transmission on the channel after performing Type 2A or Type 2B DL channel access procedures as described in clause 4.1.2.1 and 4.1.2.2, respectively.</w:t>
            </w:r>
          </w:p>
          <w:bookmarkEnd w:id="12"/>
          <w:p w14:paraId="5F2ADBE2" w14:textId="77777777" w:rsidR="00CD30E9" w:rsidRDefault="00114EEC">
            <w:pPr>
              <w:autoSpaceDE/>
              <w:rPr>
                <w:lang w:eastAsia="zh-CN"/>
              </w:rPr>
            </w:pPr>
            <w:r>
              <w:rPr>
                <w:lang w:eastAsia="zh-CN"/>
              </w:rPr>
              <w:t>For the case where a gNB shares a channel occupancy initiated by a UE with configured grant PUSCH</w:t>
            </w:r>
            <w:r>
              <w:rPr>
                <w:lang w:eastAsia="zh-CN"/>
              </w:rPr>
              <w:t xml:space="preserve"> transmission, the gNB may </w:t>
            </w:r>
            <w:r>
              <w:t xml:space="preserve">transmit a transmission that follows the configured grant </w:t>
            </w:r>
            <w:r>
              <w:rPr>
                <w:lang w:eastAsia="zh-CN"/>
              </w:rPr>
              <w:t xml:space="preserve">PUSCH transmission by the UE as follows: </w:t>
            </w:r>
          </w:p>
          <w:p w14:paraId="0A4258DA" w14:textId="77777777" w:rsidR="00CD30E9" w:rsidRDefault="00114EEC">
            <w:pPr>
              <w:autoSpaceDE/>
              <w:ind w:left="568" w:hanging="284"/>
            </w:pPr>
            <w:r>
              <w:t>-</w:t>
            </w:r>
            <w:r>
              <w:tab/>
              <w:t xml:space="preserve">If the higher layer parameter </w:t>
            </w:r>
            <w:r>
              <w:rPr>
                <w:i/>
                <w:color w:val="000000"/>
              </w:rPr>
              <w:t>ul-toDL</w:t>
            </w:r>
            <w:r>
              <w:rPr>
                <w:i/>
                <w:iCs/>
              </w:rPr>
              <w:t>-COT-SharingED-Threshold-r16</w:t>
            </w:r>
            <w:r>
              <w:t xml:space="preserve"> is provided, the UE is configured by </w:t>
            </w:r>
            <w:r>
              <w:rPr>
                <w:i/>
                <w:iCs/>
              </w:rPr>
              <w:t>cg-COT-SharingList-r16</w:t>
            </w:r>
            <w:r>
              <w:rPr>
                <w:iCs/>
              </w:rPr>
              <w:t xml:space="preserve"> w</w:t>
            </w:r>
            <w:r>
              <w:rPr>
                <w:iCs/>
              </w:rPr>
              <w:t xml:space="preserve">here </w:t>
            </w:r>
            <w:r>
              <w:rPr>
                <w:i/>
                <w:iCs/>
              </w:rPr>
              <w:t xml:space="preserve">cg-COT-SharingList-r16 </w:t>
            </w:r>
            <w:r>
              <w:rPr>
                <w:iCs/>
              </w:rPr>
              <w:t xml:space="preserve">provides a </w:t>
            </w:r>
            <w:r>
              <w:t xml:space="preserve">table configured by higher layer. Each row of the table provides a channel occupancy sharing information given by higher layer parameter </w:t>
            </w:r>
            <w:r>
              <w:rPr>
                <w:i/>
              </w:rPr>
              <w:t>CG-COT-Sharing-r16</w:t>
            </w:r>
            <w:r>
              <w:t>. One row of the table is configured for indicating that the c</w:t>
            </w:r>
            <w:r>
              <w:t>hannel occupancy sharing is not available.</w:t>
            </w:r>
          </w:p>
          <w:p w14:paraId="2E575E51" w14:textId="77777777" w:rsidR="00CD30E9" w:rsidRDefault="00114EEC">
            <w:pPr>
              <w:autoSpaceDE/>
              <w:ind w:left="851" w:hanging="284"/>
            </w:pPr>
            <w:r>
              <w:t>-</w:t>
            </w:r>
            <w:r>
              <w:tab/>
              <w:t xml:space="preserve">If the 'COT sharing information' in CG-UCI detected in slot </w:t>
            </w:r>
            <w:r>
              <w:rPr>
                <w:i/>
                <w:iCs/>
              </w:rPr>
              <w:t>n</w:t>
            </w:r>
            <w:r>
              <w:t xml:space="preserve"> indicates a row index that corresponds to a </w:t>
            </w:r>
            <w:r>
              <w:rPr>
                <w:i/>
              </w:rPr>
              <w:t xml:space="preserve">CG-COT-Sharing-r16 </w:t>
            </w:r>
            <w:r>
              <w:t xml:space="preserve">that provides channel occupancy sharing information, the gNB can share the UE channel </w:t>
            </w:r>
            <w:r>
              <w:t xml:space="preserve">occupancy assuming a channel access priority class </w:t>
            </w:r>
            <w:r>
              <w:rPr>
                <w:i/>
              </w:rPr>
              <w:t>p=</w:t>
            </w:r>
            <w:r>
              <w:rPr>
                <w:rFonts w:cs="Courier New"/>
                <w:i/>
                <w:iCs/>
              </w:rPr>
              <w:t xml:space="preserve"> channelAccessPriority-r16</w:t>
            </w:r>
            <w:r>
              <w:t xml:space="preserve">, starting from slot </w:t>
            </w:r>
            <w:r>
              <w:rPr>
                <w:i/>
                <w:iCs/>
              </w:rPr>
              <w:t>n+O</w:t>
            </w:r>
            <w:r>
              <w:t xml:space="preserve">, where </w:t>
            </w:r>
            <w:r>
              <w:rPr>
                <w:i/>
              </w:rPr>
              <w:t xml:space="preserve">O=offset-r16 </w:t>
            </w:r>
            <w:r>
              <w:t xml:space="preserve">slots, for a duration of </w:t>
            </w:r>
            <w:r>
              <w:rPr>
                <w:i/>
              </w:rPr>
              <w:t>D=duration-r16</w:t>
            </w:r>
            <w:r>
              <w:t xml:space="preserve"> slots where </w:t>
            </w:r>
            <w:r>
              <w:rPr>
                <w:i/>
              </w:rPr>
              <w:t>duration-r16</w:t>
            </w:r>
            <w:r>
              <w:t xml:space="preserve">, </w:t>
            </w:r>
            <w:r>
              <w:rPr>
                <w:i/>
              </w:rPr>
              <w:t>offset-r16</w:t>
            </w:r>
            <w:r>
              <w:t xml:space="preserve">, </w:t>
            </w:r>
            <w:r>
              <w:rPr>
                <w:iCs/>
              </w:rPr>
              <w:t xml:space="preserve">and </w:t>
            </w:r>
            <w:r>
              <w:rPr>
                <w:rFonts w:cs="Courier New"/>
                <w:i/>
                <w:iCs/>
              </w:rPr>
              <w:t>channelAccessPriority-r16</w:t>
            </w:r>
            <w:r>
              <w:rPr>
                <w:i/>
              </w:rPr>
              <w:t xml:space="preserve"> </w:t>
            </w:r>
            <w:r>
              <w:t xml:space="preserve">are higher layer parameters provided by </w:t>
            </w:r>
            <w:r>
              <w:rPr>
                <w:i/>
              </w:rPr>
              <w:t>CG-COT-Sharing-r16</w:t>
            </w:r>
            <w:r>
              <w:t xml:space="preserve">. </w:t>
            </w:r>
          </w:p>
          <w:p w14:paraId="68CA08F6" w14:textId="77777777" w:rsidR="00CD30E9" w:rsidRDefault="00114EEC">
            <w:pPr>
              <w:autoSpaceDE/>
              <w:ind w:left="568" w:hanging="284"/>
              <w:rPr>
                <w:lang w:val="en-US"/>
              </w:rPr>
            </w:pPr>
            <w:r>
              <w:t>-</w:t>
            </w:r>
            <w:r>
              <w:tab/>
              <w:t xml:space="preserve">If the higher layer parameter </w:t>
            </w:r>
            <w:r>
              <w:rPr>
                <w:i/>
                <w:iCs/>
              </w:rPr>
              <w:t>ul-toDL-COT-SharingED-Threshold-r16</w:t>
            </w:r>
            <w:r>
              <w:t xml:space="preserve"> is not provided, and if 'COT sharing information' in CG-UCI indicates '1', the gNB can share the UE channel occupancy and start</w:t>
            </w:r>
            <w:r>
              <w:t xml:space="preserve"> the DL transmission X=</w:t>
            </w:r>
            <w:r>
              <w:rPr>
                <w:i/>
                <w:iCs/>
              </w:rPr>
              <w:t xml:space="preserve"> cg-COT-SharingOffset-r16</w:t>
            </w:r>
            <w:r>
              <w:t xml:space="preserve"> symbols from the end of the slot where CG-UCI is detected, where </w:t>
            </w:r>
            <w:r>
              <w:rPr>
                <w:i/>
                <w:iCs/>
              </w:rPr>
              <w:t>cg-COT-SharingOffset-r16</w:t>
            </w:r>
            <w:r>
              <w:t xml:space="preserve"> is provided by higher layer. The transmission shall not include any unicast transmissions with user plane data and th</w:t>
            </w:r>
            <w:r>
              <w:t>e transmission duration is not more than the duration of 2, 4 and 8 symbols for subcarrier spacing of 15, 30 and 60 kHz of the corresponding channel, respectively.</w:t>
            </w:r>
          </w:p>
          <w:p w14:paraId="29C6C6C5"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hAnsi="Times New Roman"/>
                <w:szCs w:val="20"/>
                <w:lang w:eastAsia="en-US"/>
              </w:rPr>
              <w:t>=========================== End of Text Proposal for TS37.213============================</w:t>
            </w:r>
          </w:p>
        </w:tc>
      </w:tr>
    </w:tbl>
    <w:p w14:paraId="091714C3" w14:textId="77777777" w:rsidR="00CD30E9" w:rsidRDefault="00CD30E9">
      <w:pPr>
        <w:pStyle w:val="Doc-text2"/>
        <w:tabs>
          <w:tab w:val="left" w:pos="1276"/>
        </w:tabs>
        <w:ind w:left="0" w:firstLine="0"/>
        <w:rPr>
          <w:rFonts w:ascii="Times New Roman" w:eastAsia="SimSun" w:hAnsi="Times New Roman"/>
          <w:sz w:val="22"/>
          <w:szCs w:val="22"/>
          <w:lang w:val="en-US" w:eastAsia="ko-KR"/>
        </w:rPr>
      </w:pPr>
    </w:p>
    <w:p w14:paraId="55842AB2" w14:textId="77777777" w:rsidR="00CD30E9" w:rsidRDefault="00114EEC">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CD30E9" w14:paraId="6EE8F5F9" w14:textId="77777777">
        <w:tc>
          <w:tcPr>
            <w:tcW w:w="2263" w:type="dxa"/>
          </w:tcPr>
          <w:p w14:paraId="4A66CECC" w14:textId="77777777" w:rsidR="00CD30E9" w:rsidRDefault="00114EEC">
            <w:r>
              <w:t>Company</w:t>
            </w:r>
          </w:p>
        </w:tc>
        <w:tc>
          <w:tcPr>
            <w:tcW w:w="7508" w:type="dxa"/>
          </w:tcPr>
          <w:p w14:paraId="651843AB" w14:textId="77777777" w:rsidR="00CD30E9" w:rsidRDefault="00114EEC">
            <w:r>
              <w:t>Comment</w:t>
            </w:r>
          </w:p>
        </w:tc>
      </w:tr>
      <w:tr w:rsidR="00CD30E9" w14:paraId="477C6CC6" w14:textId="77777777">
        <w:tc>
          <w:tcPr>
            <w:tcW w:w="2263" w:type="dxa"/>
          </w:tcPr>
          <w:p w14:paraId="7A313F26" w14:textId="77777777" w:rsidR="00CD30E9" w:rsidRDefault="00114EEC">
            <w:r>
              <w:rPr>
                <w:rFonts w:hint="eastAsia"/>
              </w:rPr>
              <w:t>OPPO</w:t>
            </w:r>
          </w:p>
        </w:tc>
        <w:tc>
          <w:tcPr>
            <w:tcW w:w="7508" w:type="dxa"/>
          </w:tcPr>
          <w:p w14:paraId="4E509202" w14:textId="77777777" w:rsidR="00CD30E9" w:rsidRDefault="00114EEC">
            <w:r>
              <w:t>T</w:t>
            </w:r>
            <w:r>
              <w:rPr>
                <w:rFonts w:hint="eastAsia"/>
              </w:rPr>
              <w:t xml:space="preserve">he </w:t>
            </w:r>
            <w:r>
              <w:t xml:space="preserve">TP seems inline with RAN1 agreement </w:t>
            </w:r>
          </w:p>
          <w:p w14:paraId="03FE44A6" w14:textId="77777777" w:rsidR="00CD30E9" w:rsidRDefault="00114EEC">
            <w:pPr>
              <w:rPr>
                <w:lang w:eastAsia="zh-CN"/>
              </w:rPr>
            </w:pPr>
            <w:r>
              <w:rPr>
                <w:highlight w:val="green"/>
                <w:lang w:eastAsia="zh-CN"/>
              </w:rPr>
              <w:t>Agreement:</w:t>
            </w:r>
          </w:p>
          <w:p w14:paraId="4C9C59B0" w14:textId="77777777" w:rsidR="00CD30E9" w:rsidRDefault="00114EEC">
            <w:pPr>
              <w:rPr>
                <w:lang w:eastAsia="zh-CN"/>
              </w:rPr>
            </w:pPr>
            <w:r>
              <w:rPr>
                <w:lang w:eastAsia="zh-CN"/>
              </w:rPr>
              <w:t xml:space="preserve">Sharing of a UE-initiated channel occupancy (either CG-PUSCH or scheduled UL) with </w:t>
            </w:r>
            <w:r>
              <w:rPr>
                <w:lang w:eastAsia="zh-CN"/>
              </w:rPr>
              <w:t>gNB is supported, such that the gNB is allowed to transmit control/broadcast signals/channels for any UEs as long as the transmission contains transmissions for the UE that initiated the channel occupancy and/or DL signals/channels (PDSCH, PDCCH, reference</w:t>
            </w:r>
            <w:r>
              <w:rPr>
                <w:lang w:eastAsia="zh-CN"/>
              </w:rPr>
              <w:t xml:space="preserve"> signals) meant for the UE that initiated the channel occupancy.</w:t>
            </w:r>
          </w:p>
          <w:p w14:paraId="2529966C" w14:textId="77777777" w:rsidR="00CD30E9" w:rsidRDefault="00CD30E9"/>
        </w:tc>
      </w:tr>
      <w:tr w:rsidR="00CD30E9" w14:paraId="3829BFCD" w14:textId="77777777">
        <w:tc>
          <w:tcPr>
            <w:tcW w:w="2263" w:type="dxa"/>
          </w:tcPr>
          <w:p w14:paraId="0B65C2F9" w14:textId="77777777" w:rsidR="00CD30E9" w:rsidRDefault="00114EEC">
            <w:r>
              <w:t>Intel</w:t>
            </w:r>
          </w:p>
        </w:tc>
        <w:tc>
          <w:tcPr>
            <w:tcW w:w="7508" w:type="dxa"/>
          </w:tcPr>
          <w:p w14:paraId="59F5722B" w14:textId="77777777" w:rsidR="00CD30E9" w:rsidRDefault="00114EEC">
            <w:r>
              <w:t>We support this TP.</w:t>
            </w:r>
          </w:p>
        </w:tc>
      </w:tr>
      <w:tr w:rsidR="00CD30E9" w14:paraId="642732E2" w14:textId="77777777">
        <w:tc>
          <w:tcPr>
            <w:tcW w:w="2263" w:type="dxa"/>
          </w:tcPr>
          <w:p w14:paraId="34AFEFB1" w14:textId="77777777" w:rsidR="00CD30E9" w:rsidRDefault="00114EEC">
            <w:pPr>
              <w:rPr>
                <w:rFonts w:eastAsia="Malgun Gothic"/>
                <w:lang w:eastAsia="ko-KR"/>
              </w:rPr>
            </w:pPr>
            <w:r>
              <w:rPr>
                <w:rFonts w:eastAsia="Malgun Gothic" w:hint="eastAsia"/>
                <w:lang w:eastAsia="ko-KR"/>
              </w:rPr>
              <w:lastRenderedPageBreak/>
              <w:t>LG</w:t>
            </w:r>
          </w:p>
        </w:tc>
        <w:tc>
          <w:tcPr>
            <w:tcW w:w="7508" w:type="dxa"/>
          </w:tcPr>
          <w:p w14:paraId="5C8B396F" w14:textId="77777777" w:rsidR="00CD30E9" w:rsidRDefault="00114EEC">
            <w:pPr>
              <w:tabs>
                <w:tab w:val="left" w:pos="2472"/>
              </w:tabs>
              <w:rPr>
                <w:rFonts w:eastAsia="Malgun Gothic"/>
                <w:lang w:eastAsia="ko-KR"/>
              </w:rPr>
            </w:pPr>
            <w:r>
              <w:rPr>
                <w:rFonts w:eastAsia="Malgun Gothic" w:hint="eastAsia"/>
                <w:lang w:eastAsia="ko-KR"/>
              </w:rPr>
              <w:t>Support the TP.</w:t>
            </w:r>
            <w:r>
              <w:rPr>
                <w:rFonts w:eastAsia="Malgun Gothic"/>
                <w:lang w:eastAsia="ko-KR"/>
              </w:rPr>
              <w:tab/>
            </w:r>
          </w:p>
        </w:tc>
      </w:tr>
      <w:tr w:rsidR="00CD30E9" w14:paraId="32D33616" w14:textId="77777777">
        <w:tc>
          <w:tcPr>
            <w:tcW w:w="2263" w:type="dxa"/>
          </w:tcPr>
          <w:p w14:paraId="4ED806F4" w14:textId="77777777" w:rsidR="00CD30E9" w:rsidRDefault="00114EEC">
            <w:r>
              <w:rPr>
                <w:rFonts w:hint="eastAsia"/>
                <w:lang w:val="en-US" w:eastAsia="zh-CN"/>
              </w:rPr>
              <w:t>ZTE, Sanechips</w:t>
            </w:r>
          </w:p>
        </w:tc>
        <w:tc>
          <w:tcPr>
            <w:tcW w:w="7508" w:type="dxa"/>
          </w:tcPr>
          <w:p w14:paraId="508FAC56" w14:textId="77777777" w:rsidR="00CD30E9" w:rsidRDefault="00114EEC">
            <w:pPr>
              <w:rPr>
                <w:lang w:val="en-US" w:eastAsia="zh-CN"/>
              </w:rPr>
            </w:pPr>
            <w:r>
              <w:rPr>
                <w:rFonts w:hint="eastAsia"/>
                <w:lang w:val="en-US" w:eastAsia="zh-CN"/>
              </w:rPr>
              <w:t>support</w:t>
            </w:r>
          </w:p>
        </w:tc>
      </w:tr>
      <w:tr w:rsidR="00114EEC" w14:paraId="2EFA47D0" w14:textId="77777777">
        <w:tc>
          <w:tcPr>
            <w:tcW w:w="2263" w:type="dxa"/>
          </w:tcPr>
          <w:p w14:paraId="0E198336" w14:textId="184322DF" w:rsidR="00114EEC" w:rsidRDefault="00114EEC">
            <w:pPr>
              <w:rPr>
                <w:rFonts w:hint="eastAsia"/>
                <w:lang w:val="en-US" w:eastAsia="zh-CN"/>
              </w:rPr>
            </w:pPr>
            <w:r>
              <w:rPr>
                <w:lang w:val="en-US" w:eastAsia="zh-CN"/>
              </w:rPr>
              <w:t>Nokia, NSB</w:t>
            </w:r>
          </w:p>
        </w:tc>
        <w:tc>
          <w:tcPr>
            <w:tcW w:w="7508" w:type="dxa"/>
          </w:tcPr>
          <w:p w14:paraId="03CB72A8" w14:textId="7FD38B88" w:rsidR="00114EEC" w:rsidRDefault="00114EEC">
            <w:pPr>
              <w:rPr>
                <w:rFonts w:hint="eastAsia"/>
                <w:lang w:val="en-US" w:eastAsia="zh-CN"/>
              </w:rPr>
            </w:pPr>
            <w:r>
              <w:rPr>
                <w:lang w:val="en-US" w:eastAsia="zh-CN"/>
              </w:rPr>
              <w:t>OK with the TP</w:t>
            </w:r>
            <w:bookmarkStart w:id="13" w:name="_GoBack"/>
            <w:bookmarkEnd w:id="13"/>
          </w:p>
        </w:tc>
      </w:tr>
    </w:tbl>
    <w:p w14:paraId="6BCEB179" w14:textId="77777777" w:rsidR="00CD30E9" w:rsidRDefault="00114EEC">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737B53BC" w14:textId="77777777" w:rsidR="00CD30E9" w:rsidRDefault="00CD30E9">
      <w:pPr>
        <w:rPr>
          <w:lang w:val="en-US"/>
        </w:rPr>
      </w:pPr>
    </w:p>
    <w:p w14:paraId="5D4838F9" w14:textId="77777777" w:rsidR="00CD30E9" w:rsidRDefault="00114EEC">
      <w:pPr>
        <w:pStyle w:val="Heading1"/>
        <w:rPr>
          <w:color w:val="000000"/>
          <w:lang w:val="en-US"/>
        </w:rPr>
      </w:pPr>
      <w:bookmarkStart w:id="14" w:name="_Toc48566787"/>
      <w:r>
        <w:rPr>
          <w:color w:val="000000"/>
          <w:lang w:val="en-US"/>
        </w:rPr>
        <w:t>3. Conclusions</w:t>
      </w:r>
      <w:bookmarkEnd w:id="14"/>
    </w:p>
    <w:p w14:paraId="36BE9507" w14:textId="77777777" w:rsidR="00CD30E9" w:rsidRDefault="00114EEC">
      <w:pPr>
        <w:jc w:val="both"/>
        <w:rPr>
          <w:sz w:val="22"/>
          <w:lang w:val="en-US" w:eastAsia="fi-FI"/>
        </w:rPr>
      </w:pPr>
      <w:r>
        <w:rPr>
          <w:sz w:val="22"/>
          <w:highlight w:val="yellow"/>
          <w:lang w:val="en-US" w:eastAsia="fi-FI"/>
        </w:rPr>
        <w:t>TBA</w:t>
      </w:r>
    </w:p>
    <w:p w14:paraId="48680EF3" w14:textId="77777777" w:rsidR="00CD30E9" w:rsidRDefault="00114EEC">
      <w:pPr>
        <w:pStyle w:val="Heading1"/>
        <w:rPr>
          <w:lang w:val="en-US"/>
        </w:rPr>
      </w:pPr>
      <w:bookmarkStart w:id="15" w:name="_Toc48566788"/>
      <w:r>
        <w:rPr>
          <w:lang w:val="en-US"/>
        </w:rPr>
        <w:t>References</w:t>
      </w:r>
      <w:bookmarkEnd w:id="15"/>
      <w:r>
        <w:rPr>
          <w:lang w:val="en-US"/>
        </w:rPr>
        <w:t xml:space="preserve"> </w:t>
      </w:r>
    </w:p>
    <w:p w14:paraId="5B125F36" w14:textId="77777777" w:rsidR="00CD30E9" w:rsidRDefault="00CD30E9">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CD30E9" w14:paraId="2F5BA5CF"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ADB79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00DB94FF"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2EFBC0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420E082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CD30E9" w14:paraId="44FA2FE5" w14:textId="77777777">
        <w:trPr>
          <w:trHeight w:val="450"/>
        </w:trPr>
        <w:tc>
          <w:tcPr>
            <w:tcW w:w="532" w:type="dxa"/>
            <w:tcBorders>
              <w:top w:val="nil"/>
              <w:left w:val="single" w:sz="4" w:space="0" w:color="A6A6A6"/>
              <w:bottom w:val="single" w:sz="4" w:space="0" w:color="A6A6A6"/>
              <w:right w:val="single" w:sz="4" w:space="0" w:color="A6A6A6"/>
            </w:tcBorders>
          </w:tcPr>
          <w:p w14:paraId="69F4B510"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6BD30FDC"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1B145E1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776A52D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CD30E9" w14:paraId="06190E92" w14:textId="77777777">
        <w:trPr>
          <w:trHeight w:val="450"/>
        </w:trPr>
        <w:tc>
          <w:tcPr>
            <w:tcW w:w="532" w:type="dxa"/>
            <w:tcBorders>
              <w:top w:val="nil"/>
              <w:left w:val="single" w:sz="4" w:space="0" w:color="A6A6A6"/>
              <w:bottom w:val="single" w:sz="4" w:space="0" w:color="A6A6A6"/>
              <w:right w:val="single" w:sz="4" w:space="0" w:color="A6A6A6"/>
            </w:tcBorders>
          </w:tcPr>
          <w:p w14:paraId="4D0C39D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691391D1"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2ECDFF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2FC7266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CD30E9" w14:paraId="3230A3F6" w14:textId="77777777">
        <w:trPr>
          <w:trHeight w:val="450"/>
        </w:trPr>
        <w:tc>
          <w:tcPr>
            <w:tcW w:w="532" w:type="dxa"/>
            <w:tcBorders>
              <w:top w:val="nil"/>
              <w:left w:val="single" w:sz="4" w:space="0" w:color="A6A6A6"/>
              <w:bottom w:val="single" w:sz="4" w:space="0" w:color="A6A6A6"/>
              <w:right w:val="single" w:sz="4" w:space="0" w:color="A6A6A6"/>
            </w:tcBorders>
          </w:tcPr>
          <w:p w14:paraId="0A509FA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52098E60"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53A7E85E"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6B8A42C6"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CD30E9" w14:paraId="752ED4EE" w14:textId="77777777">
        <w:trPr>
          <w:trHeight w:val="450"/>
        </w:trPr>
        <w:tc>
          <w:tcPr>
            <w:tcW w:w="532" w:type="dxa"/>
            <w:tcBorders>
              <w:top w:val="nil"/>
              <w:left w:val="single" w:sz="4" w:space="0" w:color="A6A6A6"/>
              <w:bottom w:val="single" w:sz="4" w:space="0" w:color="A6A6A6"/>
              <w:right w:val="single" w:sz="4" w:space="0" w:color="A6A6A6"/>
            </w:tcBorders>
          </w:tcPr>
          <w:p w14:paraId="0F0EDBED"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4817D87B"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55D8C82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w:t>
            </w:r>
            <w:r>
              <w:rPr>
                <w:rFonts w:ascii="Arial" w:hAnsi="Arial" w:cs="Arial"/>
                <w:sz w:val="16"/>
                <w:szCs w:val="16"/>
              </w:rPr>
              <w:t>maining issues of channel access procedure</w:t>
            </w:r>
          </w:p>
        </w:tc>
        <w:tc>
          <w:tcPr>
            <w:tcW w:w="2410" w:type="dxa"/>
            <w:tcBorders>
              <w:top w:val="nil"/>
              <w:left w:val="nil"/>
              <w:bottom w:val="single" w:sz="4" w:space="0" w:color="A6A6A6"/>
              <w:right w:val="single" w:sz="4" w:space="0" w:color="A6A6A6"/>
            </w:tcBorders>
            <w:shd w:val="clear" w:color="auto" w:fill="auto"/>
          </w:tcPr>
          <w:p w14:paraId="7883D92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CD30E9" w14:paraId="73531FDD" w14:textId="77777777">
        <w:trPr>
          <w:trHeight w:val="450"/>
        </w:trPr>
        <w:tc>
          <w:tcPr>
            <w:tcW w:w="532" w:type="dxa"/>
            <w:tcBorders>
              <w:top w:val="nil"/>
              <w:left w:val="single" w:sz="4" w:space="0" w:color="A6A6A6"/>
              <w:bottom w:val="single" w:sz="4" w:space="0" w:color="A6A6A6"/>
              <w:right w:val="single" w:sz="4" w:space="0" w:color="A6A6A6"/>
            </w:tcBorders>
          </w:tcPr>
          <w:p w14:paraId="20ABA2FA"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739815AD"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2C848B4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73DFFF5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CD30E9" w14:paraId="31995891" w14:textId="77777777">
        <w:trPr>
          <w:trHeight w:val="450"/>
        </w:trPr>
        <w:tc>
          <w:tcPr>
            <w:tcW w:w="532" w:type="dxa"/>
            <w:tcBorders>
              <w:top w:val="nil"/>
              <w:left w:val="single" w:sz="4" w:space="0" w:color="A6A6A6"/>
              <w:bottom w:val="single" w:sz="4" w:space="0" w:color="A6A6A6"/>
              <w:right w:val="single" w:sz="4" w:space="0" w:color="A6A6A6"/>
            </w:tcBorders>
          </w:tcPr>
          <w:p w14:paraId="56FA664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5F32C1E1"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3944B9E4"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1C9C41E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CD30E9" w14:paraId="02B12AF0" w14:textId="77777777">
        <w:trPr>
          <w:trHeight w:val="450"/>
        </w:trPr>
        <w:tc>
          <w:tcPr>
            <w:tcW w:w="532" w:type="dxa"/>
            <w:tcBorders>
              <w:top w:val="nil"/>
              <w:left w:val="single" w:sz="4" w:space="0" w:color="A6A6A6"/>
              <w:bottom w:val="single" w:sz="4" w:space="0" w:color="A6A6A6"/>
              <w:right w:val="single" w:sz="4" w:space="0" w:color="A6A6A6"/>
            </w:tcBorders>
          </w:tcPr>
          <w:p w14:paraId="62E7931B"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69036A3E"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430FBAE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4D81AC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CD30E9" w14:paraId="574A7745" w14:textId="77777777">
        <w:trPr>
          <w:trHeight w:val="450"/>
        </w:trPr>
        <w:tc>
          <w:tcPr>
            <w:tcW w:w="532" w:type="dxa"/>
            <w:tcBorders>
              <w:top w:val="nil"/>
              <w:left w:val="single" w:sz="4" w:space="0" w:color="A6A6A6"/>
              <w:bottom w:val="single" w:sz="4" w:space="0" w:color="A6A6A6"/>
              <w:right w:val="single" w:sz="4" w:space="0" w:color="A6A6A6"/>
            </w:tcBorders>
          </w:tcPr>
          <w:p w14:paraId="61C8FAF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16" w:name="_Hlk47951079"/>
        <w:tc>
          <w:tcPr>
            <w:tcW w:w="1265" w:type="dxa"/>
            <w:tcBorders>
              <w:top w:val="nil"/>
              <w:left w:val="single" w:sz="4" w:space="0" w:color="A6A6A6"/>
              <w:bottom w:val="single" w:sz="4" w:space="0" w:color="A6A6A6"/>
              <w:right w:val="single" w:sz="4" w:space="0" w:color="A6A6A6"/>
            </w:tcBorders>
            <w:shd w:val="clear" w:color="auto" w:fill="auto"/>
          </w:tcPr>
          <w:p w14:paraId="76510EBA"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16"/>
          </w:p>
        </w:tc>
        <w:tc>
          <w:tcPr>
            <w:tcW w:w="5144" w:type="dxa"/>
            <w:tcBorders>
              <w:top w:val="nil"/>
              <w:left w:val="nil"/>
              <w:bottom w:val="single" w:sz="4" w:space="0" w:color="A6A6A6"/>
              <w:right w:val="single" w:sz="4" w:space="0" w:color="A6A6A6"/>
            </w:tcBorders>
            <w:shd w:val="clear" w:color="auto" w:fill="auto"/>
          </w:tcPr>
          <w:p w14:paraId="1EAEF879"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97EFA05"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CD30E9" w14:paraId="7E6B8208" w14:textId="77777777">
        <w:trPr>
          <w:trHeight w:val="450"/>
        </w:trPr>
        <w:tc>
          <w:tcPr>
            <w:tcW w:w="532" w:type="dxa"/>
            <w:tcBorders>
              <w:top w:val="nil"/>
              <w:left w:val="single" w:sz="4" w:space="0" w:color="A6A6A6"/>
              <w:bottom w:val="single" w:sz="4" w:space="0" w:color="A6A6A6"/>
              <w:right w:val="single" w:sz="4" w:space="0" w:color="A6A6A6"/>
            </w:tcBorders>
          </w:tcPr>
          <w:p w14:paraId="5ECE69A8"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2FB838D6"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4969254F"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61C9310C"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CD30E9" w14:paraId="7C773895" w14:textId="77777777">
        <w:trPr>
          <w:trHeight w:val="450"/>
        </w:trPr>
        <w:tc>
          <w:tcPr>
            <w:tcW w:w="532" w:type="dxa"/>
            <w:tcBorders>
              <w:top w:val="nil"/>
              <w:left w:val="single" w:sz="4" w:space="0" w:color="A6A6A6"/>
              <w:bottom w:val="single" w:sz="4" w:space="0" w:color="A6A6A6"/>
              <w:right w:val="single" w:sz="4" w:space="0" w:color="A6A6A6"/>
            </w:tcBorders>
          </w:tcPr>
          <w:p w14:paraId="7D686397"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28C18D45" w14:textId="77777777" w:rsidR="00CD30E9" w:rsidRDefault="00114EEC">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24555BD2"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79B05343" w14:textId="77777777" w:rsidR="00CD30E9" w:rsidRDefault="00114EEC">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04C2A717" w14:textId="77777777" w:rsidR="00CD30E9" w:rsidRDefault="00CD30E9">
      <w:pPr>
        <w:rPr>
          <w:lang w:val="en-US"/>
        </w:rPr>
      </w:pPr>
    </w:p>
    <w:sectPr w:rsidR="00CD30E9">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BC6DD" w14:textId="77777777" w:rsidR="008C685B" w:rsidRDefault="008C685B" w:rsidP="008C685B">
      <w:pPr>
        <w:spacing w:after="0" w:line="240" w:lineRule="auto"/>
      </w:pPr>
      <w:r>
        <w:separator/>
      </w:r>
    </w:p>
  </w:endnote>
  <w:endnote w:type="continuationSeparator" w:id="0">
    <w:p w14:paraId="4DEEA899" w14:textId="77777777" w:rsidR="008C685B" w:rsidRDefault="008C685B" w:rsidP="008C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altName w:val="Microsoft YaHei"/>
    <w:panose1 w:val="020B0604020202020204"/>
    <w:charset w:val="81"/>
    <w:family w:val="modern"/>
    <w:pitch w:val="default"/>
    <w:sig w:usb0="00000000" w:usb1="00000000"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EEAB6" w14:textId="77777777" w:rsidR="008C685B" w:rsidRDefault="008C685B" w:rsidP="008C685B">
      <w:pPr>
        <w:spacing w:after="0" w:line="240" w:lineRule="auto"/>
      </w:pPr>
      <w:r>
        <w:separator/>
      </w:r>
    </w:p>
  </w:footnote>
  <w:footnote w:type="continuationSeparator" w:id="0">
    <w:p w14:paraId="15745E40" w14:textId="77777777" w:rsidR="008C685B" w:rsidRDefault="008C685B" w:rsidP="008C6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312CA1"/>
    <w:multiLevelType w:val="multilevel"/>
    <w:tmpl w:val="2B312CA1"/>
    <w:lvl w:ilvl="0">
      <w:start w:val="1"/>
      <w:numFmt w:val="bullet"/>
      <w:lvlText w:val="-"/>
      <w:lvlJc w:val="left"/>
      <w:pPr>
        <w:ind w:left="470" w:hanging="420"/>
      </w:pPr>
      <w:rPr>
        <w:rFonts w:ascii="Times New Roman" w:eastAsia="SimSun" w:hAnsi="Times New Roman" w:cs="Times New Roman" w:hint="default"/>
        <w:color w:val="auto"/>
      </w:rPr>
    </w:lvl>
    <w:lvl w:ilvl="1">
      <w:start w:val="1"/>
      <w:numFmt w:val="bullet"/>
      <w:lvlText w:val=""/>
      <w:lvlJc w:val="left"/>
      <w:pPr>
        <w:ind w:left="890" w:hanging="420"/>
      </w:pPr>
      <w:rPr>
        <w:rFonts w:ascii="Wingdings" w:hAnsi="Wingdings" w:hint="default"/>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1"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chang Myung">
    <w15:presenceInfo w15:providerId="None" w15:userId="Sechang My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861FC"/>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3AAD"/>
    <w:rsid w:val="00114E96"/>
    <w:rsid w:val="00114EEC"/>
    <w:rsid w:val="00115828"/>
    <w:rsid w:val="00115C39"/>
    <w:rsid w:val="0011644A"/>
    <w:rsid w:val="001167B3"/>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28E"/>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E9A"/>
    <w:rsid w:val="00241311"/>
    <w:rsid w:val="0024178B"/>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3E"/>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0A79"/>
    <w:rsid w:val="00641518"/>
    <w:rsid w:val="0064165D"/>
    <w:rsid w:val="00642E2A"/>
    <w:rsid w:val="00643043"/>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1C3F"/>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DD6"/>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1D6"/>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85B"/>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66F4"/>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6D3"/>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38C"/>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8DD"/>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931"/>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2D0"/>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6F33"/>
    <w:rsid w:val="00C575A5"/>
    <w:rsid w:val="00C60237"/>
    <w:rsid w:val="00C6038F"/>
    <w:rsid w:val="00C60777"/>
    <w:rsid w:val="00C60EA3"/>
    <w:rsid w:val="00C61892"/>
    <w:rsid w:val="00C61CAB"/>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5DA9"/>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0E9"/>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A88"/>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18F2"/>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3BC"/>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EF7DE8"/>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E99"/>
    <w:rsid w:val="00F634C3"/>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76FBA12"/>
    <w:rsid w:val="39FD2257"/>
    <w:rsid w:val="3DBA60F8"/>
    <w:rsid w:val="3E8E3440"/>
    <w:rsid w:val="41147149"/>
    <w:rsid w:val="416A703E"/>
    <w:rsid w:val="4A8C8970"/>
    <w:rsid w:val="4AB91403"/>
    <w:rsid w:val="4EBEF9C7"/>
    <w:rsid w:val="50C9A22D"/>
    <w:rsid w:val="50F6EDAA"/>
    <w:rsid w:val="55D9BF88"/>
    <w:rsid w:val="57A2373E"/>
    <w:rsid w:val="5887D713"/>
    <w:rsid w:val="5B045815"/>
    <w:rsid w:val="5BD97AF7"/>
    <w:rsid w:val="5F52755C"/>
    <w:rsid w:val="62A17198"/>
    <w:rsid w:val="690F462C"/>
    <w:rsid w:val="69ABBA13"/>
    <w:rsid w:val="6BED8D6C"/>
    <w:rsid w:val="6ED72757"/>
    <w:rsid w:val="70FB8CF9"/>
    <w:rsid w:val="7193A0B0"/>
    <w:rsid w:val="75131494"/>
    <w:rsid w:val="75635E82"/>
    <w:rsid w:val="76BD1627"/>
    <w:rsid w:val="76DD4435"/>
    <w:rsid w:val="79996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09EFA"/>
  <w15:docId w15:val="{1444993C-84C0-4981-AE2F-86F264E4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lsdException w:name="toc 5" w:semiHidden="1" w:qFormat="1"/>
    <w:lsdException w:name="toc 6" w:semiHidden="1"/>
    <w:lsdException w:name="toc 7" w:semiHidden="1"/>
    <w:lsdException w:name="toc 8" w:semiHidden="1"/>
    <w:lsdException w:name="toc 9" w:semiHidden="1"/>
    <w:lsdException w:name="Normal Indent" w:semiHidden="1" w:unhideWhenUsed="1"/>
    <w:lsdException w:name="footnote text" w:qFormat="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GridTable2-Accent11">
    <w:name w:val="Grid Table 2 - Accent 11"/>
    <w:basedOn w:val="TableNormal"/>
    <w:uiPriority w:val="47"/>
    <w:qFormat/>
    <w:rPr>
      <w:rFonts w:ascii="Times New Roman" w:eastAsia="Times New Roman" w:hAnsi="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jc w:val="both"/>
      <w:textAlignment w:val="auto"/>
    </w:pPr>
    <w:rPr>
      <w:rFonts w:ascii="Arial" w:eastAsiaTheme="minorHAnsi" w:hAnsi="Arial" w:cstheme="minorBidi"/>
      <w:b/>
      <w:bCs/>
      <w:sz w:val="22"/>
      <w:szCs w:val="22"/>
      <w:lang w:val="en-US"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2">
    <w:name w:val="B3 Char2"/>
    <w:link w:val="B3"/>
    <w:qFormat/>
    <w:locke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www.3gpp.org/ftp/TSG_RAN/WG1_RL1/TSGR1_102-e/Docs/R1-200635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0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hyperlink" Target="http://www.3gpp.org/ftp/TSG_RAN/WG1_RL1/TSGR1_102-e/Docs/R1-2006301.zip"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3gpp.org/ftp/TSG_RAN/WG1_RL1/TSGR1_102-e/Docs/R1-2005600.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6095.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www.3gpp.org/ftp/TSG_RAN/WG1_RL1/TSGR1_102-e/Docs/R1-2006020.zip" TargetMode="External"/><Relationship Id="rId28" Type="http://schemas.openxmlformats.org/officeDocument/2006/relationships/hyperlink" Target="http://www.3gpp.org/ftp/TSG_RAN/WG1_RL1/TSGR1_102-e/Docs/R1-2006881.zip" TargetMode="External"/><Relationship Id="rId10" Type="http://schemas.openxmlformats.org/officeDocument/2006/relationships/webSettings" Target="webSettings.xml"/><Relationship Id="rId19" Type="http://schemas.openxmlformats.org/officeDocument/2006/relationships/hyperlink" Target="http://www.3gpp.org/ftp/TSG_RAN/WG1_RL1/TSGR1_102-e/Docs/R1-200533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3gpp.org/ftp/TSG_RAN/WG1_RL1/TSGR1_102-e/Docs/R1-2005914.zip" TargetMode="External"/><Relationship Id="rId27" Type="http://schemas.openxmlformats.org/officeDocument/2006/relationships/hyperlink" Target="http://www.3gpp.org/ftp/TSG_RAN/WG1_RL1/TSGR1_102-e/Docs/R1-2006763.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datastoreItem>
</file>

<file path=customXml/itemProps2.xml><?xml version="1.0" encoding="utf-8"?>
<ds:datastoreItem xmlns:ds="http://schemas.openxmlformats.org/officeDocument/2006/customXml" ds:itemID="{1369D201-B2C2-4DC8-A98A-70B6E586961D}">
  <ds:schemaRefs/>
</ds:datastoreItem>
</file>

<file path=customXml/itemProps3.xml><?xml version="1.0" encoding="utf-8"?>
<ds:datastoreItem xmlns:ds="http://schemas.openxmlformats.org/officeDocument/2006/customXml" ds:itemID="{75AE46C1-5939-424B-9C3C-66BF1C4F6A82}">
  <ds:schemaRefs/>
</ds:datastoreItem>
</file>

<file path=customXml/itemProps4.xml><?xml version="1.0" encoding="utf-8"?>
<ds:datastoreItem xmlns:ds="http://schemas.openxmlformats.org/officeDocument/2006/customXml" ds:itemID="{3BFD651E-972C-4388-A87C-397D9E54527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9F3B903A-95C7-49BF-8FE8-CE284287C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4</TotalTime>
  <Pages>5</Pages>
  <Words>1735</Words>
  <Characters>11602</Characters>
  <Application>Microsoft Office Word</Application>
  <DocSecurity>0</DocSecurity>
  <Lines>96</Lines>
  <Paragraphs>26</Paragraphs>
  <ScaleCrop>false</ScaleCrop>
  <Company>Nokia &amp; NSN</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3</cp:revision>
  <cp:lastPrinted>2016-06-20T11:35:00Z</cp:lastPrinted>
  <dcterms:created xsi:type="dcterms:W3CDTF">2020-08-19T06:03:00Z</dcterms:created>
  <dcterms:modified xsi:type="dcterms:W3CDTF">2020-08-19T06:06:00Z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23:14:57Z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D:\ACS\2020\0824_RAN1#102-e\E-mail discussion\7.2.2.2.1\[102-e-NR-unlic-NRU-ChAcc-02]\Summary of [102-e-NR-unlic-NRU-ChAcc-02] v002_OPPO-Intel.docx</vt:lpwstr>
  </property>
  <property fmtid="{D5CDD505-2E9C-101B-9397-08002B2CF9AE}" pid="15" name="KSOProductBuildVer">
    <vt:lpwstr>2052-11.8.2.8696</vt:lpwstr>
  </property>
</Properties>
</file>