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4D" w:rsidRDefault="00AA22B9">
      <w:pPr>
        <w:tabs>
          <w:tab w:val="right" w:pos="9360"/>
        </w:tabs>
        <w:spacing w:after="0"/>
        <w:rPr>
          <w:b/>
        </w:rPr>
      </w:pPr>
      <w:r>
        <w:rPr>
          <w:b/>
        </w:rPr>
        <w:t>3GPP TSG RAN WG1 Meeting #102-e</w:t>
      </w:r>
      <w:r>
        <w:rPr>
          <w:b/>
        </w:rPr>
        <w:tab/>
        <w:t xml:space="preserve">                                                                          R1-200xxxx</w:t>
      </w:r>
    </w:p>
    <w:p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3C4E4D" w:rsidRDefault="00AA22B9">
      <w:pPr>
        <w:tabs>
          <w:tab w:val="left" w:pos="1200"/>
        </w:tabs>
        <w:rPr>
          <w:rFonts w:ascii="Arial" w:hAnsi="Arial" w:cs="Arial"/>
          <w:lang w:eastAsia="en-US"/>
        </w:rPr>
      </w:pPr>
      <w:r>
        <w:rPr>
          <w:rFonts w:ascii="Arial" w:hAnsi="Arial" w:cs="Arial"/>
          <w:lang w:eastAsia="en-US"/>
        </w:rPr>
        <w:tab/>
      </w:r>
    </w:p>
    <w:p w:rsidR="003C4E4D" w:rsidRDefault="00AA22B9">
      <w:pPr>
        <w:rPr>
          <w:b/>
        </w:rPr>
      </w:pPr>
      <w:r>
        <w:rPr>
          <w:b/>
        </w:rPr>
        <w:t>Agenda item:    7.2.2.1.1</w:t>
      </w:r>
    </w:p>
    <w:p w:rsidR="003C4E4D" w:rsidRDefault="00AA22B9">
      <w:pPr>
        <w:rPr>
          <w:b/>
        </w:rPr>
      </w:pPr>
      <w:r>
        <w:rPr>
          <w:b/>
        </w:rPr>
        <w:t>Source:              Moderator (Qualcomm</w:t>
      </w:r>
      <w:r>
        <w:rPr>
          <w:rFonts w:eastAsia="宋体"/>
          <w:b/>
          <w:lang w:eastAsia="zh-CN"/>
        </w:rPr>
        <w:t xml:space="preserve"> </w:t>
      </w:r>
      <w:r>
        <w:rPr>
          <w:b/>
        </w:rPr>
        <w:t>Incorporated)</w:t>
      </w:r>
    </w:p>
    <w:p w:rsidR="003C4E4D" w:rsidRDefault="00AA22B9">
      <w:pPr>
        <w:rPr>
          <w:b/>
        </w:rPr>
      </w:pPr>
      <w:r>
        <w:rPr>
          <w:b/>
        </w:rPr>
        <w:t>Title:                  FL summary for initial access signals and channels for NR-U</w:t>
      </w:r>
    </w:p>
    <w:p w:rsidR="003C4E4D" w:rsidRDefault="00AA22B9">
      <w:pPr>
        <w:rPr>
          <w:b/>
        </w:rPr>
      </w:pPr>
      <w:r>
        <w:rPr>
          <w:b/>
        </w:rPr>
        <w:t>Document for:  Discussion</w:t>
      </w:r>
      <w:r>
        <w:rPr>
          <w:rFonts w:eastAsia="宋体"/>
          <w:b/>
          <w:lang w:eastAsia="zh-CN"/>
        </w:rPr>
        <w:t xml:space="preserve"> and </w:t>
      </w:r>
      <w:r>
        <w:rPr>
          <w:b/>
        </w:rPr>
        <w:t>Decision</w:t>
      </w:r>
    </w:p>
    <w:p w:rsidR="003C4E4D" w:rsidRDefault="00AA22B9">
      <w:pPr>
        <w:pStyle w:val="Heading1"/>
        <w:numPr>
          <w:ilvl w:val="0"/>
          <w:numId w:val="10"/>
        </w:numPr>
      </w:pPr>
      <w:r>
        <w:t>Introduction</w:t>
      </w:r>
    </w:p>
    <w:p w:rsidR="003C4E4D" w:rsidRDefault="00AA22B9">
      <w:r>
        <w:t>This paper summarizes the text proposals submitted to agenda item 7.2.2.1.1.</w:t>
      </w:r>
    </w:p>
    <w:p w:rsidR="003C4E4D" w:rsidRDefault="00AA22B9">
      <w:pPr>
        <w:pStyle w:val="Heading1"/>
      </w:pPr>
      <w:r>
        <w:t>SSB and Type0-PDCCH monitoring</w:t>
      </w:r>
    </w:p>
    <w:p w:rsidR="003C4E4D" w:rsidRDefault="00AA22B9">
      <w:pPr>
        <w:outlineLvl w:val="1"/>
        <w:rPr>
          <w:b/>
          <w:bCs/>
          <w:u w:val="single"/>
          <w:lang w:eastAsia="en-US"/>
        </w:rPr>
      </w:pPr>
      <w:r>
        <w:rPr>
          <w:b/>
          <w:bCs/>
          <w:u w:val="single"/>
          <w:lang w:eastAsia="en-US"/>
        </w:rPr>
        <w:t>Issue 2.1. Type0-PDCCH monitoring</w:t>
      </w:r>
    </w:p>
    <w:p w:rsidR="003C4E4D" w:rsidRDefault="00AA22B9">
      <w:pPr>
        <w:rPr>
          <w:highlight w:val="yellow"/>
          <w:lang w:eastAsia="en-US"/>
        </w:rPr>
      </w:pPr>
      <w:r>
        <w:rPr>
          <w:lang w:eastAsia="en-US"/>
        </w:rPr>
        <w:t xml:space="preserve">[2] </w:t>
      </w:r>
      <w:proofErr w:type="gramStart"/>
      <w:r>
        <w:rPr>
          <w:lang w:eastAsia="en-US"/>
        </w:rPr>
        <w:t>and</w:t>
      </w:r>
      <w:proofErr w:type="gramEnd"/>
      <w:r>
        <w:rPr>
          <w:lang w:eastAsia="en-US"/>
        </w:rPr>
        <w:t xml:space="preserve"> [8] discussed enhancements to Type0-PDCCH monitoring by focusing on M=1/2 and support Type0-PDCCH monitoring in the same slot as SSB only.</w:t>
      </w:r>
    </w:p>
    <w:p w:rsidR="003C4E4D" w:rsidRDefault="00AA22B9">
      <w:pPr>
        <w:rPr>
          <w:lang w:eastAsia="en-US"/>
        </w:rPr>
      </w:pPr>
      <w:r>
        <w:rPr>
          <w:lang w:eastAsia="en-US"/>
        </w:rPr>
        <w:t>In [2], it is proposed to keep M=1/2 for Type0-PDCCH monitoring only.</w:t>
      </w:r>
    </w:p>
    <w:p w:rsidR="003C4E4D" w:rsidRDefault="00AA22B9">
      <w:pPr>
        <w:rPr>
          <w:lang w:val="en-US" w:eastAsia="en-US"/>
        </w:rPr>
      </w:pPr>
      <w:r>
        <w:rPr>
          <w:lang w:val="en-US" w:eastAsia="en-US"/>
        </w:rPr>
        <w:t>The proposals and TPs are captured below:</w:t>
      </w:r>
    </w:p>
    <w:p w:rsidR="003C4E4D" w:rsidRDefault="00AA22B9">
      <w:pPr>
        <w:spacing w:line="260" w:lineRule="auto"/>
        <w:rPr>
          <w:rFonts w:eastAsia="宋体"/>
          <w:i/>
          <w:iCs/>
          <w:lang w:val="en-US" w:eastAsia="zh-CN"/>
        </w:rPr>
      </w:pPr>
      <w:r>
        <w:rPr>
          <w:rFonts w:eastAsia="宋体"/>
          <w:b/>
          <w:bCs/>
          <w:lang w:val="en-US" w:eastAsia="zh-CN"/>
        </w:rPr>
        <w:t xml:space="preserve">Proposal in [2]: </w:t>
      </w:r>
      <w:r>
        <w:rPr>
          <w:rFonts w:eastAsia="宋体" w:hint="eastAsia"/>
          <w:b/>
          <w:bCs/>
          <w:lang w:val="en-US" w:eastAsia="zh-CN"/>
        </w:rPr>
        <w:t xml:space="preserve">For NR-U, only configuration parameter M = 1/2 in </w:t>
      </w:r>
      <w:r>
        <w:rPr>
          <w:b/>
          <w:bCs/>
        </w:rPr>
        <w:t>Table 13-11</w:t>
      </w:r>
      <w:r>
        <w:rPr>
          <w:rFonts w:eastAsia="宋体" w:hint="eastAsia"/>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eastAsia="宋体" w:hint="eastAsia"/>
          <w:b/>
          <w:bCs/>
          <w:lang w:val="en-US" w:eastAsia="zh-CN"/>
        </w:rPr>
        <w:t xml:space="preserve"> can be considered. </w:t>
      </w:r>
    </w:p>
    <w:p w:rsidR="003C4E4D" w:rsidRDefault="00AA22B9">
      <w:pPr>
        <w:snapToGrid w:val="0"/>
        <w:spacing w:beforeLines="50" w:before="120" w:afterLines="50" w:after="120"/>
        <w:jc w:val="center"/>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1</w:t>
      </w:r>
      <w:r>
        <w:rPr>
          <w:rFonts w:hint="eastAsia"/>
          <w:color w:val="C00000"/>
        </w:rPr>
        <w:t>]&gt;</w:t>
      </w:r>
      <w:r>
        <w:rPr>
          <w:rFonts w:eastAsia="宋体" w:hint="eastAsia"/>
          <w:color w:val="C00000"/>
          <w:lang w:val="en-US" w:eastAsia="zh-CN"/>
        </w:rPr>
        <w:t xml:space="preserve"> ------------------------------------------- </w:t>
      </w:r>
    </w:p>
    <w:p w:rsidR="003C4E4D" w:rsidRDefault="00AA22B9">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3C4E4D" w:rsidRDefault="00AA22B9">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3C4E4D" w:rsidRDefault="00AA22B9">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3C4E4D">
        <w:trPr>
          <w:cantSplit/>
        </w:trPr>
        <w:tc>
          <w:tcPr>
            <w:tcW w:w="806"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3C4E4D" w:rsidRDefault="00AA22B9">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3C4E4D">
        <w:trPr>
          <w:cantSplit/>
        </w:trPr>
        <w:tc>
          <w:tcPr>
            <w:tcW w:w="806"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85" w:type="dxa"/>
            <w:tcBorders>
              <w:top w:val="double" w:sz="4" w:space="0" w:color="auto"/>
              <w:left w:val="double" w:sz="4" w:space="0" w:color="auto"/>
            </w:tcBorders>
            <w:vAlign w:val="center"/>
          </w:tcPr>
          <w:p w:rsidR="003C4E4D" w:rsidRDefault="00AA22B9">
            <w:pPr>
              <w:pStyle w:val="TAC"/>
              <w:rPr>
                <w:lang w:val="en-US"/>
              </w:rPr>
            </w:pPr>
            <w:r>
              <w:rPr>
                <w:rStyle w:val="CommentReference"/>
                <w:rFonts w:cs="Arial"/>
              </w:rPr>
              <w:t>0</w:t>
            </w:r>
          </w:p>
        </w:tc>
        <w:tc>
          <w:tcPr>
            <w:tcW w:w="3326" w:type="dxa"/>
            <w:tcBorders>
              <w:top w:val="double" w:sz="4" w:space="0" w:color="auto"/>
            </w:tcBorders>
            <w:vAlign w:val="center"/>
          </w:tcPr>
          <w:p w:rsidR="003C4E4D" w:rsidRDefault="00AA22B9">
            <w:pPr>
              <w:pStyle w:val="TAC"/>
              <w:rPr>
                <w:lang w:val="en-US"/>
              </w:rPr>
            </w:pPr>
            <w:r>
              <w:rPr>
                <w:rStyle w:val="CommentReference"/>
                <w:rFonts w:cs="Arial"/>
              </w:rPr>
              <w:t>1</w:t>
            </w:r>
          </w:p>
        </w:tc>
        <w:tc>
          <w:tcPr>
            <w:tcW w:w="972" w:type="dxa"/>
            <w:tcBorders>
              <w:top w:val="double" w:sz="4" w:space="0" w:color="auto"/>
            </w:tcBorders>
            <w:vAlign w:val="center"/>
          </w:tcPr>
          <w:p w:rsidR="003C4E4D" w:rsidRDefault="00AA22B9">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rsidR="003C4E4D" w:rsidRDefault="00AA22B9">
            <w:pPr>
              <w:pStyle w:val="TAC"/>
              <w:rPr>
                <w:lang w:val="en-US"/>
              </w:rPr>
            </w:pPr>
            <w:r>
              <w:rPr>
                <w:rStyle w:val="CommentReference"/>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85" w:type="dxa"/>
            <w:tcBorders>
              <w:left w:val="double" w:sz="4" w:space="0" w:color="auto"/>
            </w:tcBorders>
            <w:vAlign w:val="center"/>
          </w:tcPr>
          <w:p w:rsidR="003C4E4D" w:rsidRDefault="00AA22B9">
            <w:pPr>
              <w:pStyle w:val="TAC"/>
              <w:rPr>
                <w:lang w:val="en-US"/>
              </w:rPr>
            </w:pPr>
            <w:r>
              <w:rPr>
                <w:rStyle w:val="CommentReference"/>
                <w:rFonts w:cs="Arial"/>
              </w:rPr>
              <w:t>0</w:t>
            </w:r>
          </w:p>
        </w:tc>
        <w:tc>
          <w:tcPr>
            <w:tcW w:w="3326" w:type="dxa"/>
            <w:vAlign w:val="center"/>
          </w:tcPr>
          <w:p w:rsidR="003C4E4D" w:rsidRDefault="00AA22B9">
            <w:pPr>
              <w:pStyle w:val="TAC"/>
              <w:rPr>
                <w:lang w:val="en-US"/>
              </w:rPr>
            </w:pPr>
            <w:r>
              <w:rPr>
                <w:rStyle w:val="CommentReference"/>
                <w:rFonts w:cs="Arial"/>
              </w:rPr>
              <w:t>2</w:t>
            </w:r>
          </w:p>
        </w:tc>
        <w:tc>
          <w:tcPr>
            <w:tcW w:w="972" w:type="dxa"/>
            <w:vAlign w:val="center"/>
          </w:tcPr>
          <w:p w:rsidR="003C4E4D" w:rsidRDefault="00AA22B9">
            <w:pPr>
              <w:pStyle w:val="TAC"/>
              <w:rPr>
                <w:lang w:val="en-US"/>
              </w:rPr>
            </w:pPr>
            <w:r>
              <w:rPr>
                <w:rStyle w:val="CommentReference"/>
                <w:rFonts w:cs="Arial"/>
              </w:rPr>
              <w:t>1/2</w:t>
            </w:r>
          </w:p>
        </w:tc>
        <w:tc>
          <w:tcPr>
            <w:tcW w:w="3444" w:type="dxa"/>
            <w:vAlign w:val="center"/>
          </w:tcPr>
          <w:p w:rsidR="003C4E4D" w:rsidRDefault="00AA22B9">
            <w:pPr>
              <w:pStyle w:val="TAC"/>
              <w:rPr>
                <w:lang w:val="en-US"/>
              </w:rPr>
            </w:pPr>
            <w:r>
              <w:rPr>
                <w:rStyle w:val="CommentReference"/>
                <w:rFonts w:cs="Arial"/>
              </w:rPr>
              <w:t xml:space="preserve">{0, if </w:t>
            </w:r>
            <w:r>
              <w:rPr>
                <w:noProof/>
                <w:position w:val="-6"/>
                <w:lang w:val="en-US" w:eastAsia="zh-CN"/>
              </w:rPr>
              <w:drawing>
                <wp:inline distT="0" distB="0" distL="114300" distR="114300">
                  <wp:extent cx="95250" cy="182880"/>
                  <wp:effectExtent l="0" t="0" r="0" b="5080"/>
                  <wp:docPr id="4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extent cx="482600" cy="219710"/>
                  <wp:effectExtent l="0" t="0" r="12700" b="7620"/>
                  <wp:docPr id="4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4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 w:author="ZTE" w:date="2020-04-06T21:47:00Z">
              <w:r>
                <w:delText>2</w:delText>
              </w:r>
            </w:del>
          </w:p>
        </w:tc>
        <w:tc>
          <w:tcPr>
            <w:tcW w:w="885" w:type="dxa"/>
            <w:tcBorders>
              <w:left w:val="double" w:sz="4" w:space="0" w:color="auto"/>
            </w:tcBorders>
            <w:vAlign w:val="center"/>
          </w:tcPr>
          <w:p w:rsidR="003C4E4D" w:rsidRDefault="00AA22B9">
            <w:pPr>
              <w:pStyle w:val="TAC"/>
            </w:pPr>
            <w:del w:id="3" w:author="ZTE" w:date="2020-04-06T21:47:00Z">
              <w:r>
                <w:rPr>
                  <w:rStyle w:val="CommentReference"/>
                  <w:rFonts w:cs="Arial"/>
                </w:rPr>
                <w:delText>2</w:delText>
              </w:r>
            </w:del>
          </w:p>
        </w:tc>
        <w:tc>
          <w:tcPr>
            <w:tcW w:w="3326" w:type="dxa"/>
            <w:vAlign w:val="center"/>
          </w:tcPr>
          <w:p w:rsidR="003C4E4D" w:rsidRDefault="00AA22B9">
            <w:pPr>
              <w:pStyle w:val="TAC"/>
            </w:pPr>
            <w:del w:id="4" w:author="ZTE" w:date="2020-04-06T21:47:00Z">
              <w:r>
                <w:rPr>
                  <w:rStyle w:val="CommentReference"/>
                  <w:rFonts w:cs="Arial"/>
                </w:rPr>
                <w:delText>1</w:delText>
              </w:r>
            </w:del>
          </w:p>
        </w:tc>
        <w:tc>
          <w:tcPr>
            <w:tcW w:w="972" w:type="dxa"/>
            <w:vAlign w:val="center"/>
          </w:tcPr>
          <w:p w:rsidR="003C4E4D" w:rsidRDefault="00AA22B9">
            <w:pPr>
              <w:pStyle w:val="TAC"/>
            </w:pPr>
            <w:del w:id="5" w:author="ZTE" w:date="2020-04-06T21:47:00Z">
              <w:r>
                <w:rPr>
                  <w:rStyle w:val="CommentReference"/>
                  <w:rFonts w:cs="Arial"/>
                </w:rPr>
                <w:delText>1</w:delText>
              </w:r>
            </w:del>
          </w:p>
        </w:tc>
        <w:tc>
          <w:tcPr>
            <w:tcW w:w="3444" w:type="dxa"/>
            <w:vAlign w:val="center"/>
          </w:tcPr>
          <w:p w:rsidR="003C4E4D" w:rsidRDefault="00AA22B9">
            <w:pPr>
              <w:pStyle w:val="TAC"/>
            </w:pPr>
            <w:del w:id="6"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7" w:author="ZTE" w:date="2020-04-06T21:47:00Z">
              <w:r>
                <w:delText>3</w:delText>
              </w:r>
            </w:del>
          </w:p>
        </w:tc>
        <w:tc>
          <w:tcPr>
            <w:tcW w:w="885" w:type="dxa"/>
            <w:tcBorders>
              <w:left w:val="double" w:sz="4" w:space="0" w:color="auto"/>
            </w:tcBorders>
            <w:vAlign w:val="center"/>
          </w:tcPr>
          <w:p w:rsidR="003C4E4D" w:rsidRDefault="00AA22B9">
            <w:pPr>
              <w:pStyle w:val="TAC"/>
            </w:pPr>
            <w:del w:id="8" w:author="ZTE" w:date="2020-04-06T21:47:00Z">
              <w:r>
                <w:rPr>
                  <w:rStyle w:val="CommentReference"/>
                  <w:rFonts w:cs="Arial"/>
                </w:rPr>
                <w:delText>2</w:delText>
              </w:r>
            </w:del>
          </w:p>
        </w:tc>
        <w:tc>
          <w:tcPr>
            <w:tcW w:w="3326" w:type="dxa"/>
            <w:vAlign w:val="center"/>
          </w:tcPr>
          <w:p w:rsidR="003C4E4D" w:rsidRDefault="00AA22B9">
            <w:pPr>
              <w:pStyle w:val="TAC"/>
            </w:pPr>
            <w:del w:id="9" w:author="ZTE" w:date="2020-04-06T21:47:00Z">
              <w:r>
                <w:rPr>
                  <w:rStyle w:val="CommentReference"/>
                  <w:rFonts w:cs="Arial"/>
                </w:rPr>
                <w:delText>2</w:delText>
              </w:r>
            </w:del>
          </w:p>
        </w:tc>
        <w:tc>
          <w:tcPr>
            <w:tcW w:w="972" w:type="dxa"/>
            <w:vAlign w:val="center"/>
          </w:tcPr>
          <w:p w:rsidR="003C4E4D" w:rsidRDefault="00AA22B9">
            <w:pPr>
              <w:pStyle w:val="TAC"/>
            </w:pPr>
            <w:del w:id="10" w:author="ZTE" w:date="2020-04-06T21:47:00Z">
              <w:r>
                <w:rPr>
                  <w:rStyle w:val="CommentReference"/>
                  <w:rFonts w:cs="Arial"/>
                </w:rPr>
                <w:delText>1/2</w:delText>
              </w:r>
            </w:del>
          </w:p>
        </w:tc>
        <w:tc>
          <w:tcPr>
            <w:tcW w:w="3444" w:type="dxa"/>
            <w:vAlign w:val="center"/>
          </w:tcPr>
          <w:p w:rsidR="003C4E4D" w:rsidRDefault="00AA22B9">
            <w:pPr>
              <w:pStyle w:val="TAC"/>
            </w:pPr>
            <w:del w:id="11" w:author="ZTE" w:date="2020-04-06T21:47:00Z">
              <w:r>
                <w:rPr>
                  <w:rStyle w:val="CommentReference"/>
                  <w:rFonts w:cs="Arial"/>
                </w:rPr>
                <w:delText xml:space="preserve">{0, if </w:delText>
              </w:r>
              <w:r>
                <w:rPr>
                  <w:noProof/>
                  <w:position w:val="-6"/>
                  <w:lang w:val="en-US" w:eastAsia="zh-CN"/>
                  <w:rPrChange w:id="12" w:author="Unknown">
                    <w:rPr>
                      <w:noProof/>
                      <w:lang w:val="en-US" w:eastAsia="zh-CN"/>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13" w:author="Unknown">
                    <w:rPr>
                      <w:noProof/>
                      <w:lang w:val="en-US" w:eastAsia="zh-CN"/>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rPr>
                      <w:noProof/>
                      <w:lang w:val="en-US" w:eastAsia="zh-CN"/>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3C4E4D" w:rsidRDefault="00AA22B9">
            <w:pPr>
              <w:pStyle w:val="TAC"/>
            </w:pPr>
            <w:r>
              <w:rPr>
                <w:rStyle w:val="CommentReference"/>
                <w:rFonts w:cs="Arial"/>
              </w:rPr>
              <w:t>5</w:t>
            </w:r>
          </w:p>
        </w:tc>
        <w:tc>
          <w:tcPr>
            <w:tcW w:w="3326" w:type="dxa"/>
            <w:vAlign w:val="center"/>
          </w:tcPr>
          <w:p w:rsidR="003C4E4D" w:rsidRDefault="00AA22B9">
            <w:pPr>
              <w:pStyle w:val="TAC"/>
            </w:pPr>
            <w:r>
              <w:rPr>
                <w:rStyle w:val="CommentReference"/>
                <w:rFonts w:cs="Arial"/>
              </w:rPr>
              <w:t>1</w:t>
            </w:r>
          </w:p>
        </w:tc>
        <w:tc>
          <w:tcPr>
            <w:tcW w:w="972" w:type="dxa"/>
            <w:vAlign w:val="center"/>
          </w:tcPr>
          <w:p w:rsidR="003C4E4D" w:rsidRDefault="00AA22B9">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rsidR="003C4E4D" w:rsidRDefault="00AA22B9">
            <w:pPr>
              <w:pStyle w:val="TAC"/>
            </w:pPr>
            <w:r>
              <w:rPr>
                <w:rStyle w:val="CommentReference"/>
                <w:rFonts w:cs="Arial"/>
              </w:rPr>
              <w:t>0</w:t>
            </w:r>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3C4E4D" w:rsidRDefault="00AA22B9">
            <w:pPr>
              <w:pStyle w:val="TAC"/>
            </w:pPr>
            <w:r>
              <w:rPr>
                <w:rStyle w:val="CommentReference"/>
                <w:rFonts w:cs="Arial"/>
              </w:rPr>
              <w:t>5</w:t>
            </w:r>
          </w:p>
        </w:tc>
        <w:tc>
          <w:tcPr>
            <w:tcW w:w="3326" w:type="dxa"/>
            <w:vAlign w:val="center"/>
          </w:tcPr>
          <w:p w:rsidR="003C4E4D" w:rsidRDefault="00AA22B9">
            <w:pPr>
              <w:pStyle w:val="TAC"/>
            </w:pPr>
            <w:r>
              <w:rPr>
                <w:rStyle w:val="CommentReference"/>
                <w:rFonts w:cs="Arial"/>
              </w:rPr>
              <w:t>2</w:t>
            </w:r>
          </w:p>
        </w:tc>
        <w:tc>
          <w:tcPr>
            <w:tcW w:w="972" w:type="dxa"/>
            <w:vAlign w:val="center"/>
          </w:tcPr>
          <w:p w:rsidR="003C4E4D" w:rsidRDefault="00AA22B9">
            <w:pPr>
              <w:pStyle w:val="TAC"/>
            </w:pPr>
            <w:r>
              <w:rPr>
                <w:rStyle w:val="CommentReference"/>
                <w:rFonts w:cs="Arial"/>
              </w:rPr>
              <w:t>1/2</w:t>
            </w:r>
          </w:p>
        </w:tc>
        <w:tc>
          <w:tcPr>
            <w:tcW w:w="3444"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114300" distR="114300">
                  <wp:extent cx="95250" cy="182880"/>
                  <wp:effectExtent l="0" t="0" r="0" b="5080"/>
                  <wp:docPr id="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extent cx="482600" cy="219710"/>
                  <wp:effectExtent l="0" t="0" r="12700" b="7620"/>
                  <wp:docPr id="4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0" w:author="ZTE" w:date="2020-04-06T21:47:00Z">
              <w:r>
                <w:delText>6</w:delText>
              </w:r>
            </w:del>
          </w:p>
        </w:tc>
        <w:tc>
          <w:tcPr>
            <w:tcW w:w="885" w:type="dxa"/>
            <w:tcBorders>
              <w:left w:val="double" w:sz="4" w:space="0" w:color="auto"/>
            </w:tcBorders>
            <w:vAlign w:val="center"/>
          </w:tcPr>
          <w:p w:rsidR="003C4E4D" w:rsidRDefault="00AA22B9">
            <w:pPr>
              <w:pStyle w:val="TAC"/>
            </w:pPr>
            <w:del w:id="21" w:author="ZTE" w:date="2020-04-06T21:47:00Z">
              <w:r>
                <w:rPr>
                  <w:rStyle w:val="CommentReference"/>
                  <w:rFonts w:cs="Arial"/>
                </w:rPr>
                <w:delText>7</w:delText>
              </w:r>
            </w:del>
          </w:p>
        </w:tc>
        <w:tc>
          <w:tcPr>
            <w:tcW w:w="3326" w:type="dxa"/>
            <w:vAlign w:val="center"/>
          </w:tcPr>
          <w:p w:rsidR="003C4E4D" w:rsidRDefault="00AA22B9">
            <w:pPr>
              <w:pStyle w:val="TAC"/>
            </w:pPr>
            <w:del w:id="22" w:author="ZTE" w:date="2020-04-06T21:47:00Z">
              <w:r>
                <w:rPr>
                  <w:rStyle w:val="CommentReference"/>
                  <w:rFonts w:cs="Arial"/>
                </w:rPr>
                <w:delText>1</w:delText>
              </w:r>
            </w:del>
          </w:p>
        </w:tc>
        <w:tc>
          <w:tcPr>
            <w:tcW w:w="972" w:type="dxa"/>
            <w:vAlign w:val="center"/>
          </w:tcPr>
          <w:p w:rsidR="003C4E4D" w:rsidRDefault="00AA22B9">
            <w:pPr>
              <w:pStyle w:val="TAC"/>
            </w:pPr>
            <w:del w:id="23" w:author="ZTE" w:date="2020-04-06T21:47:00Z">
              <w:r>
                <w:rPr>
                  <w:rStyle w:val="CommentReference"/>
                  <w:rFonts w:cs="Arial"/>
                </w:rPr>
                <w:delText>1</w:delText>
              </w:r>
            </w:del>
          </w:p>
        </w:tc>
        <w:tc>
          <w:tcPr>
            <w:tcW w:w="3444" w:type="dxa"/>
            <w:vAlign w:val="center"/>
          </w:tcPr>
          <w:p w:rsidR="003C4E4D" w:rsidRDefault="00AA22B9">
            <w:pPr>
              <w:pStyle w:val="TAC"/>
            </w:pPr>
            <w:del w:id="24"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25" w:author="ZTE" w:date="2020-04-06T21:47:00Z">
              <w:r>
                <w:delText>7</w:delText>
              </w:r>
            </w:del>
          </w:p>
        </w:tc>
        <w:tc>
          <w:tcPr>
            <w:tcW w:w="885" w:type="dxa"/>
            <w:tcBorders>
              <w:left w:val="double" w:sz="4" w:space="0" w:color="auto"/>
            </w:tcBorders>
            <w:vAlign w:val="center"/>
          </w:tcPr>
          <w:p w:rsidR="003C4E4D" w:rsidRDefault="00AA22B9">
            <w:pPr>
              <w:pStyle w:val="TAC"/>
            </w:pPr>
            <w:del w:id="26" w:author="ZTE" w:date="2020-04-06T21:47:00Z">
              <w:r>
                <w:rPr>
                  <w:rStyle w:val="CommentReference"/>
                  <w:rFonts w:cs="Arial"/>
                </w:rPr>
                <w:delText>7</w:delText>
              </w:r>
            </w:del>
          </w:p>
        </w:tc>
        <w:tc>
          <w:tcPr>
            <w:tcW w:w="3326" w:type="dxa"/>
            <w:vAlign w:val="center"/>
          </w:tcPr>
          <w:p w:rsidR="003C4E4D" w:rsidRDefault="00AA22B9">
            <w:pPr>
              <w:pStyle w:val="TAC"/>
            </w:pPr>
            <w:del w:id="27" w:author="ZTE" w:date="2020-04-06T21:47:00Z">
              <w:r>
                <w:rPr>
                  <w:rStyle w:val="CommentReference"/>
                  <w:rFonts w:cs="Arial"/>
                </w:rPr>
                <w:delText>2</w:delText>
              </w:r>
            </w:del>
          </w:p>
        </w:tc>
        <w:tc>
          <w:tcPr>
            <w:tcW w:w="972" w:type="dxa"/>
            <w:vAlign w:val="center"/>
          </w:tcPr>
          <w:p w:rsidR="003C4E4D" w:rsidRDefault="00AA22B9">
            <w:pPr>
              <w:pStyle w:val="TAC"/>
            </w:pPr>
            <w:del w:id="28" w:author="ZTE" w:date="2020-04-06T21:47:00Z">
              <w:r>
                <w:rPr>
                  <w:rStyle w:val="CommentReference"/>
                  <w:rFonts w:cs="Arial"/>
                </w:rPr>
                <w:delText>1/2</w:delText>
              </w:r>
            </w:del>
          </w:p>
        </w:tc>
        <w:tc>
          <w:tcPr>
            <w:tcW w:w="3444" w:type="dxa"/>
            <w:vAlign w:val="center"/>
          </w:tcPr>
          <w:p w:rsidR="003C4E4D" w:rsidRDefault="00AA22B9">
            <w:pPr>
              <w:pStyle w:val="TAC"/>
            </w:pPr>
            <w:del w:id="29" w:author="ZTE" w:date="2020-04-06T21:47:00Z">
              <w:r>
                <w:rPr>
                  <w:rStyle w:val="CommentReference"/>
                  <w:rFonts w:cs="Arial"/>
                </w:rPr>
                <w:delText xml:space="preserve">{0, if </w:delText>
              </w:r>
              <w:r>
                <w:rPr>
                  <w:noProof/>
                  <w:position w:val="-6"/>
                  <w:lang w:val="en-US" w:eastAsia="zh-CN"/>
                  <w:rPrChange w:id="30" w:author="Unknown">
                    <w:rPr>
                      <w:noProof/>
                      <w:lang w:val="en-US" w:eastAsia="zh-CN"/>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31" w:author="Unknown">
                    <w:rPr>
                      <w:noProof/>
                      <w:lang w:val="en-US" w:eastAsia="zh-CN"/>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rPr>
                      <w:noProof/>
                      <w:lang w:val="en-US" w:eastAsia="zh-CN"/>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3" w:author="ZTE" w:date="2020-04-06T21:47:00Z">
              <w:r>
                <w:delText>8</w:delText>
              </w:r>
            </w:del>
          </w:p>
        </w:tc>
        <w:tc>
          <w:tcPr>
            <w:tcW w:w="885" w:type="dxa"/>
            <w:tcBorders>
              <w:left w:val="double" w:sz="4" w:space="0" w:color="auto"/>
            </w:tcBorders>
            <w:vAlign w:val="center"/>
          </w:tcPr>
          <w:p w:rsidR="003C4E4D" w:rsidRDefault="00AA22B9">
            <w:pPr>
              <w:pStyle w:val="TAC"/>
            </w:pPr>
            <w:del w:id="34" w:author="ZTE" w:date="2020-04-06T21:47:00Z">
              <w:r>
                <w:rPr>
                  <w:rStyle w:val="CommentReference"/>
                  <w:rFonts w:cs="Arial"/>
                </w:rPr>
                <w:delText>0</w:delText>
              </w:r>
            </w:del>
          </w:p>
        </w:tc>
        <w:tc>
          <w:tcPr>
            <w:tcW w:w="3326" w:type="dxa"/>
            <w:vAlign w:val="center"/>
          </w:tcPr>
          <w:p w:rsidR="003C4E4D" w:rsidRDefault="00AA22B9">
            <w:pPr>
              <w:pStyle w:val="TAC"/>
            </w:pPr>
            <w:del w:id="35" w:author="ZTE" w:date="2020-04-06T21:47:00Z">
              <w:r>
                <w:rPr>
                  <w:rStyle w:val="CommentReference"/>
                  <w:rFonts w:cs="Arial"/>
                </w:rPr>
                <w:delText>1</w:delText>
              </w:r>
            </w:del>
          </w:p>
        </w:tc>
        <w:tc>
          <w:tcPr>
            <w:tcW w:w="972" w:type="dxa"/>
            <w:vAlign w:val="center"/>
          </w:tcPr>
          <w:p w:rsidR="003C4E4D" w:rsidRDefault="00AA22B9">
            <w:pPr>
              <w:pStyle w:val="TAC"/>
            </w:pPr>
            <w:del w:id="36" w:author="ZTE" w:date="2020-04-06T21:47:00Z">
              <w:r>
                <w:rPr>
                  <w:rStyle w:val="CommentReference"/>
                  <w:rFonts w:cs="Arial"/>
                </w:rPr>
                <w:delText>2</w:delText>
              </w:r>
            </w:del>
          </w:p>
        </w:tc>
        <w:tc>
          <w:tcPr>
            <w:tcW w:w="3444" w:type="dxa"/>
            <w:vAlign w:val="center"/>
          </w:tcPr>
          <w:p w:rsidR="003C4E4D" w:rsidRDefault="00AA22B9">
            <w:pPr>
              <w:pStyle w:val="TAC"/>
            </w:pPr>
            <w:del w:id="37"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38" w:author="ZTE" w:date="2020-04-06T21:47:00Z">
              <w:r>
                <w:delText>9</w:delText>
              </w:r>
            </w:del>
          </w:p>
        </w:tc>
        <w:tc>
          <w:tcPr>
            <w:tcW w:w="885" w:type="dxa"/>
            <w:tcBorders>
              <w:left w:val="double" w:sz="4" w:space="0" w:color="auto"/>
            </w:tcBorders>
            <w:vAlign w:val="center"/>
          </w:tcPr>
          <w:p w:rsidR="003C4E4D" w:rsidRDefault="00AA22B9">
            <w:pPr>
              <w:pStyle w:val="TAC"/>
            </w:pPr>
            <w:del w:id="39" w:author="ZTE" w:date="2020-04-06T21:47:00Z">
              <w:r>
                <w:rPr>
                  <w:rStyle w:val="CommentReference"/>
                  <w:rFonts w:cs="Arial"/>
                </w:rPr>
                <w:delText>5</w:delText>
              </w:r>
            </w:del>
          </w:p>
        </w:tc>
        <w:tc>
          <w:tcPr>
            <w:tcW w:w="3326" w:type="dxa"/>
            <w:vAlign w:val="center"/>
          </w:tcPr>
          <w:p w:rsidR="003C4E4D" w:rsidRDefault="00AA22B9">
            <w:pPr>
              <w:pStyle w:val="TAC"/>
            </w:pPr>
            <w:del w:id="40" w:author="ZTE" w:date="2020-04-06T21:47:00Z">
              <w:r>
                <w:rPr>
                  <w:rStyle w:val="CommentReference"/>
                  <w:rFonts w:cs="Arial"/>
                </w:rPr>
                <w:delText>1</w:delText>
              </w:r>
            </w:del>
          </w:p>
        </w:tc>
        <w:tc>
          <w:tcPr>
            <w:tcW w:w="972" w:type="dxa"/>
            <w:vAlign w:val="center"/>
          </w:tcPr>
          <w:p w:rsidR="003C4E4D" w:rsidRDefault="00AA22B9">
            <w:pPr>
              <w:pStyle w:val="TAC"/>
            </w:pPr>
            <w:del w:id="41" w:author="ZTE" w:date="2020-04-06T21:47:00Z">
              <w:r>
                <w:rPr>
                  <w:rStyle w:val="CommentReference"/>
                  <w:rFonts w:cs="Arial"/>
                </w:rPr>
                <w:delText>2</w:delText>
              </w:r>
            </w:del>
          </w:p>
        </w:tc>
        <w:tc>
          <w:tcPr>
            <w:tcW w:w="3444" w:type="dxa"/>
            <w:vAlign w:val="center"/>
          </w:tcPr>
          <w:p w:rsidR="003C4E4D" w:rsidRDefault="00AA22B9">
            <w:pPr>
              <w:pStyle w:val="TAC"/>
            </w:pPr>
            <w:del w:id="42" w:author="ZTE" w:date="2020-04-06T21:47:00Z">
              <w:r>
                <w:rPr>
                  <w:rStyle w:val="CommentReference"/>
                  <w:rFonts w:cs="Arial"/>
                </w:rPr>
                <w:delText>0</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3" w:author="ZTE" w:date="2020-04-06T21:47:00Z">
              <w:r>
                <w:delText>10</w:delText>
              </w:r>
            </w:del>
          </w:p>
        </w:tc>
        <w:tc>
          <w:tcPr>
            <w:tcW w:w="885" w:type="dxa"/>
            <w:tcBorders>
              <w:left w:val="double" w:sz="4" w:space="0" w:color="auto"/>
            </w:tcBorders>
            <w:vAlign w:val="center"/>
          </w:tcPr>
          <w:p w:rsidR="003C4E4D" w:rsidRDefault="00AA22B9">
            <w:pPr>
              <w:pStyle w:val="TAC"/>
            </w:pPr>
            <w:del w:id="44" w:author="ZTE" w:date="2020-04-06T21:47:00Z">
              <w:r>
                <w:rPr>
                  <w:rStyle w:val="CommentReference"/>
                  <w:rFonts w:cs="Arial"/>
                </w:rPr>
                <w:delText>0</w:delText>
              </w:r>
            </w:del>
          </w:p>
        </w:tc>
        <w:tc>
          <w:tcPr>
            <w:tcW w:w="3326" w:type="dxa"/>
            <w:vAlign w:val="center"/>
          </w:tcPr>
          <w:p w:rsidR="003C4E4D" w:rsidRDefault="00AA22B9">
            <w:pPr>
              <w:pStyle w:val="TAC"/>
            </w:pPr>
            <w:del w:id="45" w:author="ZTE" w:date="2020-04-06T21:47:00Z">
              <w:r>
                <w:rPr>
                  <w:rStyle w:val="CommentReference"/>
                  <w:rFonts w:cs="Arial"/>
                </w:rPr>
                <w:delText>1</w:delText>
              </w:r>
            </w:del>
          </w:p>
        </w:tc>
        <w:tc>
          <w:tcPr>
            <w:tcW w:w="972" w:type="dxa"/>
            <w:vAlign w:val="center"/>
          </w:tcPr>
          <w:p w:rsidR="003C4E4D" w:rsidRDefault="00AA22B9">
            <w:pPr>
              <w:pStyle w:val="TAC"/>
            </w:pPr>
            <w:del w:id="46" w:author="ZTE" w:date="2020-04-06T21:47:00Z">
              <w:r>
                <w:rPr>
                  <w:rStyle w:val="CommentReference"/>
                  <w:rFonts w:cs="Arial"/>
                </w:rPr>
                <w:delText>1</w:delText>
              </w:r>
            </w:del>
          </w:p>
        </w:tc>
        <w:tc>
          <w:tcPr>
            <w:tcW w:w="3444" w:type="dxa"/>
            <w:vAlign w:val="center"/>
          </w:tcPr>
          <w:p w:rsidR="003C4E4D" w:rsidRDefault="00AA22B9">
            <w:pPr>
              <w:pStyle w:val="TAC"/>
            </w:pPr>
            <w:del w:id="47" w:author="ZTE" w:date="2020-04-06T21:47:00Z">
              <w:r>
                <w:rPr>
                  <w:rStyle w:val="CommentReference"/>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48" w:author="ZTE" w:date="2020-04-06T21:47:00Z">
              <w:r>
                <w:delText>11</w:delText>
              </w:r>
            </w:del>
          </w:p>
        </w:tc>
        <w:tc>
          <w:tcPr>
            <w:tcW w:w="885" w:type="dxa"/>
            <w:tcBorders>
              <w:left w:val="double" w:sz="4" w:space="0" w:color="auto"/>
            </w:tcBorders>
            <w:vAlign w:val="center"/>
          </w:tcPr>
          <w:p w:rsidR="003C4E4D" w:rsidRDefault="00AA22B9">
            <w:pPr>
              <w:pStyle w:val="TAC"/>
            </w:pPr>
            <w:del w:id="49" w:author="ZTE" w:date="2020-04-06T21:47:00Z">
              <w:r>
                <w:rPr>
                  <w:rStyle w:val="CommentReference"/>
                  <w:rFonts w:cs="Arial"/>
                </w:rPr>
                <w:delText>0</w:delText>
              </w:r>
            </w:del>
          </w:p>
        </w:tc>
        <w:tc>
          <w:tcPr>
            <w:tcW w:w="3326" w:type="dxa"/>
            <w:vAlign w:val="center"/>
          </w:tcPr>
          <w:p w:rsidR="003C4E4D" w:rsidRDefault="00AA22B9">
            <w:pPr>
              <w:pStyle w:val="TAC"/>
            </w:pPr>
            <w:del w:id="50" w:author="ZTE" w:date="2020-04-06T21:47:00Z">
              <w:r>
                <w:rPr>
                  <w:rStyle w:val="CommentReference"/>
                  <w:rFonts w:cs="Arial"/>
                </w:rPr>
                <w:delText>1</w:delText>
              </w:r>
            </w:del>
          </w:p>
        </w:tc>
        <w:tc>
          <w:tcPr>
            <w:tcW w:w="972" w:type="dxa"/>
            <w:vAlign w:val="center"/>
          </w:tcPr>
          <w:p w:rsidR="003C4E4D" w:rsidRDefault="00AA22B9">
            <w:pPr>
              <w:pStyle w:val="TAC"/>
            </w:pPr>
            <w:del w:id="51" w:author="ZTE" w:date="2020-04-06T21:47:00Z">
              <w:r>
                <w:rPr>
                  <w:rStyle w:val="CommentReference"/>
                  <w:rFonts w:cs="Arial"/>
                </w:rPr>
                <w:delText>1</w:delText>
              </w:r>
            </w:del>
          </w:p>
        </w:tc>
        <w:tc>
          <w:tcPr>
            <w:tcW w:w="3444" w:type="dxa"/>
            <w:vAlign w:val="center"/>
          </w:tcPr>
          <w:p w:rsidR="003C4E4D" w:rsidRDefault="00AA22B9">
            <w:pPr>
              <w:pStyle w:val="TAC"/>
            </w:pPr>
            <w:del w:id="52" w:author="ZTE" w:date="2020-04-06T21:47:00Z">
              <w:r>
                <w:rPr>
                  <w:rStyle w:val="CommentReference"/>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3" w:author="ZTE" w:date="2020-04-06T21:47:00Z">
              <w:r>
                <w:delText>12</w:delText>
              </w:r>
            </w:del>
          </w:p>
        </w:tc>
        <w:tc>
          <w:tcPr>
            <w:tcW w:w="885" w:type="dxa"/>
            <w:tcBorders>
              <w:left w:val="double" w:sz="4" w:space="0" w:color="auto"/>
            </w:tcBorders>
            <w:vAlign w:val="center"/>
          </w:tcPr>
          <w:p w:rsidR="003C4E4D" w:rsidRDefault="00AA22B9">
            <w:pPr>
              <w:pStyle w:val="TAC"/>
            </w:pPr>
            <w:del w:id="54" w:author="ZTE" w:date="2020-04-06T21:47:00Z">
              <w:r>
                <w:rPr>
                  <w:rStyle w:val="CommentReference"/>
                  <w:rFonts w:cs="Arial"/>
                </w:rPr>
                <w:delText>2</w:delText>
              </w:r>
            </w:del>
          </w:p>
        </w:tc>
        <w:tc>
          <w:tcPr>
            <w:tcW w:w="3326" w:type="dxa"/>
            <w:vAlign w:val="center"/>
          </w:tcPr>
          <w:p w:rsidR="003C4E4D" w:rsidRDefault="00AA22B9">
            <w:pPr>
              <w:pStyle w:val="TAC"/>
            </w:pPr>
            <w:del w:id="55" w:author="ZTE" w:date="2020-04-06T21:47:00Z">
              <w:r>
                <w:rPr>
                  <w:rStyle w:val="CommentReference"/>
                  <w:rFonts w:cs="Arial"/>
                </w:rPr>
                <w:delText>1</w:delText>
              </w:r>
            </w:del>
          </w:p>
        </w:tc>
        <w:tc>
          <w:tcPr>
            <w:tcW w:w="972" w:type="dxa"/>
            <w:vAlign w:val="center"/>
          </w:tcPr>
          <w:p w:rsidR="003C4E4D" w:rsidRDefault="00AA22B9">
            <w:pPr>
              <w:pStyle w:val="TAC"/>
            </w:pPr>
            <w:del w:id="56" w:author="ZTE" w:date="2020-04-06T21:47:00Z">
              <w:r>
                <w:rPr>
                  <w:rStyle w:val="CommentReference"/>
                  <w:rFonts w:cs="Arial"/>
                </w:rPr>
                <w:delText>1</w:delText>
              </w:r>
            </w:del>
          </w:p>
        </w:tc>
        <w:tc>
          <w:tcPr>
            <w:tcW w:w="3444" w:type="dxa"/>
            <w:vAlign w:val="center"/>
          </w:tcPr>
          <w:p w:rsidR="003C4E4D" w:rsidRDefault="00AA22B9">
            <w:pPr>
              <w:pStyle w:val="TAC"/>
            </w:pPr>
            <w:del w:id="57" w:author="ZTE" w:date="2020-04-06T21:47:00Z">
              <w:r>
                <w:rPr>
                  <w:rStyle w:val="CommentReference"/>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58" w:author="ZTE" w:date="2020-04-06T21:47:00Z">
              <w:r>
                <w:delText>13</w:delText>
              </w:r>
            </w:del>
          </w:p>
        </w:tc>
        <w:tc>
          <w:tcPr>
            <w:tcW w:w="885" w:type="dxa"/>
            <w:tcBorders>
              <w:left w:val="double" w:sz="4" w:space="0" w:color="auto"/>
            </w:tcBorders>
            <w:vAlign w:val="center"/>
          </w:tcPr>
          <w:p w:rsidR="003C4E4D" w:rsidRDefault="00AA22B9">
            <w:pPr>
              <w:pStyle w:val="TAC"/>
            </w:pPr>
            <w:del w:id="59" w:author="ZTE" w:date="2020-04-06T21:47:00Z">
              <w:r>
                <w:rPr>
                  <w:rStyle w:val="CommentReference"/>
                  <w:rFonts w:cs="Arial"/>
                </w:rPr>
                <w:delText>2</w:delText>
              </w:r>
            </w:del>
          </w:p>
        </w:tc>
        <w:tc>
          <w:tcPr>
            <w:tcW w:w="3326" w:type="dxa"/>
            <w:vAlign w:val="center"/>
          </w:tcPr>
          <w:p w:rsidR="003C4E4D" w:rsidRDefault="00AA22B9">
            <w:pPr>
              <w:pStyle w:val="TAC"/>
            </w:pPr>
            <w:del w:id="60" w:author="ZTE" w:date="2020-04-06T21:47:00Z">
              <w:r>
                <w:rPr>
                  <w:rStyle w:val="CommentReference"/>
                  <w:rFonts w:cs="Arial"/>
                </w:rPr>
                <w:delText>1</w:delText>
              </w:r>
            </w:del>
          </w:p>
        </w:tc>
        <w:tc>
          <w:tcPr>
            <w:tcW w:w="972" w:type="dxa"/>
            <w:vAlign w:val="center"/>
          </w:tcPr>
          <w:p w:rsidR="003C4E4D" w:rsidRDefault="00AA22B9">
            <w:pPr>
              <w:pStyle w:val="TAC"/>
            </w:pPr>
            <w:del w:id="61" w:author="ZTE" w:date="2020-04-06T21:47:00Z">
              <w:r>
                <w:rPr>
                  <w:rStyle w:val="CommentReference"/>
                  <w:rFonts w:cs="Arial"/>
                </w:rPr>
                <w:delText>1</w:delText>
              </w:r>
            </w:del>
          </w:p>
        </w:tc>
        <w:tc>
          <w:tcPr>
            <w:tcW w:w="3444" w:type="dxa"/>
            <w:vAlign w:val="center"/>
          </w:tcPr>
          <w:p w:rsidR="003C4E4D" w:rsidRDefault="00AA22B9">
            <w:pPr>
              <w:pStyle w:val="TAC"/>
            </w:pPr>
            <w:del w:id="62" w:author="ZTE" w:date="2020-04-06T21:47:00Z">
              <w:r>
                <w:rPr>
                  <w:rStyle w:val="CommentReference"/>
                  <w:rFonts w:cs="Arial"/>
                </w:rPr>
                <w:delText>2</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pPr>
            <w:del w:id="63" w:author="ZTE" w:date="2020-04-06T21:47:00Z">
              <w:r>
                <w:delText>14</w:delText>
              </w:r>
            </w:del>
          </w:p>
        </w:tc>
        <w:tc>
          <w:tcPr>
            <w:tcW w:w="885" w:type="dxa"/>
            <w:tcBorders>
              <w:left w:val="double" w:sz="4" w:space="0" w:color="auto"/>
            </w:tcBorders>
            <w:vAlign w:val="center"/>
          </w:tcPr>
          <w:p w:rsidR="003C4E4D" w:rsidRDefault="00AA22B9">
            <w:pPr>
              <w:pStyle w:val="TAC"/>
            </w:pPr>
            <w:del w:id="64" w:author="ZTE" w:date="2020-04-06T21:47:00Z">
              <w:r>
                <w:rPr>
                  <w:rStyle w:val="CommentReference"/>
                  <w:rFonts w:cs="Arial"/>
                </w:rPr>
                <w:delText>5</w:delText>
              </w:r>
            </w:del>
          </w:p>
        </w:tc>
        <w:tc>
          <w:tcPr>
            <w:tcW w:w="3326" w:type="dxa"/>
            <w:vAlign w:val="center"/>
          </w:tcPr>
          <w:p w:rsidR="003C4E4D" w:rsidRDefault="00AA22B9">
            <w:pPr>
              <w:pStyle w:val="TAC"/>
            </w:pPr>
            <w:del w:id="65" w:author="ZTE" w:date="2020-04-06T21:47:00Z">
              <w:r>
                <w:rPr>
                  <w:rStyle w:val="CommentReference"/>
                  <w:rFonts w:cs="Arial"/>
                </w:rPr>
                <w:delText>1</w:delText>
              </w:r>
            </w:del>
          </w:p>
        </w:tc>
        <w:tc>
          <w:tcPr>
            <w:tcW w:w="972" w:type="dxa"/>
            <w:vAlign w:val="center"/>
          </w:tcPr>
          <w:p w:rsidR="003C4E4D" w:rsidRDefault="00AA22B9">
            <w:pPr>
              <w:pStyle w:val="TAC"/>
            </w:pPr>
            <w:del w:id="66" w:author="ZTE" w:date="2020-04-06T21:47:00Z">
              <w:r>
                <w:rPr>
                  <w:rStyle w:val="CommentReference"/>
                  <w:rFonts w:cs="Arial"/>
                </w:rPr>
                <w:delText>1</w:delText>
              </w:r>
            </w:del>
          </w:p>
        </w:tc>
        <w:tc>
          <w:tcPr>
            <w:tcW w:w="3444" w:type="dxa"/>
            <w:vAlign w:val="center"/>
          </w:tcPr>
          <w:p w:rsidR="003C4E4D" w:rsidRDefault="00AA22B9">
            <w:pPr>
              <w:pStyle w:val="TAC"/>
            </w:pPr>
            <w:del w:id="67" w:author="ZTE" w:date="2020-04-06T21:47:00Z">
              <w:r>
                <w:rPr>
                  <w:rStyle w:val="CommentReference"/>
                  <w:rFonts w:cs="Arial"/>
                </w:rPr>
                <w:delText>1</w:delText>
              </w:r>
            </w:del>
          </w:p>
        </w:tc>
      </w:tr>
      <w:tr w:rsidR="003C4E4D">
        <w:trPr>
          <w:cantSplit/>
        </w:trPr>
        <w:tc>
          <w:tcPr>
            <w:tcW w:w="806" w:type="dxa"/>
            <w:tcBorders>
              <w:right w:val="double" w:sz="4" w:space="0" w:color="auto"/>
            </w:tcBorders>
            <w:shd w:val="clear" w:color="auto" w:fill="auto"/>
            <w:vAlign w:val="center"/>
          </w:tcPr>
          <w:p w:rsidR="003C4E4D" w:rsidRDefault="00AA22B9">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3C4E4D" w:rsidRDefault="00AA22B9">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rsidR="003C4E4D" w:rsidRDefault="00AA22B9">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rsidR="003C4E4D" w:rsidRDefault="00AA22B9">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rsidR="003C4E4D" w:rsidRDefault="00AA22B9">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rsidR="003C4E4D" w:rsidRDefault="003C4E4D">
      <w:pPr>
        <w:rPr>
          <w:rFonts w:eastAsia="宋体"/>
          <w:lang w:val="en-US" w:eastAsia="zh-CN"/>
        </w:rPr>
      </w:pPr>
    </w:p>
    <w:p w:rsidR="003C4E4D" w:rsidRDefault="00AA22B9">
      <w:pPr>
        <w:pStyle w:val="00BodyText"/>
        <w:jc w:val="center"/>
      </w:pPr>
      <w:r>
        <w:rPr>
          <w:rFonts w:ascii="Times New Roman" w:eastAsiaTheme="minorEastAsia" w:hAnsi="Times New Roman"/>
          <w:color w:val="FF0000"/>
          <w:szCs w:val="20"/>
        </w:rPr>
        <w:t>&lt; Unchanged parts are omitted &gt;</w:t>
      </w:r>
    </w:p>
    <w:p w:rsidR="003C4E4D" w:rsidRDefault="00AA22B9">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rsidR="003C4E4D" w:rsidRDefault="00AA22B9">
      <w:pPr>
        <w:jc w:val="left"/>
        <w:rPr>
          <w:b/>
          <w:iCs/>
          <w:highlight w:val="yellow"/>
          <w:lang w:eastAsia="zh-CN"/>
        </w:rPr>
      </w:pPr>
      <w:r>
        <w:rPr>
          <w:b/>
          <w:iCs/>
          <w:lang w:eastAsia="zh-CN"/>
        </w:rPr>
        <w:t>Proposal in [8]: In the table 13-11 in 38.213, remove M=2, and replace M=1 with M=1/2 in the table, and reserve last 8 rows for new band (e.g. 6GHz)</w:t>
      </w:r>
    </w:p>
    <w:p w:rsidR="003C4E4D" w:rsidRDefault="00AA22B9">
      <w:pPr>
        <w:spacing w:after="0"/>
        <w:rPr>
          <w:rFonts w:eastAsia="宋体"/>
          <w:color w:val="FF0000"/>
          <w:szCs w:val="20"/>
          <w:lang w:eastAsia="zh-CN"/>
        </w:rPr>
      </w:pPr>
      <w:r>
        <w:rPr>
          <w:rFonts w:eastAsia="宋体"/>
          <w:color w:val="FF0000"/>
          <w:szCs w:val="20"/>
          <w:lang w:eastAsia="zh-CN"/>
        </w:rPr>
        <w:t>------------------------------------------------------ Start of Text Proposal ----------------------------------------------------------</w:t>
      </w:r>
    </w:p>
    <w:p w:rsidR="003C4E4D" w:rsidRDefault="00AA22B9">
      <w:pPr>
        <w:rPr>
          <w:lang w:eastAsia="ja-JP"/>
        </w:rPr>
      </w:pPr>
      <w:bookmarkStart w:id="78" w:name="_Toc29899589"/>
      <w:bookmarkStart w:id="79" w:name="_Ref500334477"/>
      <w:bookmarkStart w:id="80" w:name="_Toc29894872"/>
      <w:bookmarkStart w:id="81" w:name="_Toc29899171"/>
      <w:bookmarkStart w:id="82" w:name="_Toc29917325"/>
      <w:bookmarkStart w:id="83" w:name="_Toc12021495"/>
      <w:bookmarkStart w:id="84" w:name="_Toc26719432"/>
      <w:bookmarkStart w:id="85" w:name="_Toc20311607"/>
      <w:r>
        <w:rPr>
          <w:rFonts w:eastAsia="宋体" w:hint="eastAsia"/>
          <w:lang w:eastAsia="zh-CN"/>
        </w:rPr>
        <w:t>1</w:t>
      </w:r>
      <w:r>
        <w:rPr>
          <w:rFonts w:eastAsia="宋体"/>
          <w:lang w:eastAsia="zh-CN"/>
        </w:rPr>
        <w:t>3</w:t>
      </w:r>
      <w:r>
        <w:rPr>
          <w:rFonts w:eastAsia="等线"/>
        </w:rPr>
        <w:tab/>
        <w:t xml:space="preserve"> </w:t>
      </w:r>
      <w:r>
        <w:rPr>
          <w:lang w:eastAsia="ja-JP"/>
        </w:rPr>
        <w:t>UE procedure for monitoring Type0-PDCCH CSS sets</w:t>
      </w:r>
      <w:bookmarkEnd w:id="78"/>
      <w:bookmarkEnd w:id="79"/>
      <w:bookmarkEnd w:id="80"/>
      <w:bookmarkEnd w:id="81"/>
      <w:bookmarkEnd w:id="82"/>
      <w:bookmarkEnd w:id="83"/>
      <w:bookmarkEnd w:id="84"/>
      <w:bookmarkEnd w:id="85"/>
    </w:p>
    <w:p w:rsidR="003C4E4D" w:rsidRDefault="00AA22B9">
      <w:pPr>
        <w:spacing w:after="0"/>
      </w:pPr>
      <w:r>
        <w:rPr>
          <w:rFonts w:eastAsia="宋体"/>
          <w:color w:val="FF0000"/>
          <w:szCs w:val="20"/>
          <w:lang w:eastAsia="zh-CN"/>
        </w:rPr>
        <w:t>------------------------------------------------------ Unchanged parts omitted ------------------------------------------------------</w:t>
      </w:r>
    </w:p>
    <w:p w:rsidR="003C4E4D" w:rsidRDefault="00AA22B9">
      <w:pPr>
        <w:spacing w:after="0"/>
        <w:rPr>
          <w:szCs w:val="20"/>
        </w:rPr>
      </w:pPr>
      <w:r>
        <w:rPr>
          <w:rFonts w:eastAsia="宋体"/>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rFonts w:eastAsia="宋体"/>
          <w:szCs w:val="20"/>
          <w:lang w:eastAsia="ja-JP"/>
        </w:rPr>
        <w:t xml:space="preserve">SS/PBCH blocks that are </w:t>
      </w:r>
      <w:r>
        <w:rPr>
          <w:rFonts w:eastAsia="宋体"/>
          <w:szCs w:val="20"/>
        </w:rPr>
        <w:t xml:space="preserve">quasi co-located </w:t>
      </w:r>
      <w:r>
        <w:rPr>
          <w:rFonts w:eastAsia="宋体"/>
          <w:szCs w:val="20"/>
          <w:lang w:eastAsia="ja-JP"/>
        </w:rPr>
        <w:t>with the SS/PBCH block that provides a CORESET for Type0-PDCCH CSS set</w:t>
      </w:r>
      <w:r>
        <w:rPr>
          <w:rFonts w:eastAsia="宋体"/>
          <w:szCs w:val="20"/>
        </w:rPr>
        <w:t xml:space="preserve"> with respect to average gain, QCL-</w:t>
      </w:r>
      <w:proofErr w:type="spellStart"/>
      <w:r>
        <w:rPr>
          <w:rFonts w:eastAsia="宋体"/>
          <w:szCs w:val="20"/>
        </w:rPr>
        <w:t>TypeA</w:t>
      </w:r>
      <w:proofErr w:type="spellEnd"/>
      <w:r>
        <w:rPr>
          <w:rFonts w:eastAsia="宋体"/>
          <w:szCs w:val="20"/>
        </w:rPr>
        <w:t>, and QCL-</w:t>
      </w:r>
      <w:proofErr w:type="spellStart"/>
      <w:r>
        <w:rPr>
          <w:rFonts w:eastAsia="宋体"/>
          <w:szCs w:val="20"/>
        </w:rPr>
        <w:t>TypeD</w:t>
      </w:r>
      <w:proofErr w:type="spellEnd"/>
      <w:r>
        <w:rPr>
          <w:rFonts w:eastAsia="宋体"/>
          <w:szCs w:val="20"/>
        </w:rPr>
        <w:t xml:space="preserve"> properties, when applicable</w:t>
      </w:r>
      <w:r>
        <w:rPr>
          <w:rFonts w:eastAsia="宋体"/>
          <w:szCs w:val="20"/>
          <w:lang w:eastAsia="zh-CN"/>
        </w:rPr>
        <w:t xml:space="preserve"> [6, TS 38.214]. </w:t>
      </w:r>
      <w:r>
        <w:rPr>
          <w:rFonts w:eastAsia="宋体"/>
          <w:szCs w:val="20"/>
        </w:rPr>
        <w:t xml:space="preserve">For a candidate SS/PBCH block </w:t>
      </w:r>
      <w:proofErr w:type="gramStart"/>
      <w:r>
        <w:rPr>
          <w:rFonts w:eastAsia="宋体"/>
          <w:szCs w:val="20"/>
        </w:rPr>
        <w:t xml:space="preserve">index </w:t>
      </w:r>
      <w:proofErr w:type="gramEnd"/>
      <m:oMath>
        <m:acc>
          <m:accPr>
            <m:chr m:val="̅"/>
            <m:ctrlPr>
              <w:rPr>
                <w:rFonts w:ascii="Cambria Math" w:eastAsia="宋体" w:hAnsi="Cambria Math"/>
                <w:i/>
                <w:szCs w:val="20"/>
              </w:rPr>
            </m:ctrlPr>
          </m:accPr>
          <m:e>
            <m:r>
              <w:rPr>
                <w:rFonts w:ascii="Cambria Math" w:eastAsia="宋体" w:hAnsi="Cambria Math"/>
                <w:szCs w:val="20"/>
              </w:rPr>
              <m:t>i</m:t>
            </m:r>
          </m:e>
        </m:acc>
      </m:oMath>
      <w:r>
        <w:rPr>
          <w:rFonts w:eastAsia="宋体"/>
          <w:szCs w:val="20"/>
        </w:rPr>
        <w:t xml:space="preserve">, where </w:t>
      </w:r>
      <m:oMath>
        <m:r>
          <w:rPr>
            <w:rFonts w:ascii="Cambria Math" w:eastAsia="宋体" w:hAnsi="Cambria Math"/>
            <w:szCs w:val="20"/>
          </w:rPr>
          <m:t>0≤</m:t>
        </m:r>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t>
        </m:r>
        <m:sSub>
          <m:sSubPr>
            <m:ctrlPr>
              <w:rPr>
                <w:rFonts w:ascii="Cambria Math" w:eastAsia="宋体" w:hAnsi="Cambria Math"/>
                <w:i/>
                <w:szCs w:val="20"/>
              </w:rPr>
            </m:ctrlPr>
          </m:sSubPr>
          <m:e>
            <m:acc>
              <m:accPr>
                <m:chr m:val="̅"/>
                <m:ctrlPr>
                  <w:rPr>
                    <w:rFonts w:ascii="Cambria Math" w:eastAsia="宋体" w:hAnsi="Cambria Math"/>
                    <w:i/>
                    <w:szCs w:val="20"/>
                  </w:rPr>
                </m:ctrlPr>
              </m:accPr>
              <m:e>
                <m:r>
                  <w:rPr>
                    <w:rFonts w:ascii="Cambria Math" w:eastAsia="宋体" w:hAnsi="Cambria Math"/>
                    <w:szCs w:val="20"/>
                  </w:rPr>
                  <m:t>L</m:t>
                </m:r>
              </m:e>
            </m:acc>
          </m:e>
          <m:sub>
            <m:r>
              <w:rPr>
                <w:rFonts w:ascii="Cambria Math" w:eastAsia="宋体" w:hAnsi="Cambria Math"/>
                <w:szCs w:val="20"/>
              </w:rPr>
              <m:t>max</m:t>
            </m:r>
          </m:sub>
        </m:sSub>
        <m:r>
          <w:rPr>
            <w:rFonts w:ascii="Cambria Math" w:eastAsia="宋体" w:hAnsi="Cambria Math"/>
            <w:szCs w:val="20"/>
          </w:rPr>
          <m:t>-1</m:t>
        </m:r>
      </m:oMath>
      <w:r>
        <w:rPr>
          <w:rFonts w:eastAsia="宋体"/>
          <w:szCs w:val="20"/>
        </w:rPr>
        <w:t xml:space="preserve">, two consecutive slots starting from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oMath>
      <w:r>
        <w:rPr>
          <w:rFonts w:eastAsia="宋体"/>
          <w:szCs w:val="20"/>
        </w:rPr>
        <w:t xml:space="preserve"> include the associated Type0-PDCCH monitoring occasions. The UE determines an index of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oMath>
      <w:r>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r>
          <w:rPr>
            <w:rFonts w:ascii="Cambria Math" w:eastAsia="宋体" w:hAnsi="Cambria Math"/>
            <w:szCs w:val="20"/>
          </w:rPr>
          <m:t>=</m:t>
        </m:r>
        <m:d>
          <m:dPr>
            <m:ctrlPr>
              <w:rPr>
                <w:rFonts w:ascii="Cambria Math" w:eastAsia="宋体" w:hAnsi="Cambria Math"/>
                <w:i/>
                <w:szCs w:val="20"/>
              </w:rPr>
            </m:ctrlPr>
          </m:dPr>
          <m:e>
            <m:r>
              <w:rPr>
                <w:rFonts w:ascii="Cambria Math" w:eastAsia="宋体" w:hAnsi="Cambria Math"/>
                <w:szCs w:val="20"/>
              </w:rPr>
              <m:t>O⋅</m:t>
            </m:r>
            <m:sSup>
              <m:sSupPr>
                <m:ctrlPr>
                  <w:rPr>
                    <w:rFonts w:ascii="Cambria Math" w:eastAsia="宋体" w:hAnsi="Cambria Math"/>
                    <w:i/>
                    <w:szCs w:val="20"/>
                  </w:rPr>
                </m:ctrlPr>
              </m:sSupPr>
              <m:e>
                <m:r>
                  <w:rPr>
                    <w:rFonts w:ascii="Cambria Math" w:eastAsia="宋体" w:hAnsi="Cambria Math"/>
                    <w:szCs w:val="20"/>
                  </w:rPr>
                  <m:t>2</m:t>
                </m:r>
              </m:e>
              <m:sup>
                <m:r>
                  <w:rPr>
                    <w:rFonts w:ascii="Cambria Math" w:eastAsia="宋体" w:hAnsi="Cambria Math"/>
                    <w:szCs w:val="20"/>
                  </w:rPr>
                  <m:t>μ</m:t>
                </m:r>
              </m:sup>
            </m:sSup>
            <m:r>
              <w:rPr>
                <w:rFonts w:ascii="Cambria Math" w:eastAsia="宋体" w:hAnsi="Cambria Math"/>
                <w:szCs w:val="20"/>
              </w:rPr>
              <m:t>+</m:t>
            </m:r>
            <m:d>
              <m:dPr>
                <m:begChr m:val="⌊"/>
                <m:endChr m:val="⌋"/>
                <m:ctrlPr>
                  <w:rPr>
                    <w:rFonts w:ascii="Cambria Math" w:eastAsia="宋体" w:hAnsi="Cambria Math"/>
                    <w:i/>
                    <w:szCs w:val="20"/>
                  </w:rPr>
                </m:ctrlPr>
              </m:dPr>
              <m:e>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m:t>
                </m:r>
              </m:e>
            </m:d>
          </m:e>
        </m:d>
        <m:r>
          <m:rPr>
            <m:sty m:val="p"/>
          </m:rPr>
          <w:rPr>
            <w:rFonts w:ascii="Cambria Math" w:eastAsia="宋体" w:hAnsi="Cambria Math"/>
            <w:szCs w:val="20"/>
          </w:rPr>
          <m:t xml:space="preserve"> mod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slot</m:t>
            </m:r>
          </m:sub>
          <m:sup>
            <m:r>
              <m:rPr>
                <m:sty m:val="p"/>
              </m:rPr>
              <w:rPr>
                <w:rFonts w:ascii="Cambria Math" w:eastAsia="宋体" w:hAnsi="Cambria Math"/>
                <w:szCs w:val="20"/>
              </w:rPr>
              <m:t>frame, μ</m:t>
            </m:r>
          </m:sup>
        </m:sSubSup>
      </m:oMath>
      <w:r>
        <w:rPr>
          <w:rFonts w:eastAsia="宋体"/>
          <w:szCs w:val="20"/>
        </w:rPr>
        <w:t xml:space="preserve"> that is in a frame with system frame number (SFN) </w:t>
      </w:r>
      <m:oMath>
        <m:sSub>
          <m:sSubPr>
            <m:ctrlPr>
              <w:rPr>
                <w:rFonts w:ascii="Cambria Math" w:eastAsia="宋体" w:hAnsi="Cambria Math"/>
                <w:i/>
                <w:szCs w:val="20"/>
              </w:rPr>
            </m:ctrlPr>
          </m:sSubPr>
          <m:e>
            <m:r>
              <m:rPr>
                <m:sty m:val="p"/>
              </m:rPr>
              <w:rPr>
                <w:rFonts w:ascii="Cambria Math" w:eastAsia="宋体" w:hAnsi="Cambria Math"/>
                <w:szCs w:val="20"/>
              </w:rPr>
              <m:t>SFN</m:t>
            </m:r>
          </m:e>
          <m:sub>
            <m:r>
              <w:rPr>
                <w:rFonts w:ascii="Cambria Math" w:eastAsia="宋体" w:hAnsi="Cambria Math"/>
                <w:szCs w:val="20"/>
              </w:rPr>
              <m:t>C</m:t>
            </m:r>
          </m:sub>
        </m:sSub>
      </m:oMath>
      <w:r>
        <w:rPr>
          <w:rFonts w:eastAsia="宋体"/>
          <w:szCs w:val="20"/>
        </w:rPr>
        <w:t xml:space="preserve"> satisfying </w:t>
      </w:r>
      <m:oMath>
        <m:sSub>
          <m:sSubPr>
            <m:ctrlPr>
              <w:rPr>
                <w:rFonts w:ascii="Cambria Math" w:eastAsia="宋体" w:hAnsi="Cambria Math"/>
                <w:i/>
                <w:szCs w:val="20"/>
              </w:rPr>
            </m:ctrlPr>
          </m:sSubPr>
          <m:e>
            <m:r>
              <m:rPr>
                <m:sty m:val="p"/>
              </m:rPr>
              <w:rPr>
                <w:rFonts w:ascii="Cambria Math" w:eastAsia="宋体" w:hAnsi="Cambria Math"/>
                <w:szCs w:val="20"/>
              </w:rPr>
              <m:t>SFN</m:t>
            </m:r>
          </m:e>
          <m:sub>
            <m:r>
              <w:rPr>
                <w:rFonts w:ascii="Cambria Math" w:eastAsia="宋体" w:hAnsi="Cambria Math"/>
                <w:szCs w:val="20"/>
              </w:rPr>
              <m:t>C</m:t>
            </m:r>
          </m:sub>
        </m:sSub>
        <m:r>
          <w:rPr>
            <w:rFonts w:ascii="Cambria Math" w:eastAsia="宋体" w:hAnsi="Cambria Math"/>
            <w:szCs w:val="20"/>
          </w:rPr>
          <m:t xml:space="preserve"> mod 2=0</m:t>
        </m:r>
      </m:oMath>
      <w:r>
        <w:rPr>
          <w:rFonts w:eastAsia="宋体"/>
          <w:szCs w:val="20"/>
        </w:rPr>
        <w:t xml:space="preserve"> </w:t>
      </w:r>
      <w:proofErr w:type="gramStart"/>
      <w:r>
        <w:rPr>
          <w:rFonts w:eastAsia="宋体"/>
          <w:szCs w:val="20"/>
        </w:rPr>
        <w:t xml:space="preserve">if </w:t>
      </w:r>
      <w:proofErr w:type="gramEnd"/>
      <m:oMath>
        <m:d>
          <m:dPr>
            <m:begChr m:val="⌊"/>
            <m:endChr m:val="⌋"/>
            <m:ctrlPr>
              <w:rPr>
                <w:rFonts w:ascii="Cambria Math" w:eastAsia="宋体" w:hAnsi="Cambria Math"/>
                <w:i/>
                <w:szCs w:val="20"/>
              </w:rPr>
            </m:ctrlPr>
          </m:dPr>
          <m:e>
            <m:d>
              <m:dPr>
                <m:ctrlPr>
                  <w:rPr>
                    <w:rFonts w:ascii="Cambria Math" w:eastAsia="宋体" w:hAnsi="Cambria Math"/>
                    <w:i/>
                    <w:szCs w:val="20"/>
                  </w:rPr>
                </m:ctrlPr>
              </m:dPr>
              <m:e>
                <m:r>
                  <w:rPr>
                    <w:rFonts w:ascii="Cambria Math" w:eastAsia="宋体" w:hAnsi="Cambria Math"/>
                    <w:szCs w:val="20"/>
                  </w:rPr>
                  <m:t>O⋅</m:t>
                </m:r>
                <m:sSup>
                  <m:sSupPr>
                    <m:ctrlPr>
                      <w:rPr>
                        <w:rFonts w:ascii="Cambria Math" w:eastAsia="宋体" w:hAnsi="Cambria Math"/>
                        <w:i/>
                        <w:szCs w:val="20"/>
                      </w:rPr>
                    </m:ctrlPr>
                  </m:sSupPr>
                  <m:e>
                    <m:r>
                      <w:rPr>
                        <w:rFonts w:ascii="Cambria Math" w:eastAsia="宋体" w:hAnsi="Cambria Math"/>
                        <w:szCs w:val="20"/>
                      </w:rPr>
                      <m:t>2</m:t>
                    </m:r>
                  </m:e>
                  <m:sup>
                    <m:r>
                      <w:rPr>
                        <w:rFonts w:ascii="Cambria Math" w:eastAsia="宋体" w:hAnsi="Cambria Math"/>
                        <w:szCs w:val="20"/>
                      </w:rPr>
                      <m:t>μ</m:t>
                    </m:r>
                  </m:sup>
                </m:sSup>
                <m:r>
                  <w:rPr>
                    <w:rFonts w:ascii="Cambria Math" w:eastAsia="宋体" w:hAnsi="Cambria Math"/>
                    <w:szCs w:val="20"/>
                  </w:rPr>
                  <m:t>+</m:t>
                </m:r>
                <m:d>
                  <m:dPr>
                    <m:begChr m:val="⌊"/>
                    <m:endChr m:val="⌋"/>
                    <m:ctrlPr>
                      <w:rPr>
                        <w:rFonts w:ascii="Cambria Math" w:eastAsia="宋体" w:hAnsi="Cambria Math"/>
                        <w:i/>
                        <w:szCs w:val="20"/>
                      </w:rPr>
                    </m:ctrlPr>
                  </m:dPr>
                  <m:e>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m:t>
                    </m:r>
                  </m:e>
                </m:d>
              </m:e>
            </m:d>
            <m:r>
              <m:rPr>
                <m:sty m:val="p"/>
              </m:rP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slot</m:t>
                </m:r>
              </m:sub>
              <m:sup>
                <m:r>
                  <m:rPr>
                    <m:sty m:val="p"/>
                  </m:rPr>
                  <w:rPr>
                    <w:rFonts w:ascii="Cambria Math" w:eastAsia="宋体" w:hAnsi="Cambria Math"/>
                    <w:szCs w:val="20"/>
                  </w:rPr>
                  <m:t>frame, μ</m:t>
                </m:r>
              </m:sup>
            </m:sSubSup>
          </m:e>
        </m:d>
        <m:r>
          <w:rPr>
            <w:rFonts w:ascii="Cambria Math" w:eastAsia="宋体" w:hAnsi="Cambria Math"/>
            <w:szCs w:val="20"/>
          </w:rPr>
          <m:t xml:space="preserve"> mod 2=0</m:t>
        </m:r>
      </m:oMath>
      <w:r>
        <w:rPr>
          <w:rFonts w:eastAsia="宋体"/>
          <w:szCs w:val="20"/>
        </w:rPr>
        <w:t xml:space="preserve">, or in a frame with SFN satisfying </w:t>
      </w:r>
      <m:oMath>
        <m:sSub>
          <m:sSubPr>
            <m:ctrlPr>
              <w:rPr>
                <w:rFonts w:ascii="Cambria Math" w:eastAsia="宋体" w:hAnsi="Cambria Math"/>
                <w:i/>
                <w:szCs w:val="20"/>
              </w:rPr>
            </m:ctrlPr>
          </m:sSubPr>
          <m:e>
            <m:r>
              <m:rPr>
                <m:sty m:val="p"/>
              </m:rPr>
              <w:rPr>
                <w:rFonts w:ascii="Cambria Math" w:eastAsia="宋体" w:hAnsi="Cambria Math"/>
                <w:szCs w:val="20"/>
              </w:rPr>
              <m:t>SFN</m:t>
            </m:r>
          </m:e>
          <m:sub>
            <m:r>
              <w:rPr>
                <w:rFonts w:ascii="Cambria Math" w:eastAsia="宋体" w:hAnsi="Cambria Math"/>
                <w:szCs w:val="20"/>
              </w:rPr>
              <m:t>C</m:t>
            </m:r>
          </m:sub>
        </m:sSub>
        <m:r>
          <w:rPr>
            <w:rFonts w:ascii="Cambria Math" w:eastAsia="宋体" w:hAnsi="Cambria Math"/>
            <w:szCs w:val="20"/>
          </w:rPr>
          <m:t xml:space="preserve"> mod 2=1</m:t>
        </m:r>
      </m:oMath>
      <w:r>
        <w:rPr>
          <w:rFonts w:eastAsia="宋体"/>
          <w:szCs w:val="20"/>
        </w:rPr>
        <w:t xml:space="preserve"> if </w:t>
      </w:r>
      <m:oMath>
        <m:d>
          <m:dPr>
            <m:begChr m:val="⌊"/>
            <m:endChr m:val="⌋"/>
            <m:ctrlPr>
              <w:rPr>
                <w:rFonts w:ascii="Cambria Math" w:eastAsia="宋体" w:hAnsi="Cambria Math"/>
                <w:i/>
                <w:szCs w:val="20"/>
              </w:rPr>
            </m:ctrlPr>
          </m:dPr>
          <m:e>
            <m:d>
              <m:dPr>
                <m:ctrlPr>
                  <w:rPr>
                    <w:rFonts w:ascii="Cambria Math" w:eastAsia="宋体" w:hAnsi="Cambria Math"/>
                    <w:i/>
                    <w:szCs w:val="20"/>
                  </w:rPr>
                </m:ctrlPr>
              </m:dPr>
              <m:e>
                <m:r>
                  <w:rPr>
                    <w:rFonts w:ascii="Cambria Math" w:eastAsia="宋体" w:hAnsi="Cambria Math"/>
                    <w:szCs w:val="20"/>
                  </w:rPr>
                  <m:t>O⋅</m:t>
                </m:r>
                <m:sSup>
                  <m:sSupPr>
                    <m:ctrlPr>
                      <w:rPr>
                        <w:rFonts w:ascii="Cambria Math" w:eastAsia="宋体" w:hAnsi="Cambria Math"/>
                        <w:i/>
                        <w:szCs w:val="20"/>
                      </w:rPr>
                    </m:ctrlPr>
                  </m:sSupPr>
                  <m:e>
                    <m:r>
                      <w:rPr>
                        <w:rFonts w:ascii="Cambria Math" w:eastAsia="宋体" w:hAnsi="Cambria Math"/>
                        <w:szCs w:val="20"/>
                      </w:rPr>
                      <m:t>2</m:t>
                    </m:r>
                  </m:e>
                  <m:sup>
                    <m:r>
                      <w:rPr>
                        <w:rFonts w:ascii="Cambria Math" w:eastAsia="宋体" w:hAnsi="Cambria Math"/>
                        <w:szCs w:val="20"/>
                      </w:rPr>
                      <m:t>μ</m:t>
                    </m:r>
                  </m:sup>
                </m:sSup>
                <m:r>
                  <w:rPr>
                    <w:rFonts w:ascii="Cambria Math" w:eastAsia="宋体" w:hAnsi="Cambria Math"/>
                    <w:szCs w:val="20"/>
                  </w:rPr>
                  <m:t>+</m:t>
                </m:r>
                <m:d>
                  <m:dPr>
                    <m:begChr m:val="⌊"/>
                    <m:endChr m:val="⌋"/>
                    <m:ctrlPr>
                      <w:rPr>
                        <w:rFonts w:ascii="Cambria Math" w:eastAsia="宋体" w:hAnsi="Cambria Math"/>
                        <w:i/>
                        <w:szCs w:val="20"/>
                      </w:rPr>
                    </m:ctrlPr>
                  </m:dPr>
                  <m:e>
                    <m:acc>
                      <m:accPr>
                        <m:chr m:val="̅"/>
                        <m:ctrlPr>
                          <w:rPr>
                            <w:rFonts w:ascii="Cambria Math" w:eastAsia="宋体" w:hAnsi="Cambria Math"/>
                            <w:i/>
                            <w:szCs w:val="20"/>
                          </w:rPr>
                        </m:ctrlPr>
                      </m:accPr>
                      <m:e>
                        <m:r>
                          <w:rPr>
                            <w:rFonts w:ascii="Cambria Math" w:eastAsia="宋体" w:hAnsi="Cambria Math"/>
                            <w:szCs w:val="20"/>
                          </w:rPr>
                          <m:t>i</m:t>
                        </m:r>
                      </m:e>
                    </m:acc>
                    <m:r>
                      <w:rPr>
                        <w:rFonts w:ascii="Cambria Math" w:eastAsia="宋体" w:hAnsi="Cambria Math"/>
                        <w:szCs w:val="20"/>
                      </w:rPr>
                      <m:t>⋅M</m:t>
                    </m:r>
                  </m:e>
                </m:d>
              </m:e>
            </m:d>
            <m:r>
              <m:rPr>
                <m:sty m:val="p"/>
              </m:rP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slot</m:t>
                </m:r>
              </m:sub>
              <m:sup>
                <m:r>
                  <m:rPr>
                    <m:sty m:val="p"/>
                  </m:rPr>
                  <w:rPr>
                    <w:rFonts w:ascii="Cambria Math" w:eastAsia="宋体" w:hAnsi="Cambria Math"/>
                    <w:szCs w:val="20"/>
                  </w:rPr>
                  <m:t>frame, μ</m:t>
                </m:r>
              </m:sup>
            </m:sSubSup>
          </m:e>
        </m:d>
        <m:r>
          <w:rPr>
            <w:rFonts w:ascii="Cambria Math" w:eastAsia="宋体" w:hAnsi="Cambria Math"/>
            <w:szCs w:val="20"/>
          </w:rPr>
          <m:t xml:space="preserve"> mod 2=1</m:t>
        </m:r>
      </m:oMath>
      <w:r>
        <w:rPr>
          <w:rFonts w:eastAsia="宋体"/>
          <w:szCs w:val="20"/>
        </w:rPr>
        <w:t xml:space="preserve">. </w:t>
      </w:r>
      <m:oMath>
        <m:r>
          <w:rPr>
            <w:rFonts w:ascii="Cambria Math" w:eastAsia="宋体" w:hAnsi="Cambria Math"/>
            <w:szCs w:val="20"/>
          </w:rPr>
          <m:t>M</m:t>
        </m:r>
      </m:oMath>
      <w:r>
        <w:rPr>
          <w:rFonts w:eastAsia="宋体"/>
          <w:szCs w:val="20"/>
        </w:rPr>
        <w:t xml:space="preserve"> </w:t>
      </w:r>
      <w:proofErr w:type="gramStart"/>
      <w:r>
        <w:rPr>
          <w:rFonts w:eastAsia="宋体"/>
          <w:szCs w:val="20"/>
        </w:rPr>
        <w:t>and</w:t>
      </w:r>
      <w:proofErr w:type="gramEnd"/>
      <w:r>
        <w:rPr>
          <w:rFonts w:eastAsia="宋体"/>
          <w:szCs w:val="20"/>
        </w:rPr>
        <w:t xml:space="preserve"> </w:t>
      </w:r>
      <m:oMath>
        <m:r>
          <w:rPr>
            <w:rFonts w:ascii="Cambria Math" w:eastAsia="宋体" w:hAnsi="Cambria Math"/>
            <w:szCs w:val="20"/>
          </w:rPr>
          <m:t>O</m:t>
        </m:r>
      </m:oMath>
      <w:r>
        <w:rPr>
          <w:rFonts w:eastAsia="宋体"/>
          <w:szCs w:val="20"/>
        </w:rPr>
        <w:t xml:space="preserve"> are provided by Table 13-11</w:t>
      </w:r>
      <w:ins w:id="86" w:author="Spreadtrum" w:date="2020-08-07T16:57:00Z">
        <w:r>
          <w:rPr>
            <w:rFonts w:eastAsia="宋体"/>
            <w:szCs w:val="20"/>
          </w:rPr>
          <w:t>A</w:t>
        </w:r>
      </w:ins>
      <w:r>
        <w:rPr>
          <w:rFonts w:eastAsia="宋体"/>
          <w:szCs w:val="20"/>
        </w:rPr>
        <w:t xml:space="preserve">, and </w:t>
      </w:r>
      <m:oMath>
        <m:r>
          <w:rPr>
            <w:rFonts w:ascii="Cambria Math" w:eastAsia="宋体" w:hAnsi="Cambria Math"/>
            <w:szCs w:val="20"/>
          </w:rPr>
          <m:t>μ∈{0, 1}</m:t>
        </m:r>
      </m:oMath>
      <w:r>
        <w:rPr>
          <w:rFonts w:eastAsia="宋体"/>
          <w:szCs w:val="20"/>
        </w:rPr>
        <w:t xml:space="preserve"> based on the SCS for PDCCH receptions in the CORESET [4, TS 38.211]. The index for the first symbol of the CORESET in slots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oMath>
      <w:r>
        <w:rPr>
          <w:rFonts w:eastAsia="宋体"/>
          <w:szCs w:val="20"/>
        </w:rPr>
        <w:t xml:space="preserve"> </w:t>
      </w:r>
      <w:r>
        <w:rPr>
          <w:rFonts w:eastAsia="宋体"/>
          <w:szCs w:val="20"/>
          <w:lang w:eastAsia="zh-CN"/>
        </w:rPr>
        <w:t xml:space="preserve">and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0</m:t>
            </m:r>
          </m:sub>
        </m:sSub>
        <m:r>
          <w:rPr>
            <w:rFonts w:ascii="Cambria Math" w:eastAsia="宋体" w:hAnsi="Cambria Math"/>
            <w:szCs w:val="20"/>
          </w:rPr>
          <m:t>+1</m:t>
        </m:r>
      </m:oMath>
      <w:r>
        <w:rPr>
          <w:rFonts w:eastAsia="宋体"/>
          <w:szCs w:val="20"/>
        </w:rPr>
        <w:t xml:space="preserve"> is the first symbol index provided by Table 13-11</w:t>
      </w:r>
      <w:ins w:id="87" w:author="Spreadtrum" w:date="2020-08-07T16:57:00Z">
        <w:r>
          <w:rPr>
            <w:rFonts w:eastAsia="宋体"/>
            <w:szCs w:val="20"/>
          </w:rPr>
          <w:t>A</w:t>
        </w:r>
      </w:ins>
      <w:r>
        <w:rPr>
          <w:rFonts w:eastAsia="宋体"/>
          <w:szCs w:val="20"/>
        </w:rPr>
        <w:t xml:space="preserve">. The UE does not expect to be configured </w:t>
      </w:r>
      <w:proofErr w:type="gramStart"/>
      <w:r>
        <w:rPr>
          <w:rFonts w:eastAsia="宋体"/>
          <w:szCs w:val="20"/>
        </w:rPr>
        <w:t xml:space="preserve">with </w:t>
      </w:r>
      <w:proofErr w:type="gramEnd"/>
      <m:oMath>
        <m:r>
          <w:rPr>
            <w:rFonts w:ascii="Cambria Math" w:eastAsia="宋体" w:hAnsi="Cambria Math"/>
            <w:szCs w:val="20"/>
          </w:rPr>
          <m:t>M=1/2</m:t>
        </m:r>
      </m:oMath>
      <w:r>
        <w:rPr>
          <w:rFonts w:eastAsia="宋体"/>
          <w:szCs w:val="20"/>
        </w:rPr>
        <w:t xml:space="preserve">, or with </w:t>
      </w:r>
      <m:oMath>
        <m:r>
          <w:rPr>
            <w:rFonts w:ascii="Cambria Math" w:eastAsia="宋体" w:hAnsi="Cambria Math"/>
            <w:szCs w:val="20"/>
          </w:rPr>
          <m:t>M=2</m:t>
        </m:r>
      </m:oMath>
      <w:r>
        <w:rPr>
          <w:rFonts w:eastAsia="宋体"/>
          <w:szCs w:val="20"/>
        </w:rPr>
        <w:t xml:space="preserve">, when </w:t>
      </w:r>
      <m:oMath>
        <m:sSubSup>
          <m:sSubSupPr>
            <m:ctrlPr>
              <w:rPr>
                <w:rFonts w:ascii="Cambria Math" w:eastAsia="宋体" w:hAnsi="Cambria Math"/>
                <w:i/>
                <w:szCs w:val="20"/>
              </w:rPr>
            </m:ctrlPr>
          </m:sSubSupPr>
          <m:e>
            <m:r>
              <w:rPr>
                <w:rFonts w:ascii="Cambria Math" w:eastAsia="宋体"/>
                <w:szCs w:val="20"/>
              </w:rPr>
              <m:t>N</m:t>
            </m:r>
          </m:e>
          <m:sub>
            <m:r>
              <w:rPr>
                <w:rFonts w:ascii="Cambria Math" w:eastAsia="宋体"/>
                <w:szCs w:val="20"/>
              </w:rPr>
              <m:t>SSB</m:t>
            </m:r>
          </m:sub>
          <m:sup>
            <m:r>
              <w:rPr>
                <w:rFonts w:ascii="Cambria Math" w:eastAsia="宋体"/>
                <w:szCs w:val="20"/>
              </w:rPr>
              <m:t>QCL</m:t>
            </m:r>
          </m:sup>
        </m:sSubSup>
        <m:r>
          <w:rPr>
            <w:rFonts w:ascii="Cambria Math" w:eastAsia="宋体"/>
            <w:szCs w:val="20"/>
          </w:rPr>
          <m:t>=1</m:t>
        </m:r>
      </m:oMath>
      <w:r>
        <w:rPr>
          <w:rFonts w:eastAsia="宋体"/>
          <w:szCs w:val="20"/>
        </w:rPr>
        <w:t>.</w:t>
      </w:r>
    </w:p>
    <w:p w:rsidR="003C4E4D" w:rsidRDefault="00AA22B9">
      <w:pPr>
        <w:spacing w:after="0"/>
        <w:rPr>
          <w:rFonts w:eastAsia="宋体"/>
          <w:color w:val="FF0000"/>
          <w:szCs w:val="20"/>
          <w:lang w:eastAsia="zh-CN"/>
        </w:rPr>
      </w:pPr>
      <w:r>
        <w:rPr>
          <w:rFonts w:eastAsia="宋体"/>
          <w:color w:val="FF0000"/>
          <w:szCs w:val="20"/>
          <w:lang w:eastAsia="zh-CN"/>
        </w:rPr>
        <w:t>------------------------------------------------------ Unchanged parts omitted ------------------------------------------------------</w:t>
      </w:r>
    </w:p>
    <w:p w:rsidR="003C4E4D" w:rsidRDefault="00AA22B9">
      <w:pPr>
        <w:pStyle w:val="TH"/>
      </w:pPr>
      <w:r>
        <w:lastRenderedPageBreak/>
        <w:t>Table 13-11</w:t>
      </w:r>
      <w:ins w:id="88" w:author="Spreadtrum" w:date="2020-08-07T16:5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4"/>
        <w:gridCol w:w="956"/>
        <w:gridCol w:w="3327"/>
      </w:tblGrid>
      <w:tr w:rsidR="003C4E4D">
        <w:trPr>
          <w:cantSplit/>
        </w:trPr>
        <w:tc>
          <w:tcPr>
            <w:tcW w:w="800" w:type="dxa"/>
            <w:tcBorders>
              <w:bottom w:val="double" w:sz="4" w:space="0" w:color="auto"/>
              <w:right w:val="double" w:sz="4" w:space="0" w:color="auto"/>
            </w:tcBorders>
            <w:shd w:val="clear" w:color="auto" w:fill="E0E0E0"/>
            <w:vAlign w:val="center"/>
          </w:tcPr>
          <w:p w:rsidR="003C4E4D" w:rsidRDefault="00AA22B9">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3C4E4D" w:rsidRDefault="00AA22B9">
            <w:pPr>
              <w:pStyle w:val="TAH"/>
              <w:rPr>
                <w:bCs/>
                <w:lang w:val="en-US"/>
              </w:rPr>
            </w:pPr>
            <w:r>
              <w:rPr>
                <w:noProof/>
                <w:position w:val="-6"/>
                <w:lang w:val="en-US" w:eastAsia="zh-CN"/>
              </w:rPr>
              <w:drawing>
                <wp:inline distT="0" distB="0" distL="0" distR="0">
                  <wp:extent cx="180975"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3C4E4D" w:rsidRDefault="00AA22B9">
            <w:pPr>
              <w:pStyle w:val="TAH"/>
              <w:rPr>
                <w:bCs/>
                <w:lang w:val="en-US"/>
              </w:rPr>
            </w:pPr>
            <w:r>
              <w:rPr>
                <w:rStyle w:val="CommentReference"/>
                <w:rFonts w:cs="Arial"/>
              </w:rPr>
              <w:t>Number of search space sets per slot</w:t>
            </w:r>
          </w:p>
        </w:tc>
        <w:tc>
          <w:tcPr>
            <w:tcW w:w="956" w:type="dxa"/>
            <w:tcBorders>
              <w:bottom w:val="double" w:sz="4" w:space="0" w:color="auto"/>
            </w:tcBorders>
            <w:shd w:val="clear" w:color="auto" w:fill="E0E0E0"/>
            <w:vAlign w:val="center"/>
          </w:tcPr>
          <w:p w:rsidR="003C4E4D" w:rsidRDefault="00AA22B9">
            <w:pPr>
              <w:pStyle w:val="TAH"/>
              <w:rPr>
                <w:bCs/>
                <w:lang w:val="en-US"/>
              </w:rPr>
            </w:pPr>
            <w:r>
              <w:rPr>
                <w:noProof/>
                <w:position w:val="-4"/>
                <w:lang w:val="en-US" w:eastAsia="zh-CN"/>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327" w:type="dxa"/>
            <w:tcBorders>
              <w:bottom w:val="double" w:sz="4" w:space="0" w:color="auto"/>
            </w:tcBorders>
            <w:shd w:val="clear" w:color="auto" w:fill="E0E0E0"/>
            <w:vAlign w:val="center"/>
          </w:tcPr>
          <w:p w:rsidR="003C4E4D" w:rsidRDefault="00AA22B9">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3C4E4D">
        <w:trPr>
          <w:cantSplit/>
        </w:trPr>
        <w:tc>
          <w:tcPr>
            <w:tcW w:w="800" w:type="dxa"/>
            <w:tcBorders>
              <w:top w:val="double" w:sz="4" w:space="0" w:color="auto"/>
              <w:right w:val="double" w:sz="4" w:space="0" w:color="auto"/>
            </w:tcBorders>
            <w:shd w:val="clear" w:color="auto" w:fill="auto"/>
            <w:vAlign w:val="center"/>
          </w:tcPr>
          <w:p w:rsidR="003C4E4D" w:rsidRDefault="00AA22B9">
            <w:pPr>
              <w:pStyle w:val="TAC"/>
              <w:rPr>
                <w:lang w:val="en-US"/>
              </w:rPr>
            </w:pPr>
            <w:r>
              <w:rPr>
                <w:lang w:val="en-US"/>
              </w:rPr>
              <w:t>0</w:t>
            </w:r>
          </w:p>
        </w:tc>
        <w:tc>
          <w:tcPr>
            <w:tcW w:w="867" w:type="dxa"/>
            <w:tcBorders>
              <w:top w:val="double" w:sz="4" w:space="0" w:color="auto"/>
              <w:left w:val="double" w:sz="4" w:space="0" w:color="auto"/>
            </w:tcBorders>
            <w:vAlign w:val="center"/>
          </w:tcPr>
          <w:p w:rsidR="003C4E4D" w:rsidRDefault="00AA22B9">
            <w:pPr>
              <w:pStyle w:val="TAC"/>
              <w:rPr>
                <w:lang w:val="en-US"/>
              </w:rPr>
            </w:pPr>
            <w:r>
              <w:rPr>
                <w:rStyle w:val="CommentReference"/>
                <w:rFonts w:cs="Arial"/>
              </w:rPr>
              <w:t>0</w:t>
            </w:r>
          </w:p>
        </w:tc>
        <w:tc>
          <w:tcPr>
            <w:tcW w:w="3214" w:type="dxa"/>
            <w:tcBorders>
              <w:top w:val="double" w:sz="4" w:space="0" w:color="auto"/>
            </w:tcBorders>
            <w:vAlign w:val="center"/>
          </w:tcPr>
          <w:p w:rsidR="003C4E4D" w:rsidRDefault="00AA22B9">
            <w:pPr>
              <w:pStyle w:val="TAC"/>
              <w:rPr>
                <w:lang w:val="en-US"/>
              </w:rPr>
            </w:pPr>
            <w:r>
              <w:rPr>
                <w:rStyle w:val="CommentReference"/>
                <w:rFonts w:cs="Arial"/>
              </w:rPr>
              <w:t>1</w:t>
            </w:r>
          </w:p>
        </w:tc>
        <w:tc>
          <w:tcPr>
            <w:tcW w:w="956" w:type="dxa"/>
            <w:tcBorders>
              <w:top w:val="double" w:sz="4" w:space="0" w:color="auto"/>
            </w:tcBorders>
            <w:vAlign w:val="center"/>
          </w:tcPr>
          <w:p w:rsidR="003C4E4D" w:rsidRDefault="00AA22B9">
            <w:pPr>
              <w:pStyle w:val="TAC"/>
              <w:rPr>
                <w:lang w:val="en-US"/>
              </w:rPr>
            </w:pPr>
            <w:del w:id="89" w:author="Spreadtrum" w:date="2020-08-07T16:59:00Z">
              <w:r>
                <w:rPr>
                  <w:rStyle w:val="CommentReference"/>
                  <w:rFonts w:cs="Arial"/>
                </w:rPr>
                <w:delText>1</w:delText>
              </w:r>
            </w:del>
            <w:ins w:id="90" w:author="Spreadtrum" w:date="2020-08-07T16:59:00Z">
              <w:r>
                <w:rPr>
                  <w:rStyle w:val="CommentReference"/>
                  <w:rFonts w:cs="Arial"/>
                </w:rPr>
                <w:t>1/2</w:t>
              </w:r>
            </w:ins>
          </w:p>
        </w:tc>
        <w:tc>
          <w:tcPr>
            <w:tcW w:w="3327" w:type="dxa"/>
            <w:tcBorders>
              <w:top w:val="double" w:sz="4" w:space="0" w:color="auto"/>
            </w:tcBorders>
            <w:vAlign w:val="center"/>
          </w:tcPr>
          <w:p w:rsidR="003C4E4D" w:rsidRDefault="00AA22B9">
            <w:pPr>
              <w:pStyle w:val="TAC"/>
              <w:rPr>
                <w:lang w:val="en-US"/>
              </w:rPr>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rPr>
                <w:lang w:val="en-US"/>
              </w:rPr>
            </w:pPr>
            <w:r>
              <w:rPr>
                <w:lang w:val="en-US"/>
              </w:rPr>
              <w:t>1</w:t>
            </w:r>
          </w:p>
        </w:tc>
        <w:tc>
          <w:tcPr>
            <w:tcW w:w="867" w:type="dxa"/>
            <w:tcBorders>
              <w:left w:val="double" w:sz="4" w:space="0" w:color="auto"/>
            </w:tcBorders>
            <w:vAlign w:val="center"/>
          </w:tcPr>
          <w:p w:rsidR="003C4E4D" w:rsidRDefault="00AA22B9">
            <w:pPr>
              <w:pStyle w:val="TAC"/>
              <w:rPr>
                <w:lang w:val="en-US"/>
              </w:rPr>
            </w:pPr>
            <w:r>
              <w:rPr>
                <w:rStyle w:val="CommentReference"/>
                <w:rFonts w:cs="Arial"/>
              </w:rPr>
              <w:t>0</w:t>
            </w:r>
          </w:p>
        </w:tc>
        <w:tc>
          <w:tcPr>
            <w:tcW w:w="3214" w:type="dxa"/>
            <w:vAlign w:val="center"/>
          </w:tcPr>
          <w:p w:rsidR="003C4E4D" w:rsidRDefault="00AA22B9">
            <w:pPr>
              <w:pStyle w:val="TAC"/>
              <w:rPr>
                <w:lang w:val="en-US"/>
              </w:rPr>
            </w:pPr>
            <w:r>
              <w:rPr>
                <w:rStyle w:val="CommentReference"/>
                <w:rFonts w:cs="Arial"/>
              </w:rPr>
              <w:t>2</w:t>
            </w:r>
          </w:p>
        </w:tc>
        <w:tc>
          <w:tcPr>
            <w:tcW w:w="956" w:type="dxa"/>
            <w:vAlign w:val="center"/>
          </w:tcPr>
          <w:p w:rsidR="003C4E4D" w:rsidRDefault="00AA22B9">
            <w:pPr>
              <w:pStyle w:val="TAC"/>
              <w:rPr>
                <w:lang w:val="en-US"/>
              </w:rPr>
            </w:pPr>
            <w:r>
              <w:rPr>
                <w:rStyle w:val="CommentReference"/>
                <w:rFonts w:cs="Arial"/>
              </w:rPr>
              <w:t>1/2</w:t>
            </w:r>
          </w:p>
        </w:tc>
        <w:tc>
          <w:tcPr>
            <w:tcW w:w="3327" w:type="dxa"/>
            <w:vAlign w:val="center"/>
          </w:tcPr>
          <w:p w:rsidR="003C4E4D" w:rsidRDefault="00AA22B9">
            <w:pPr>
              <w:pStyle w:val="TAC"/>
              <w:rPr>
                <w:lang w:val="en-US"/>
              </w:rPr>
            </w:pPr>
            <w:r>
              <w:rPr>
                <w:rStyle w:val="CommentReference"/>
                <w:rFonts w:cs="Arial"/>
              </w:rPr>
              <w:t xml:space="preserve">{0, if </w:t>
            </w:r>
            <w:r>
              <w:rPr>
                <w:noProof/>
                <w:position w:val="-6"/>
                <w:lang w:val="en-US" w:eastAsia="zh-CN"/>
              </w:rPr>
              <w:drawing>
                <wp:inline distT="0" distB="0" distL="0" distR="0">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2</w:t>
            </w:r>
          </w:p>
        </w:tc>
        <w:tc>
          <w:tcPr>
            <w:tcW w:w="867" w:type="dxa"/>
            <w:tcBorders>
              <w:left w:val="double" w:sz="4" w:space="0" w:color="auto"/>
            </w:tcBorders>
            <w:vAlign w:val="center"/>
          </w:tcPr>
          <w:p w:rsidR="003C4E4D" w:rsidRDefault="00AA22B9">
            <w:pPr>
              <w:pStyle w:val="TAC"/>
            </w:pPr>
            <w:r>
              <w:rPr>
                <w:rStyle w:val="CommentReference"/>
                <w:rFonts w:cs="Arial"/>
              </w:rPr>
              <w:t>2</w:t>
            </w:r>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1" w:author="Spreadtrum" w:date="2020-08-07T16:59:00Z">
              <w:r>
                <w:rPr>
                  <w:rStyle w:val="CommentReference"/>
                  <w:rFonts w:cs="Arial"/>
                </w:rPr>
                <w:delText>1</w:delText>
              </w:r>
            </w:del>
            <w:ins w:id="92" w:author="Spreadtrum" w:date="2020-08-07T16:59:00Z">
              <w:r>
                <w:rPr>
                  <w:rStyle w:val="CommentReference"/>
                  <w:rFonts w:cs="Arial"/>
                </w:rPr>
                <w:t>1/2</w:t>
              </w:r>
            </w:ins>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3</w:t>
            </w:r>
          </w:p>
        </w:tc>
        <w:tc>
          <w:tcPr>
            <w:tcW w:w="867" w:type="dxa"/>
            <w:tcBorders>
              <w:left w:val="double" w:sz="4" w:space="0" w:color="auto"/>
            </w:tcBorders>
            <w:vAlign w:val="center"/>
          </w:tcPr>
          <w:p w:rsidR="003C4E4D" w:rsidRDefault="00AA22B9">
            <w:pPr>
              <w:pStyle w:val="TAC"/>
            </w:pPr>
            <w:r>
              <w:rPr>
                <w:rStyle w:val="CommentReference"/>
                <w:rFonts w:cs="Arial"/>
              </w:rPr>
              <w:t>2</w:t>
            </w:r>
          </w:p>
        </w:tc>
        <w:tc>
          <w:tcPr>
            <w:tcW w:w="3214" w:type="dxa"/>
            <w:vAlign w:val="center"/>
          </w:tcPr>
          <w:p w:rsidR="003C4E4D" w:rsidRDefault="00AA22B9">
            <w:pPr>
              <w:pStyle w:val="TAC"/>
            </w:pPr>
            <w:r>
              <w:rPr>
                <w:rStyle w:val="CommentReference"/>
                <w:rFonts w:cs="Arial"/>
              </w:rPr>
              <w:t>2</w:t>
            </w:r>
          </w:p>
        </w:tc>
        <w:tc>
          <w:tcPr>
            <w:tcW w:w="956" w:type="dxa"/>
            <w:vAlign w:val="center"/>
          </w:tcPr>
          <w:p w:rsidR="003C4E4D" w:rsidRDefault="00AA22B9">
            <w:pPr>
              <w:pStyle w:val="TAC"/>
            </w:pPr>
            <w:r>
              <w:rPr>
                <w:rStyle w:val="CommentReference"/>
                <w:rFonts w:cs="Arial"/>
              </w:rPr>
              <w:t>1/2</w:t>
            </w:r>
          </w:p>
        </w:tc>
        <w:tc>
          <w:tcPr>
            <w:tcW w:w="3327"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0" distR="0">
                  <wp:extent cx="95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4</w:t>
            </w:r>
          </w:p>
        </w:tc>
        <w:tc>
          <w:tcPr>
            <w:tcW w:w="867" w:type="dxa"/>
            <w:tcBorders>
              <w:left w:val="double" w:sz="4" w:space="0" w:color="auto"/>
            </w:tcBorders>
            <w:vAlign w:val="center"/>
          </w:tcPr>
          <w:p w:rsidR="003C4E4D" w:rsidRDefault="00AA22B9">
            <w:pPr>
              <w:pStyle w:val="TAC"/>
            </w:pPr>
            <w:r>
              <w:rPr>
                <w:rStyle w:val="CommentReference"/>
                <w:rFonts w:cs="Arial"/>
              </w:rPr>
              <w:t>5</w:t>
            </w:r>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3" w:author="Spreadtrum" w:date="2020-08-07T16:59:00Z">
              <w:r>
                <w:rPr>
                  <w:rStyle w:val="CommentReference"/>
                  <w:rFonts w:cs="Arial"/>
                </w:rPr>
                <w:delText>1</w:delText>
              </w:r>
            </w:del>
            <w:ins w:id="94" w:author="Spreadtrum" w:date="2020-08-07T16:59:00Z">
              <w:r>
                <w:rPr>
                  <w:rStyle w:val="CommentReference"/>
                  <w:rFonts w:cs="Arial"/>
                </w:rPr>
                <w:t>1/2</w:t>
              </w:r>
            </w:ins>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5</w:t>
            </w:r>
          </w:p>
        </w:tc>
        <w:tc>
          <w:tcPr>
            <w:tcW w:w="867" w:type="dxa"/>
            <w:tcBorders>
              <w:left w:val="double" w:sz="4" w:space="0" w:color="auto"/>
            </w:tcBorders>
            <w:vAlign w:val="center"/>
          </w:tcPr>
          <w:p w:rsidR="003C4E4D" w:rsidRDefault="00AA22B9">
            <w:pPr>
              <w:pStyle w:val="TAC"/>
            </w:pPr>
            <w:r>
              <w:rPr>
                <w:rStyle w:val="CommentReference"/>
                <w:rFonts w:cs="Arial"/>
              </w:rPr>
              <w:t>5</w:t>
            </w:r>
          </w:p>
        </w:tc>
        <w:tc>
          <w:tcPr>
            <w:tcW w:w="3214" w:type="dxa"/>
            <w:vAlign w:val="center"/>
          </w:tcPr>
          <w:p w:rsidR="003C4E4D" w:rsidRDefault="00AA22B9">
            <w:pPr>
              <w:pStyle w:val="TAC"/>
            </w:pPr>
            <w:r>
              <w:rPr>
                <w:rStyle w:val="CommentReference"/>
                <w:rFonts w:cs="Arial"/>
              </w:rPr>
              <w:t>2</w:t>
            </w:r>
          </w:p>
        </w:tc>
        <w:tc>
          <w:tcPr>
            <w:tcW w:w="956" w:type="dxa"/>
            <w:vAlign w:val="center"/>
          </w:tcPr>
          <w:p w:rsidR="003C4E4D" w:rsidRDefault="00AA22B9">
            <w:pPr>
              <w:pStyle w:val="TAC"/>
            </w:pPr>
            <w:r>
              <w:rPr>
                <w:rStyle w:val="CommentReference"/>
                <w:rFonts w:cs="Arial"/>
              </w:rPr>
              <w:t>1/2</w:t>
            </w:r>
          </w:p>
        </w:tc>
        <w:tc>
          <w:tcPr>
            <w:tcW w:w="3327"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0" distR="0">
                  <wp:extent cx="95250"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6</w:t>
            </w:r>
          </w:p>
        </w:tc>
        <w:tc>
          <w:tcPr>
            <w:tcW w:w="867" w:type="dxa"/>
            <w:tcBorders>
              <w:left w:val="double" w:sz="4" w:space="0" w:color="auto"/>
            </w:tcBorders>
            <w:vAlign w:val="center"/>
          </w:tcPr>
          <w:p w:rsidR="003C4E4D" w:rsidRDefault="00AA22B9">
            <w:pPr>
              <w:pStyle w:val="TAC"/>
            </w:pPr>
            <w:r>
              <w:rPr>
                <w:rStyle w:val="CommentReference"/>
                <w:rFonts w:cs="Arial"/>
              </w:rPr>
              <w:t>7</w:t>
            </w:r>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5" w:author="Spreadtrum" w:date="2020-08-07T16:59:00Z">
              <w:r>
                <w:rPr>
                  <w:rStyle w:val="CommentReference"/>
                  <w:rFonts w:cs="Arial"/>
                </w:rPr>
                <w:delText>1</w:delText>
              </w:r>
            </w:del>
            <w:ins w:id="96" w:author="Spreadtrum" w:date="2020-08-07T16:59:00Z">
              <w:r>
                <w:rPr>
                  <w:rStyle w:val="CommentReference"/>
                  <w:rFonts w:cs="Arial"/>
                </w:rPr>
                <w:t>1/2</w:t>
              </w:r>
            </w:ins>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7</w:t>
            </w:r>
          </w:p>
        </w:tc>
        <w:tc>
          <w:tcPr>
            <w:tcW w:w="867" w:type="dxa"/>
            <w:tcBorders>
              <w:left w:val="double" w:sz="4" w:space="0" w:color="auto"/>
            </w:tcBorders>
            <w:vAlign w:val="center"/>
          </w:tcPr>
          <w:p w:rsidR="003C4E4D" w:rsidRDefault="00AA22B9">
            <w:pPr>
              <w:pStyle w:val="TAC"/>
            </w:pPr>
            <w:r>
              <w:rPr>
                <w:rStyle w:val="CommentReference"/>
                <w:rFonts w:cs="Arial"/>
              </w:rPr>
              <w:t>7</w:t>
            </w:r>
          </w:p>
        </w:tc>
        <w:tc>
          <w:tcPr>
            <w:tcW w:w="3214" w:type="dxa"/>
            <w:vAlign w:val="center"/>
          </w:tcPr>
          <w:p w:rsidR="003C4E4D" w:rsidRDefault="00AA22B9">
            <w:pPr>
              <w:pStyle w:val="TAC"/>
            </w:pPr>
            <w:r>
              <w:rPr>
                <w:rStyle w:val="CommentReference"/>
                <w:rFonts w:cs="Arial"/>
              </w:rPr>
              <w:t>2</w:t>
            </w:r>
          </w:p>
        </w:tc>
        <w:tc>
          <w:tcPr>
            <w:tcW w:w="956" w:type="dxa"/>
            <w:vAlign w:val="center"/>
          </w:tcPr>
          <w:p w:rsidR="003C4E4D" w:rsidRDefault="00AA22B9">
            <w:pPr>
              <w:pStyle w:val="TAC"/>
            </w:pPr>
            <w:r>
              <w:rPr>
                <w:rStyle w:val="CommentReference"/>
                <w:rFonts w:cs="Arial"/>
              </w:rPr>
              <w:t>1/2</w:t>
            </w:r>
          </w:p>
        </w:tc>
        <w:tc>
          <w:tcPr>
            <w:tcW w:w="3327" w:type="dxa"/>
            <w:vAlign w:val="center"/>
          </w:tcPr>
          <w:p w:rsidR="003C4E4D" w:rsidRDefault="00AA22B9">
            <w:pPr>
              <w:pStyle w:val="TAC"/>
            </w:pPr>
            <w:r>
              <w:rPr>
                <w:rStyle w:val="CommentReference"/>
                <w:rFonts w:cs="Arial"/>
              </w:rPr>
              <w:t xml:space="preserve">{0, if </w:t>
            </w:r>
            <w:r>
              <w:rPr>
                <w:noProof/>
                <w:position w:val="-6"/>
                <w:lang w:val="en-US" w:eastAsia="zh-CN"/>
              </w:rPr>
              <w:drawing>
                <wp:inline distT="0" distB="0" distL="0" distR="0">
                  <wp:extent cx="9525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extent cx="4572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8</w:t>
            </w:r>
          </w:p>
        </w:tc>
        <w:tc>
          <w:tcPr>
            <w:tcW w:w="867" w:type="dxa"/>
            <w:tcBorders>
              <w:left w:val="double" w:sz="4" w:space="0" w:color="auto"/>
            </w:tcBorders>
            <w:vAlign w:val="center"/>
          </w:tcPr>
          <w:p w:rsidR="003C4E4D" w:rsidRDefault="00AA22B9">
            <w:pPr>
              <w:pStyle w:val="TAC"/>
            </w:pPr>
            <w:del w:id="97" w:author="Spreadtrum" w:date="2020-08-07T16:59:00Z">
              <w:r>
                <w:rPr>
                  <w:rStyle w:val="CommentReference"/>
                  <w:rFonts w:cs="Arial"/>
                </w:rPr>
                <w:delText>0</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98" w:author="Spreadtrum" w:date="2020-08-07T16:59:00Z">
              <w:r>
                <w:rPr>
                  <w:rStyle w:val="CommentReference"/>
                  <w:rFonts w:cs="Arial"/>
                </w:rPr>
                <w:delText>2</w:delText>
              </w:r>
            </w:del>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9</w:t>
            </w:r>
          </w:p>
        </w:tc>
        <w:tc>
          <w:tcPr>
            <w:tcW w:w="867" w:type="dxa"/>
            <w:tcBorders>
              <w:left w:val="double" w:sz="4" w:space="0" w:color="auto"/>
            </w:tcBorders>
            <w:vAlign w:val="center"/>
          </w:tcPr>
          <w:p w:rsidR="003C4E4D" w:rsidRDefault="00AA22B9">
            <w:pPr>
              <w:pStyle w:val="TAC"/>
            </w:pPr>
            <w:del w:id="99" w:author="Spreadtrum" w:date="2020-08-07T16:59:00Z">
              <w:r>
                <w:rPr>
                  <w:rStyle w:val="CommentReference"/>
                  <w:rFonts w:cs="Arial"/>
                </w:rPr>
                <w:delText>5</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0" w:author="Spreadtrum" w:date="2020-08-07T16:59:00Z">
              <w:r>
                <w:rPr>
                  <w:rStyle w:val="CommentReference"/>
                  <w:rFonts w:cs="Arial"/>
                </w:rPr>
                <w:delText>2</w:delText>
              </w:r>
            </w:del>
          </w:p>
        </w:tc>
        <w:tc>
          <w:tcPr>
            <w:tcW w:w="3327" w:type="dxa"/>
            <w:vAlign w:val="center"/>
          </w:tcPr>
          <w:p w:rsidR="003C4E4D" w:rsidRDefault="00AA22B9">
            <w:pPr>
              <w:pStyle w:val="TAC"/>
            </w:pPr>
            <w:r>
              <w:rPr>
                <w:rStyle w:val="CommentReference"/>
                <w:rFonts w:cs="Arial"/>
              </w:rPr>
              <w:t>0</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10</w:t>
            </w:r>
          </w:p>
        </w:tc>
        <w:tc>
          <w:tcPr>
            <w:tcW w:w="867" w:type="dxa"/>
            <w:tcBorders>
              <w:left w:val="double" w:sz="4" w:space="0" w:color="auto"/>
            </w:tcBorders>
            <w:vAlign w:val="center"/>
          </w:tcPr>
          <w:p w:rsidR="003C4E4D" w:rsidRDefault="00AA22B9">
            <w:pPr>
              <w:pStyle w:val="TAC"/>
            </w:pPr>
            <w:del w:id="101" w:author="Spreadtrum" w:date="2020-08-07T16:59:00Z">
              <w:r>
                <w:rPr>
                  <w:rStyle w:val="CommentReference"/>
                  <w:rFonts w:cs="Arial"/>
                </w:rPr>
                <w:delText>0</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2"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11</w:t>
            </w:r>
          </w:p>
        </w:tc>
        <w:tc>
          <w:tcPr>
            <w:tcW w:w="867" w:type="dxa"/>
            <w:tcBorders>
              <w:left w:val="double" w:sz="4" w:space="0" w:color="auto"/>
            </w:tcBorders>
            <w:vAlign w:val="center"/>
          </w:tcPr>
          <w:p w:rsidR="003C4E4D" w:rsidRDefault="00AA22B9">
            <w:pPr>
              <w:pStyle w:val="TAC"/>
            </w:pPr>
            <w:del w:id="103" w:author="Spreadtrum" w:date="2020-08-07T16:59:00Z">
              <w:r>
                <w:rPr>
                  <w:rStyle w:val="CommentReference"/>
                  <w:rFonts w:cs="Arial"/>
                </w:rPr>
                <w:delText>0</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4"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12</w:t>
            </w:r>
          </w:p>
        </w:tc>
        <w:tc>
          <w:tcPr>
            <w:tcW w:w="867" w:type="dxa"/>
            <w:tcBorders>
              <w:left w:val="double" w:sz="4" w:space="0" w:color="auto"/>
            </w:tcBorders>
            <w:vAlign w:val="center"/>
          </w:tcPr>
          <w:p w:rsidR="003C4E4D" w:rsidRDefault="00AA22B9">
            <w:pPr>
              <w:pStyle w:val="TAC"/>
            </w:pPr>
            <w:del w:id="105" w:author="Spreadtrum" w:date="2020-08-07T16:59:00Z">
              <w:r>
                <w:rPr>
                  <w:rStyle w:val="CommentReference"/>
                  <w:rFonts w:cs="Arial"/>
                </w:rPr>
                <w:delText>2</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6"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13</w:t>
            </w:r>
          </w:p>
        </w:tc>
        <w:tc>
          <w:tcPr>
            <w:tcW w:w="867" w:type="dxa"/>
            <w:tcBorders>
              <w:left w:val="double" w:sz="4" w:space="0" w:color="auto"/>
            </w:tcBorders>
            <w:vAlign w:val="center"/>
          </w:tcPr>
          <w:p w:rsidR="003C4E4D" w:rsidRDefault="00AA22B9">
            <w:pPr>
              <w:pStyle w:val="TAC"/>
            </w:pPr>
            <w:del w:id="107" w:author="Spreadtrum" w:date="2020-08-07T16:59:00Z">
              <w:r>
                <w:rPr>
                  <w:rStyle w:val="CommentReference"/>
                  <w:rFonts w:cs="Arial"/>
                </w:rPr>
                <w:delText>2</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08"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2</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t>14</w:t>
            </w:r>
          </w:p>
        </w:tc>
        <w:tc>
          <w:tcPr>
            <w:tcW w:w="867" w:type="dxa"/>
            <w:tcBorders>
              <w:left w:val="double" w:sz="4" w:space="0" w:color="auto"/>
            </w:tcBorders>
            <w:vAlign w:val="center"/>
          </w:tcPr>
          <w:p w:rsidR="003C4E4D" w:rsidRDefault="00AA22B9">
            <w:pPr>
              <w:pStyle w:val="TAC"/>
            </w:pPr>
            <w:del w:id="109" w:author="Spreadtrum" w:date="2020-08-07T16:59:00Z">
              <w:r>
                <w:rPr>
                  <w:rStyle w:val="CommentReference"/>
                  <w:rFonts w:cs="Arial"/>
                </w:rPr>
                <w:delText>5</w:delText>
              </w:r>
            </w:del>
          </w:p>
        </w:tc>
        <w:tc>
          <w:tcPr>
            <w:tcW w:w="3214" w:type="dxa"/>
            <w:vAlign w:val="center"/>
          </w:tcPr>
          <w:p w:rsidR="003C4E4D" w:rsidRDefault="00AA22B9">
            <w:pPr>
              <w:pStyle w:val="TAC"/>
            </w:pPr>
            <w:r>
              <w:rPr>
                <w:rStyle w:val="CommentReference"/>
                <w:rFonts w:cs="Arial"/>
              </w:rPr>
              <w:t>1</w:t>
            </w:r>
          </w:p>
        </w:tc>
        <w:tc>
          <w:tcPr>
            <w:tcW w:w="956" w:type="dxa"/>
            <w:vAlign w:val="center"/>
          </w:tcPr>
          <w:p w:rsidR="003C4E4D" w:rsidRDefault="00AA22B9">
            <w:pPr>
              <w:pStyle w:val="TAC"/>
            </w:pPr>
            <w:del w:id="110" w:author="Spreadtrum" w:date="2020-08-07T16:59:00Z">
              <w:r>
                <w:rPr>
                  <w:rStyle w:val="CommentReference"/>
                  <w:rFonts w:cs="Arial"/>
                </w:rPr>
                <w:delText>1</w:delText>
              </w:r>
            </w:del>
          </w:p>
        </w:tc>
        <w:tc>
          <w:tcPr>
            <w:tcW w:w="3327" w:type="dxa"/>
            <w:vAlign w:val="center"/>
          </w:tcPr>
          <w:p w:rsidR="003C4E4D" w:rsidRDefault="00AA22B9">
            <w:pPr>
              <w:pStyle w:val="TAC"/>
            </w:pPr>
            <w:r>
              <w:rPr>
                <w:rStyle w:val="CommentReference"/>
                <w:rFonts w:cs="Arial"/>
              </w:rPr>
              <w:t>1</w:t>
            </w:r>
          </w:p>
        </w:tc>
      </w:tr>
      <w:tr w:rsidR="003C4E4D">
        <w:trPr>
          <w:cantSplit/>
        </w:trPr>
        <w:tc>
          <w:tcPr>
            <w:tcW w:w="800" w:type="dxa"/>
            <w:tcBorders>
              <w:right w:val="double" w:sz="4" w:space="0" w:color="auto"/>
            </w:tcBorders>
            <w:shd w:val="clear" w:color="auto" w:fill="auto"/>
            <w:vAlign w:val="center"/>
          </w:tcPr>
          <w:p w:rsidR="003C4E4D" w:rsidRDefault="00AA22B9">
            <w:pPr>
              <w:pStyle w:val="TAC"/>
            </w:pPr>
            <w:r>
              <w:rPr>
                <w:rFonts w:cs="Arial"/>
                <w:kern w:val="24"/>
                <w:szCs w:val="18"/>
              </w:rPr>
              <w:t>15</w:t>
            </w:r>
          </w:p>
        </w:tc>
        <w:tc>
          <w:tcPr>
            <w:tcW w:w="867" w:type="dxa"/>
            <w:tcBorders>
              <w:left w:val="double" w:sz="4" w:space="0" w:color="auto"/>
            </w:tcBorders>
            <w:vAlign w:val="center"/>
          </w:tcPr>
          <w:p w:rsidR="003C4E4D" w:rsidRDefault="00AA22B9">
            <w:pPr>
              <w:pStyle w:val="TAC"/>
              <w:rPr>
                <w:rFonts w:cs="Arial"/>
                <w:kern w:val="24"/>
                <w:szCs w:val="18"/>
              </w:rPr>
            </w:pPr>
            <w:del w:id="111" w:author="Spreadtrum" w:date="2020-08-07T16:59:00Z">
              <w:r>
                <w:rPr>
                  <w:rStyle w:val="CommentReference"/>
                  <w:rFonts w:cs="Arial"/>
                </w:rPr>
                <w:delText>5</w:delText>
              </w:r>
            </w:del>
          </w:p>
        </w:tc>
        <w:tc>
          <w:tcPr>
            <w:tcW w:w="3214" w:type="dxa"/>
            <w:vAlign w:val="center"/>
          </w:tcPr>
          <w:p w:rsidR="003C4E4D" w:rsidRDefault="00AA22B9">
            <w:pPr>
              <w:pStyle w:val="TAC"/>
              <w:rPr>
                <w:rFonts w:cs="Arial"/>
                <w:kern w:val="24"/>
                <w:szCs w:val="18"/>
              </w:rPr>
            </w:pPr>
            <w:r>
              <w:rPr>
                <w:rStyle w:val="CommentReference"/>
                <w:rFonts w:cs="Arial"/>
              </w:rPr>
              <w:t>1</w:t>
            </w:r>
          </w:p>
        </w:tc>
        <w:tc>
          <w:tcPr>
            <w:tcW w:w="956" w:type="dxa"/>
            <w:vAlign w:val="center"/>
          </w:tcPr>
          <w:p w:rsidR="003C4E4D" w:rsidRDefault="00AA22B9">
            <w:pPr>
              <w:pStyle w:val="TAC"/>
              <w:rPr>
                <w:rFonts w:cs="Arial"/>
                <w:kern w:val="24"/>
                <w:szCs w:val="18"/>
              </w:rPr>
            </w:pPr>
            <w:del w:id="112" w:author="Spreadtrum" w:date="2020-08-07T16:59:00Z">
              <w:r>
                <w:rPr>
                  <w:rStyle w:val="CommentReference"/>
                  <w:rFonts w:cs="Arial"/>
                </w:rPr>
                <w:delText>1</w:delText>
              </w:r>
            </w:del>
          </w:p>
        </w:tc>
        <w:tc>
          <w:tcPr>
            <w:tcW w:w="3327" w:type="dxa"/>
            <w:vAlign w:val="center"/>
          </w:tcPr>
          <w:p w:rsidR="003C4E4D" w:rsidRDefault="00AA22B9">
            <w:pPr>
              <w:pStyle w:val="TAC"/>
              <w:rPr>
                <w:rFonts w:cs="Arial"/>
                <w:kern w:val="24"/>
                <w:szCs w:val="18"/>
              </w:rPr>
            </w:pPr>
            <w:r>
              <w:rPr>
                <w:rStyle w:val="CommentReference"/>
                <w:rFonts w:cs="Arial"/>
              </w:rPr>
              <w:t>2</w:t>
            </w:r>
          </w:p>
        </w:tc>
      </w:tr>
    </w:tbl>
    <w:p w:rsidR="003C4E4D" w:rsidRDefault="00AA22B9">
      <w:pPr>
        <w:spacing w:after="0"/>
        <w:rPr>
          <w:rFonts w:eastAsia="宋体"/>
          <w:color w:val="FF0000"/>
          <w:szCs w:val="20"/>
          <w:lang w:eastAsia="zh-CN"/>
        </w:rPr>
      </w:pPr>
      <w:r>
        <w:rPr>
          <w:rFonts w:eastAsia="宋体"/>
          <w:color w:val="FF0000"/>
          <w:szCs w:val="20"/>
          <w:lang w:eastAsia="zh-CN"/>
        </w:rPr>
        <w:t>-------------------------------------------------------- End of Text Proposal --------------------------------------------------------</w:t>
      </w:r>
    </w:p>
    <w:p w:rsidR="003C4E4D" w:rsidRDefault="003C4E4D">
      <w:pPr>
        <w:spacing w:after="0"/>
        <w:rPr>
          <w:rFonts w:eastAsia="宋体"/>
          <w:color w:val="FF0000"/>
          <w:szCs w:val="20"/>
          <w:lang w:eastAsia="zh-CN"/>
        </w:rPr>
      </w:pPr>
    </w:p>
    <w:p w:rsidR="003C4E4D" w:rsidRDefault="003C4E4D">
      <w:pPr>
        <w:spacing w:after="0"/>
        <w:rPr>
          <w:rFonts w:eastAsia="宋体"/>
          <w:color w:val="FF0000"/>
          <w:szCs w:val="20"/>
          <w:highlight w:val="yellow"/>
          <w:lang w:eastAsia="zh-CN"/>
        </w:rPr>
      </w:pPr>
    </w:p>
    <w:p w:rsidR="003C4E4D" w:rsidRDefault="00AA22B9">
      <w:pPr>
        <w:outlineLvl w:val="1"/>
        <w:rPr>
          <w:b/>
          <w:bCs/>
          <w:u w:val="single"/>
          <w:lang w:eastAsia="en-US"/>
        </w:rPr>
      </w:pPr>
      <w:r>
        <w:rPr>
          <w:b/>
          <w:bCs/>
          <w:u w:val="single"/>
          <w:lang w:eastAsia="en-US"/>
        </w:rPr>
        <w:t>Issue 2.2: PDSCH rate matching</w:t>
      </w:r>
    </w:p>
    <w:p w:rsidR="003C4E4D" w:rsidRDefault="00AA22B9">
      <w:pPr>
        <w:rPr>
          <w:lang w:val="en-US" w:eastAsia="en-US"/>
        </w:rPr>
      </w:pPr>
      <w:r>
        <w:rPr>
          <w:lang w:val="en-US" w:eastAsia="en-US"/>
        </w:rPr>
        <w:t xml:space="preserve">[6] </w:t>
      </w:r>
      <w:proofErr w:type="gramStart"/>
      <w:r>
        <w:rPr>
          <w:lang w:val="en-US" w:eastAsia="en-US"/>
        </w:rPr>
        <w:t>discussed</w:t>
      </w:r>
      <w:proofErr w:type="gramEnd"/>
      <w:r>
        <w:rPr>
          <w:lang w:val="en-US" w:eastAsia="en-US"/>
        </w:rPr>
        <w:t xml:space="preserve"> PDSCH rate matching SSB enhancement with rate matching bits in DCI 1_1. Basically supporting rate matching into SSB when indicated by the bit in DCI 1_1.</w:t>
      </w:r>
    </w:p>
    <w:p w:rsidR="003C4E4D" w:rsidRDefault="00AA22B9">
      <w:pPr>
        <w:pStyle w:val="BodyText"/>
        <w:rPr>
          <w:rFonts w:eastAsia="宋体"/>
          <w:b/>
          <w:iCs/>
          <w:lang w:eastAsia="zh-CN"/>
        </w:rPr>
      </w:pPr>
      <w:r>
        <w:rPr>
          <w:rFonts w:eastAsia="宋体"/>
          <w:b/>
          <w:iCs/>
          <w:lang w:eastAsia="zh-CN"/>
        </w:rPr>
        <w:t xml:space="preserve">Proposal in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宋体"/>
          <w:b/>
          <w:iCs/>
          <w:lang w:eastAsia="zh-CN"/>
        </w:rPr>
        <w:t>ssb-PositionsInBurst</w:t>
      </w:r>
      <w:proofErr w:type="spellEnd"/>
      <w:r>
        <w:rPr>
          <w:rFonts w:eastAsia="宋体"/>
          <w:b/>
          <w:iCs/>
          <w:lang w:eastAsia="zh-CN"/>
        </w:rPr>
        <w:t>.</w:t>
      </w:r>
    </w:p>
    <w:p w:rsidR="003C4E4D" w:rsidRDefault="00AA22B9">
      <w:pPr>
        <w:pStyle w:val="BodyText"/>
        <w:rPr>
          <w:color w:val="000000"/>
        </w:rPr>
      </w:pPr>
      <w:r>
        <w:rPr>
          <w:color w:val="000000"/>
        </w:rPr>
        <w:t>---------------------------------------------------- TP3 38.214 ---------------------------------------------------------------</w:t>
      </w:r>
    </w:p>
    <w:p w:rsidR="003C4E4D" w:rsidRPr="00A345FD" w:rsidRDefault="00AA22B9">
      <w:pPr>
        <w:spacing w:after="120"/>
        <w:rPr>
          <w:color w:val="000000"/>
          <w:sz w:val="28"/>
          <w:szCs w:val="20"/>
          <w:lang w:val="en-US"/>
        </w:rPr>
      </w:pPr>
      <w:bookmarkStart w:id="113" w:name="_Toc20317983"/>
      <w:bookmarkStart w:id="114" w:name="_Toc29674280"/>
      <w:bookmarkStart w:id="115" w:name="_Toc29673146"/>
      <w:bookmarkStart w:id="116" w:name="_Toc29673287"/>
      <w:bookmarkStart w:id="117" w:name="_Toc27299881"/>
      <w:bookmarkStart w:id="118" w:name="_Toc11352093"/>
      <w:r w:rsidRPr="00A345FD">
        <w:rPr>
          <w:color w:val="000000"/>
          <w:sz w:val="28"/>
          <w:szCs w:val="20"/>
          <w:lang w:val="en-US"/>
        </w:rPr>
        <w:t>5.1.4</w:t>
      </w:r>
      <w:r w:rsidRPr="00A345FD">
        <w:rPr>
          <w:color w:val="000000"/>
          <w:sz w:val="28"/>
          <w:szCs w:val="20"/>
          <w:lang w:val="en-US"/>
        </w:rPr>
        <w:tab/>
        <w:t>PDSCH resource mapping</w:t>
      </w:r>
      <w:bookmarkEnd w:id="113"/>
      <w:bookmarkEnd w:id="114"/>
      <w:bookmarkEnd w:id="115"/>
      <w:bookmarkEnd w:id="116"/>
      <w:bookmarkEnd w:id="117"/>
      <w:bookmarkEnd w:id="118"/>
    </w:p>
    <w:p w:rsidR="003C4E4D" w:rsidRDefault="00AA22B9">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scheduled with SI-RNTI and the system information indicator in DCI is set to 0</w:t>
      </w:r>
      <w:r>
        <w:rPr>
          <w:rFonts w:eastAsia="宋体"/>
          <w:szCs w:val="20"/>
          <w:lang w:eastAsia="zh-CN"/>
        </w:rPr>
        <w:t>, the UE shall assume that no SS/PBCH block is transmitted in REs used by the UE for a reception of the PDSCH.</w:t>
      </w:r>
    </w:p>
    <w:p w:rsidR="003C4E4D" w:rsidRDefault="00AA22B9">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宋体"/>
          <w:color w:val="000000"/>
          <w:szCs w:val="20"/>
          <w:lang w:eastAsia="zh-CN"/>
        </w:rPr>
        <w:t>P-RNTI or TC-RNTI</w:t>
      </w:r>
      <w:r>
        <w:rPr>
          <w:rFonts w:eastAsia="宋体"/>
          <w:szCs w:val="20"/>
          <w:lang w:eastAsia="zh-CN"/>
        </w:rPr>
        <w:t xml:space="preserve">, the UE assumes SS/PBCH block transmission according to </w:t>
      </w:r>
      <w:proofErr w:type="spellStart"/>
      <w:r>
        <w:rPr>
          <w:rFonts w:eastAsia="宋体"/>
          <w:i/>
          <w:color w:val="000000"/>
          <w:szCs w:val="20"/>
          <w:lang w:eastAsia="zh-CN"/>
        </w:rPr>
        <w:t>ssb-PositionsInBurst</w:t>
      </w:r>
      <w:proofErr w:type="spellEnd"/>
      <w:r>
        <w:rPr>
          <w:rFonts w:eastAsia="宋体"/>
          <w:szCs w:val="20"/>
          <w:lang w:eastAsia="zh-CN"/>
        </w:rPr>
        <w:t xml:space="preserve">, and if the PDSCH resource allocation overlaps with PRBs containing </w:t>
      </w:r>
      <w:r>
        <w:rPr>
          <w:color w:val="FF0000"/>
          <w:szCs w:val="20"/>
        </w:rPr>
        <w:t>candidate</w:t>
      </w:r>
      <w:r>
        <w:rPr>
          <w:szCs w:val="20"/>
        </w:rPr>
        <w:t xml:space="preserve"> </w:t>
      </w:r>
      <w:r>
        <w:rPr>
          <w:rFonts w:eastAsia="宋体"/>
          <w:szCs w:val="20"/>
          <w:lang w:eastAsia="zh-CN"/>
        </w:rPr>
        <w:t xml:space="preserve">SS/PBCH block transmission resources the UE shall assume that </w:t>
      </w:r>
      <w:r>
        <w:rPr>
          <w:rFonts w:eastAsia="宋体"/>
          <w:color w:val="000000"/>
          <w:szCs w:val="20"/>
          <w:lang w:eastAsia="zh-CN"/>
        </w:rPr>
        <w:t xml:space="preserve">the PRBs containing </w:t>
      </w:r>
      <w:r>
        <w:rPr>
          <w:color w:val="FF0000"/>
          <w:szCs w:val="20"/>
        </w:rPr>
        <w:t>candidate</w:t>
      </w:r>
      <w:r>
        <w:rPr>
          <w:szCs w:val="20"/>
        </w:rPr>
        <w:t xml:space="preserve"> </w:t>
      </w:r>
      <w:r>
        <w:rPr>
          <w:rFonts w:eastAsia="宋体"/>
          <w:color w:val="000000"/>
          <w:szCs w:val="20"/>
          <w:lang w:eastAsia="zh-CN"/>
        </w:rPr>
        <w:t>SS/PBCH block transmission resources are not available for PDSCH</w:t>
      </w:r>
      <w:r>
        <w:rPr>
          <w:rFonts w:eastAsia="宋体"/>
          <w:szCs w:val="20"/>
          <w:lang w:eastAsia="zh-CN"/>
        </w:rPr>
        <w:t xml:space="preserve"> in the OFDM symbols where </w:t>
      </w:r>
      <w:r>
        <w:rPr>
          <w:color w:val="FF0000"/>
          <w:szCs w:val="20"/>
        </w:rPr>
        <w:t>candidate</w:t>
      </w:r>
      <w:r>
        <w:rPr>
          <w:szCs w:val="20"/>
        </w:rPr>
        <w:t xml:space="preserve"> </w:t>
      </w:r>
      <w:r>
        <w:rPr>
          <w:rFonts w:eastAsia="宋体"/>
          <w:szCs w:val="20"/>
          <w:lang w:eastAsia="zh-CN"/>
        </w:rPr>
        <w:t xml:space="preserve">SS/PBCH block </w:t>
      </w:r>
      <w:r>
        <w:rPr>
          <w:rFonts w:eastAsia="宋体"/>
          <w:strike/>
          <w:color w:val="FF0000"/>
          <w:szCs w:val="20"/>
          <w:lang w:eastAsia="zh-CN"/>
        </w:rPr>
        <w:t>is</w:t>
      </w:r>
      <w:r>
        <w:rPr>
          <w:rFonts w:eastAsia="宋体"/>
          <w:szCs w:val="20"/>
          <w:lang w:eastAsia="zh-CN"/>
        </w:rPr>
        <w:t xml:space="preserve"> </w:t>
      </w:r>
      <w:r>
        <w:rPr>
          <w:rFonts w:eastAsia="宋体"/>
          <w:color w:val="FF0000"/>
          <w:szCs w:val="20"/>
          <w:lang w:eastAsia="zh-CN"/>
        </w:rPr>
        <w:t>may be</w:t>
      </w:r>
      <w:r>
        <w:rPr>
          <w:rFonts w:eastAsia="宋体"/>
          <w:szCs w:val="20"/>
          <w:lang w:eastAsia="zh-CN"/>
        </w:rPr>
        <w:t xml:space="preserve"> transmitted.</w:t>
      </w:r>
    </w:p>
    <w:p w:rsidR="003C4E4D" w:rsidRDefault="00AA22B9">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3C4E4D" w:rsidRDefault="00AA22B9">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w:t>
      </w:r>
      <w:r>
        <w:rPr>
          <w:color w:val="000000"/>
          <w:szCs w:val="20"/>
        </w:rPr>
        <w:lastRenderedPageBreak/>
        <w:t xml:space="preserve">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3C4E4D" w:rsidRDefault="00AA22B9">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3C4E4D" w:rsidRDefault="00AA22B9">
      <w:pPr>
        <w:spacing w:after="120"/>
        <w:jc w:val="center"/>
        <w:rPr>
          <w:rFonts w:eastAsia="宋体"/>
          <w:bCs/>
          <w:color w:val="0000FF"/>
          <w:sz w:val="22"/>
          <w:lang w:eastAsia="zh-CN"/>
        </w:rPr>
      </w:pPr>
      <w:r>
        <w:rPr>
          <w:b/>
          <w:bCs/>
          <w:color w:val="FF0000"/>
          <w:sz w:val="22"/>
          <w:lang w:eastAsia="zh-CN"/>
        </w:rPr>
        <w:t>&lt;Unchanged parts are omitted&gt;</w:t>
      </w:r>
    </w:p>
    <w:p w:rsidR="003C4E4D" w:rsidRDefault="00AA22B9">
      <w:pPr>
        <w:spacing w:after="120"/>
        <w:rPr>
          <w:rFonts w:eastAsia="宋体"/>
          <w:lang w:eastAsia="zh-CN"/>
        </w:rPr>
      </w:pPr>
      <w:r>
        <w:rPr>
          <w:rFonts w:eastAsia="宋体"/>
          <w:lang w:eastAsia="zh-CN"/>
        </w:rPr>
        <w:t>--------------------------------------------------------- END -----------------------------------------------------------</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2.3: MIB interpretation of overlapping frequency bands</w:t>
      </w:r>
    </w:p>
    <w:p w:rsidR="003C4E4D" w:rsidRDefault="00AA22B9">
      <w:pPr>
        <w:rPr>
          <w:highlight w:val="yellow"/>
          <w:lang w:val="en-US" w:eastAsia="en-US"/>
        </w:rPr>
      </w:pPr>
      <w:r>
        <w:rPr>
          <w:lang w:val="en-US" w:eastAsia="en-US"/>
        </w:rPr>
        <w:t>[4], [5], and [6] consider the problem that a part of 6GHz band can be either licensed or unlicensed band depending on region.</w:t>
      </w:r>
    </w:p>
    <w:p w:rsidR="003C4E4D" w:rsidRDefault="00AA22B9">
      <w:pPr>
        <w:rPr>
          <w:lang w:eastAsia="en-US"/>
        </w:rPr>
      </w:pPr>
      <w:r>
        <w:rPr>
          <w:lang w:eastAsia="en-US"/>
        </w:rPr>
        <w:t xml:space="preserve">[4] </w:t>
      </w:r>
      <w:proofErr w:type="gramStart"/>
      <w:r>
        <w:rPr>
          <w:lang w:eastAsia="en-US"/>
        </w:rPr>
        <w:t>believes</w:t>
      </w:r>
      <w:proofErr w:type="gramEnd"/>
      <w:r>
        <w:rPr>
          <w:lang w:eastAsia="en-US"/>
        </w:rPr>
        <w:t xml:space="preserve"> the discussion is not in scope of Rel.16 and can be solved in RAN2 </w:t>
      </w:r>
      <w:proofErr w:type="spellStart"/>
      <w:r>
        <w:rPr>
          <w:lang w:eastAsia="en-US"/>
        </w:rPr>
        <w:t>ro</w:t>
      </w:r>
      <w:proofErr w:type="spellEnd"/>
      <w:r>
        <w:rPr>
          <w:lang w:eastAsia="en-US"/>
        </w:rPr>
        <w:t xml:space="preserve"> RAN4 in the future.</w:t>
      </w:r>
    </w:p>
    <w:p w:rsidR="003C4E4D" w:rsidRDefault="00AA22B9">
      <w:pPr>
        <w:rPr>
          <w:lang w:val="en-US" w:eastAsia="en-US"/>
        </w:rPr>
      </w:pPr>
      <w:r>
        <w:rPr>
          <w:lang w:val="en-US" w:eastAsia="en-US"/>
        </w:rPr>
        <w:t>In [5], the following options and proposals are provided:</w:t>
      </w:r>
    </w:p>
    <w:p w:rsidR="003C4E4D" w:rsidRDefault="00AA22B9">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rsidR="003C4E4D" w:rsidRDefault="00AA22B9">
      <w:pPr>
        <w:rPr>
          <w:lang w:eastAsia="en-US"/>
        </w:rPr>
      </w:pPr>
      <w:r>
        <w:rPr>
          <w:lang w:eastAsia="en-US"/>
        </w:rPr>
        <w:t>Option 2) A PBCH CRC scrambling, similar as for PDCCH, can be introduced, where the scrambling would be different depending on if the new MIB or legacy MIB interpretation should be used.</w:t>
      </w:r>
    </w:p>
    <w:p w:rsidR="003C4E4D" w:rsidRDefault="00AA22B9">
      <w:pPr>
        <w:rPr>
          <w:lang w:eastAsia="en-US"/>
        </w:rPr>
      </w:pPr>
      <w:r>
        <w:rPr>
          <w:lang w:eastAsia="en-US"/>
        </w:rPr>
        <w:t>Option 3) RAN4 can define non-overlapping GSCN points depending on which channel access requirements that apply to the band.</w:t>
      </w:r>
    </w:p>
    <w:p w:rsidR="003C4E4D" w:rsidRDefault="00AA22B9">
      <w:pPr>
        <w:rPr>
          <w:b/>
          <w:bCs/>
          <w:highlight w:val="yellow"/>
          <w:lang w:val="en-US" w:eastAsia="en-US"/>
        </w:rPr>
      </w:pPr>
      <w:r>
        <w:rPr>
          <w:b/>
          <w:bCs/>
          <w:lang w:val="en-US" w:eastAsia="en-US"/>
        </w:rPr>
        <w:t>Proposal in [5]. RAN1 should discuss the MIB interpretation ambiguity issue for overlapping frequency bands and agree on if and how the issue should be resolved.</w:t>
      </w:r>
    </w:p>
    <w:p w:rsidR="003C4E4D" w:rsidRDefault="00AA22B9">
      <w:pPr>
        <w:rPr>
          <w:rFonts w:eastAsia="Times New Roman"/>
          <w:b/>
          <w:iCs/>
          <w:snapToGrid/>
          <w:kern w:val="0"/>
          <w:szCs w:val="18"/>
        </w:rPr>
      </w:pPr>
      <w:r>
        <w:rPr>
          <w:rFonts w:eastAsia="Times New Roman"/>
          <w:b/>
          <w:iCs/>
          <w:snapToGrid/>
          <w:kern w:val="0"/>
          <w:szCs w:val="18"/>
        </w:rPr>
        <w:t xml:space="preserve">Proposal in [6]: The MIB interpretation ambiguity issue for overlapping frequency bands should be resolved. Different sync raster point are defined for licensed and unlicensed operation. </w:t>
      </w:r>
    </w:p>
    <w:p w:rsidR="003C4E4D" w:rsidRDefault="00AA22B9">
      <w:pPr>
        <w:rPr>
          <w:lang w:eastAsia="en-US"/>
        </w:rPr>
      </w:pPr>
      <w:r>
        <w:rPr>
          <w:lang w:eastAsia="en-US"/>
        </w:rPr>
        <w:t>TP to indicate allowed sync raster</w:t>
      </w:r>
    </w:p>
    <w:p w:rsidR="003C4E4D" w:rsidRDefault="00AA22B9">
      <w:pPr>
        <w:spacing w:after="120"/>
        <w:rPr>
          <w:rFonts w:eastAsia="宋体"/>
          <w:lang w:eastAsia="zh-CN"/>
        </w:rPr>
      </w:pPr>
      <w:r>
        <w:rPr>
          <w:rFonts w:eastAsia="宋体"/>
          <w:lang w:eastAsia="zh-CN"/>
        </w:rPr>
        <w:t>------------------------------------------------------TP1 TS 38.213 --------------------------------------------------------</w:t>
      </w:r>
    </w:p>
    <w:p w:rsidR="003C4E4D" w:rsidRDefault="00AA22B9">
      <w:pPr>
        <w:spacing w:after="120"/>
        <w:rPr>
          <w:rFonts w:eastAsia="Yu Mincho"/>
          <w:sz w:val="24"/>
          <w:szCs w:val="20"/>
        </w:rPr>
      </w:pPr>
      <w:r>
        <w:rPr>
          <w:rFonts w:eastAsia="Yu Mincho"/>
          <w:sz w:val="24"/>
          <w:szCs w:val="20"/>
        </w:rPr>
        <w:t>13   UE procedure for monitoring Type0-PDCCH CSS sets</w:t>
      </w:r>
    </w:p>
    <w:p w:rsidR="003C4E4D" w:rsidRDefault="00AA22B9">
      <w:pPr>
        <w:spacing w:after="120"/>
        <w:jc w:val="center"/>
        <w:rPr>
          <w:rFonts w:eastAsia="宋体"/>
          <w:b/>
          <w:bCs/>
          <w:color w:val="FF0000"/>
          <w:sz w:val="22"/>
          <w:lang w:eastAsia="zh-CN"/>
        </w:rPr>
      </w:pPr>
      <w:r>
        <w:rPr>
          <w:b/>
          <w:bCs/>
          <w:color w:val="FF0000"/>
          <w:sz w:val="22"/>
          <w:lang w:eastAsia="zh-CN"/>
        </w:rPr>
        <w:t>&lt;Unchanged parts are omitted&gt;</w:t>
      </w:r>
    </w:p>
    <w:p w:rsidR="003C4E4D" w:rsidRDefault="00AA22B9">
      <w:pPr>
        <w:textAlignment w:val="bottom"/>
      </w:pPr>
      <w:r>
        <w:t xml:space="preserve">If a UE detects a first SS/PBCH block and determines that a CORESET for Type0-PDCCH CSS set is not present, </w:t>
      </w:r>
      <w:r>
        <w:rPr>
          <w:rFonts w:eastAsia="等线"/>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zh-CN"/>
        </w:rPr>
        <w:drawing>
          <wp:inline distT="0" distB="0" distL="0" distR="0">
            <wp:extent cx="73342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7334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w:t>
      </w:r>
      <w:proofErr w:type="gramStart"/>
      <w:r>
        <w:t xml:space="preserve">as </w:t>
      </w:r>
      <w:proofErr w:type="gramEnd"/>
      <w:r>
        <w:rPr>
          <w:noProof/>
          <w:position w:val="-10"/>
          <w:lang w:val="en-US" w:eastAsia="zh-CN"/>
        </w:rPr>
        <w:drawing>
          <wp:inline distT="0" distB="0" distL="0" distR="0">
            <wp:extent cx="9144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457200" cy="2095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gramStart"/>
      <w:r>
        <w:t>is</w:t>
      </w:r>
      <w:proofErr w:type="gramEnd"/>
      <w:r>
        <w:t xml:space="preserve"> the GSCN of the first SS/PBCH block and </w:t>
      </w:r>
      <w:r>
        <w:rPr>
          <w:noProof/>
          <w:position w:val="-10"/>
          <w:lang w:val="en-US" w:eastAsia="zh-CN"/>
        </w:rPr>
        <w:drawing>
          <wp:inline distT="0" distB="0" distL="0" distR="0">
            <wp:extent cx="3619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is a GSCN offset provided by Table 13-16 for FR1 and Table 13-17 for FR2. </w:t>
      </w:r>
      <w:r>
        <w:rPr>
          <w:rFonts w:eastAsia="等线"/>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zh-CN"/>
        </w:rPr>
        <w:drawing>
          <wp:inline distT="0" distB="0" distL="0" distR="0">
            <wp:extent cx="7334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zh-CN"/>
        </w:rPr>
        <w:drawing>
          <wp:inline distT="0" distB="0" distL="0" distR="0">
            <wp:extent cx="9144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8125"/>
                    </a:xfrm>
                    <a:prstGeom prst="rect">
                      <a:avLst/>
                    </a:prstGeom>
                    <a:noFill/>
                    <a:ln>
                      <a:noFill/>
                    </a:ln>
                  </pic:spPr>
                </pic:pic>
              </a:graphicData>
            </a:graphic>
          </wp:inline>
        </w:drawing>
      </w:r>
      <w:r>
        <w:rPr>
          <w:color w:val="FF0000"/>
        </w:rPr>
        <w:t xml:space="preserve">. </w:t>
      </w:r>
      <w:r>
        <w:rPr>
          <w:noProof/>
          <w:color w:val="FF0000"/>
          <w:position w:val="-10"/>
          <w:lang w:val="en-US" w:eastAsia="zh-CN"/>
        </w:rPr>
        <w:drawing>
          <wp:inline distT="0" distB="0" distL="0" distR="0">
            <wp:extent cx="4572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rPr>
          <w:color w:val="FF0000"/>
        </w:rPr>
        <w:t xml:space="preserve"> </w:t>
      </w:r>
      <w:proofErr w:type="gramStart"/>
      <w:r>
        <w:rPr>
          <w:color w:val="FF0000"/>
        </w:rPr>
        <w:t>is</w:t>
      </w:r>
      <w:proofErr w:type="gramEnd"/>
      <w:r>
        <w:rPr>
          <w:color w:val="FF0000"/>
        </w:rPr>
        <w:t xml:space="preserve"> the GSCN of the first SS/PBCH block and </w:t>
      </w:r>
      <w:r>
        <w:rPr>
          <w:noProof/>
          <w:color w:val="FF0000"/>
          <w:position w:val="-10"/>
          <w:lang w:val="en-US" w:eastAsia="zh-CN"/>
        </w:rPr>
        <w:drawing>
          <wp:inline distT="0" distB="0" distL="0" distR="0">
            <wp:extent cx="3619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color w:val="FF0000"/>
        </w:rPr>
        <w:t xml:space="preserve"> is a GSCN offset provided by Table 13-16 for FR1.</w:t>
      </w:r>
      <w:r>
        <w:rPr>
          <w:rFonts w:eastAsia="等线"/>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3C4E4D" w:rsidRDefault="00AA22B9">
      <w:pPr>
        <w:rPr>
          <w:iCs/>
        </w:rPr>
      </w:pPr>
      <w:r>
        <w:lastRenderedPageBreak/>
        <w:t xml:space="preserve">If a UE detects a SS/PBCH block and determines that a CORESET for Type0-PDCCH CSS set is not present, and for </w:t>
      </w:r>
      <w:r>
        <w:rPr>
          <w:noProof/>
          <w:position w:val="-10"/>
          <w:lang w:val="en-US" w:eastAsia="zh-CN"/>
        </w:rPr>
        <w:drawing>
          <wp:inline distT="0" distB="0" distL="0" distR="0">
            <wp:extent cx="4572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zh-CN"/>
        </w:rPr>
        <w:drawing>
          <wp:inline distT="0" distB="0" distL="0" distR="0">
            <wp:extent cx="4572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209550"/>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zh-CN"/>
        </w:rPr>
        <w:drawing>
          <wp:inline distT="0" distB="0" distL="0" distR="0">
            <wp:extent cx="1924050" cy="2190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24050" cy="219075"/>
                    </a:xfrm>
                    <a:prstGeom prst="rect">
                      <a:avLst/>
                    </a:prstGeom>
                    <a:noFill/>
                    <a:ln>
                      <a:noFill/>
                    </a:ln>
                  </pic:spPr>
                </pic:pic>
              </a:graphicData>
            </a:graphic>
          </wp:inline>
        </w:drawing>
      </w:r>
      <w:r>
        <w:t xml:space="preserve">. </w:t>
      </w:r>
      <w:r>
        <w:rPr>
          <w:noProof/>
          <w:position w:val="-10"/>
          <w:lang w:val="en-US" w:eastAsia="zh-CN"/>
        </w:rPr>
        <w:drawing>
          <wp:inline distT="0" distB="0" distL="0" distR="0">
            <wp:extent cx="36195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proofErr w:type="gramStart"/>
      <w:r>
        <w:t>and</w:t>
      </w:r>
      <w:proofErr w:type="gramEnd"/>
      <w:r>
        <w:t xml:space="preserve"> </w:t>
      </w:r>
      <w:r>
        <w:rPr>
          <w:noProof/>
          <w:position w:val="-10"/>
          <w:lang w:val="en-US" w:eastAsia="zh-CN"/>
        </w:rPr>
        <w:drawing>
          <wp:inline distT="0" distB="0" distL="0" distR="0">
            <wp:extent cx="3619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w:t>
      </w:r>
      <w:proofErr w:type="gramStart"/>
      <w:r>
        <w:rPr>
          <w:lang w:eastAsia="ja-JP"/>
        </w:rPr>
        <w:t xml:space="preserve">is </w:t>
      </w:r>
      <w:proofErr w:type="gramEnd"/>
      <w:r>
        <w:rPr>
          <w:noProof/>
          <w:position w:val="-10"/>
          <w:lang w:val="en-US" w:eastAsia="zh-CN"/>
        </w:rPr>
        <w:drawing>
          <wp:inline distT="0" distB="0" distL="0" distR="0">
            <wp:extent cx="10763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3C4E4D" w:rsidRDefault="00AA22B9">
      <w:r>
        <w:t>If a UE does not detect any SS/PBCH block providing a CORESET for Type0-PDCCH CSS set, as described in Clause 4.1, within a time period determined by the UE, the UE may ignore the information related to GSCN of SS/PBCH locations in performing cell search.</w:t>
      </w:r>
    </w:p>
    <w:p w:rsidR="003C4E4D" w:rsidRDefault="00AA22B9">
      <w:pPr>
        <w:pStyle w:val="TH"/>
        <w:rPr>
          <w:rFonts w:ascii="Times New Roman" w:hAnsi="Times New Roman"/>
        </w:rPr>
      </w:pPr>
      <w:r>
        <w:rPr>
          <w:rFonts w:ascii="Times New Roman" w:hAnsi="Times New Roman"/>
        </w:rPr>
        <w:t xml:space="preserve">Table 13-16: Mapping between the combination of </w:t>
      </w:r>
      <w:r>
        <w:rPr>
          <w:rFonts w:ascii="Times New Roman" w:hAnsi="Times New Roman"/>
          <w:noProof/>
          <w:position w:val="-10"/>
          <w:lang w:val="en-US" w:eastAsia="zh-CN"/>
        </w:rPr>
        <w:drawing>
          <wp:inline distT="0" distB="0" distL="0" distR="0">
            <wp:extent cx="2762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276225"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24</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25</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26</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513, 514, …., 768</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-1, -2, …, -256</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-257, -258, …, -512</w:t>
            </w:r>
          </w:p>
        </w:tc>
      </w:tr>
      <w:tr w:rsidR="003C4E4D">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3C4E4D" w:rsidRDefault="00AA22B9">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3C4E4D" w:rsidRDefault="00AA22B9">
            <w:pPr>
              <w:keepNext/>
              <w:keepLines/>
              <w:jc w:val="center"/>
            </w:pPr>
            <w:r>
              <w:t>0, 1, …, 255</w:t>
            </w:r>
          </w:p>
        </w:tc>
        <w:tc>
          <w:tcPr>
            <w:tcW w:w="3600" w:type="dxa"/>
            <w:tcBorders>
              <w:top w:val="single" w:sz="4" w:space="0" w:color="auto"/>
              <w:bottom w:val="single" w:sz="4" w:space="0" w:color="auto"/>
            </w:tcBorders>
            <w:vAlign w:val="center"/>
          </w:tcPr>
          <w:p w:rsidR="003C4E4D" w:rsidRDefault="00AA22B9">
            <w:pPr>
              <w:keepNext/>
              <w:keepLines/>
              <w:jc w:val="center"/>
            </w:pPr>
            <w:r>
              <w:t>-513, -514, …., -768</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30</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AA22B9">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zh-CN"/>
        </w:rPr>
        <w:drawing>
          <wp:inline distT="0" distB="0" distL="0" distR="0">
            <wp:extent cx="2762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zh-CN"/>
        </w:rPr>
        <w:drawing>
          <wp:inline distT="0" distB="0" distL="0" distR="0">
            <wp:extent cx="36195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3C4E4D">
        <w:trPr>
          <w:cantSplit/>
        </w:trPr>
        <w:tc>
          <w:tcPr>
            <w:tcW w:w="1620" w:type="dxa"/>
            <w:tcBorders>
              <w:bottom w:val="double" w:sz="4" w:space="0" w:color="auto"/>
              <w:right w:val="double" w:sz="4" w:space="0" w:color="auto"/>
            </w:tcBorders>
            <w:shd w:val="clear" w:color="auto" w:fill="E0E0E0"/>
            <w:vAlign w:val="center"/>
          </w:tcPr>
          <w:p w:rsidR="003C4E4D" w:rsidRDefault="00AA22B9">
            <w:pPr>
              <w:keepNext/>
              <w:keepLines/>
              <w:jc w:val="center"/>
              <w:rPr>
                <w:b/>
              </w:rPr>
            </w:pPr>
            <w:r>
              <w:rPr>
                <w:noProof/>
                <w:position w:val="-10"/>
                <w:lang w:val="en-US" w:eastAsia="zh-CN"/>
              </w:rPr>
              <w:drawing>
                <wp:inline distT="0" distB="0" distL="0" distR="0">
                  <wp:extent cx="2762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3C4E4D" w:rsidRDefault="00AA22B9">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3C4E4D" w:rsidRDefault="00AA22B9">
            <w:pPr>
              <w:keepNext/>
              <w:keepLines/>
              <w:jc w:val="center"/>
              <w:rPr>
                <w:b/>
              </w:rPr>
            </w:pPr>
            <w:r>
              <w:rPr>
                <w:b/>
                <w:noProof/>
                <w:position w:val="-10"/>
                <w:sz w:val="22"/>
                <w:lang w:val="en-US" w:eastAsia="zh-CN"/>
              </w:rPr>
              <w:drawing>
                <wp:inline distT="0" distB="0" distL="0" distR="0">
                  <wp:extent cx="3619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950" cy="238125"/>
                          </a:xfrm>
                          <a:prstGeom prst="rect">
                            <a:avLst/>
                          </a:prstGeom>
                          <a:noFill/>
                          <a:ln>
                            <a:noFill/>
                          </a:ln>
                        </pic:spPr>
                      </pic:pic>
                    </a:graphicData>
                  </a:graphic>
                </wp:inline>
              </w:drawing>
            </w:r>
          </w:p>
        </w:tc>
      </w:tr>
      <w:tr w:rsidR="003C4E4D">
        <w:trPr>
          <w:cantSplit/>
          <w:trHeight w:val="453"/>
        </w:trPr>
        <w:tc>
          <w:tcPr>
            <w:tcW w:w="1620" w:type="dxa"/>
            <w:tcBorders>
              <w:top w:val="double" w:sz="4" w:space="0" w:color="auto"/>
              <w:right w:val="double" w:sz="4" w:space="0" w:color="auto"/>
            </w:tcBorders>
            <w:shd w:val="clear" w:color="auto" w:fill="auto"/>
            <w:vAlign w:val="center"/>
          </w:tcPr>
          <w:p w:rsidR="003C4E4D" w:rsidRDefault="00AA22B9">
            <w:pPr>
              <w:keepNext/>
              <w:keepLines/>
              <w:jc w:val="center"/>
            </w:pPr>
            <w:r>
              <w:t>12</w:t>
            </w:r>
          </w:p>
        </w:tc>
        <w:tc>
          <w:tcPr>
            <w:tcW w:w="2700" w:type="dxa"/>
            <w:tcBorders>
              <w:top w:val="double" w:sz="4" w:space="0" w:color="auto"/>
              <w:left w:val="double" w:sz="4" w:space="0" w:color="auto"/>
            </w:tcBorders>
            <w:vAlign w:val="center"/>
          </w:tcPr>
          <w:p w:rsidR="003C4E4D" w:rsidRDefault="00AA22B9">
            <w:pPr>
              <w:keepNext/>
              <w:keepLines/>
              <w:jc w:val="center"/>
            </w:pPr>
            <w:r>
              <w:t>0, 1, …, 255</w:t>
            </w:r>
          </w:p>
        </w:tc>
        <w:tc>
          <w:tcPr>
            <w:tcW w:w="3600" w:type="dxa"/>
            <w:tcBorders>
              <w:top w:val="doub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13</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-1, -2, …, -256</w:t>
            </w:r>
          </w:p>
        </w:tc>
      </w:tr>
      <w:tr w:rsidR="003C4E4D">
        <w:trPr>
          <w:cantSplit/>
          <w:trHeight w:val="446"/>
        </w:trPr>
        <w:tc>
          <w:tcPr>
            <w:tcW w:w="1620" w:type="dxa"/>
            <w:tcBorders>
              <w:top w:val="single" w:sz="4" w:space="0" w:color="auto"/>
              <w:right w:val="double" w:sz="4" w:space="0" w:color="auto"/>
            </w:tcBorders>
            <w:shd w:val="clear" w:color="auto" w:fill="auto"/>
            <w:vAlign w:val="center"/>
          </w:tcPr>
          <w:p w:rsidR="003C4E4D" w:rsidRDefault="00AA22B9">
            <w:pPr>
              <w:keepNext/>
              <w:keepLines/>
              <w:jc w:val="center"/>
            </w:pPr>
            <w:r>
              <w:t>14</w:t>
            </w:r>
          </w:p>
        </w:tc>
        <w:tc>
          <w:tcPr>
            <w:tcW w:w="2700" w:type="dxa"/>
            <w:tcBorders>
              <w:top w:val="single" w:sz="4" w:space="0" w:color="auto"/>
              <w:left w:val="double" w:sz="4" w:space="0" w:color="auto"/>
            </w:tcBorders>
            <w:vAlign w:val="center"/>
          </w:tcPr>
          <w:p w:rsidR="003C4E4D" w:rsidRDefault="00AA22B9">
            <w:pPr>
              <w:keepNext/>
              <w:keepLines/>
              <w:jc w:val="center"/>
            </w:pPr>
            <w:r>
              <w:t>0, 1, …, 255</w:t>
            </w:r>
          </w:p>
        </w:tc>
        <w:tc>
          <w:tcPr>
            <w:tcW w:w="3600" w:type="dxa"/>
            <w:tcBorders>
              <w:top w:val="single" w:sz="4" w:space="0" w:color="auto"/>
            </w:tcBorders>
            <w:vAlign w:val="center"/>
          </w:tcPr>
          <w:p w:rsidR="003C4E4D" w:rsidRDefault="00AA22B9">
            <w:pPr>
              <w:keepNext/>
              <w:keepLines/>
              <w:jc w:val="center"/>
            </w:pPr>
            <w:r>
              <w:t>Reserved, Reserved, …, Reserved</w:t>
            </w:r>
          </w:p>
        </w:tc>
      </w:tr>
    </w:tbl>
    <w:p w:rsidR="003C4E4D" w:rsidRDefault="003C4E4D"/>
    <w:p w:rsidR="003C4E4D" w:rsidRDefault="003C4E4D">
      <w:pPr>
        <w:spacing w:after="120"/>
        <w:jc w:val="center"/>
        <w:rPr>
          <w:b/>
          <w:bCs/>
          <w:color w:val="FF0000"/>
          <w:sz w:val="22"/>
          <w:lang w:eastAsia="zh-CN"/>
        </w:rPr>
      </w:pPr>
    </w:p>
    <w:p w:rsidR="003C4E4D" w:rsidRDefault="00AA22B9">
      <w:pPr>
        <w:jc w:val="center"/>
        <w:rPr>
          <w:szCs w:val="28"/>
        </w:rPr>
      </w:pPr>
      <w:r>
        <w:rPr>
          <w:b/>
          <w:bCs/>
          <w:color w:val="FF0000"/>
          <w:sz w:val="22"/>
          <w:lang w:eastAsia="zh-CN"/>
        </w:rPr>
        <w:t>&lt;Unchanged parts are omitted&gt;</w:t>
      </w:r>
    </w:p>
    <w:p w:rsidR="003C4E4D" w:rsidRDefault="003C4E4D">
      <w:pPr>
        <w:spacing w:after="120"/>
        <w:jc w:val="center"/>
        <w:rPr>
          <w:b/>
          <w:bCs/>
          <w:color w:val="FF0000"/>
          <w:sz w:val="22"/>
          <w:lang w:eastAsia="zh-CN"/>
        </w:rPr>
      </w:pPr>
    </w:p>
    <w:p w:rsidR="003C4E4D" w:rsidRDefault="003C4E4D">
      <w:pPr>
        <w:rPr>
          <w:iCs/>
          <w:color w:val="000000"/>
          <w:lang w:eastAsia="zh-CN"/>
        </w:rPr>
      </w:pPr>
    </w:p>
    <w:p w:rsidR="003C4E4D" w:rsidRDefault="00AA22B9">
      <w:pPr>
        <w:spacing w:after="120"/>
        <w:rPr>
          <w:rFonts w:eastAsia="宋体"/>
          <w:lang w:eastAsia="zh-CN"/>
        </w:rPr>
      </w:pPr>
      <w:r>
        <w:rPr>
          <w:rFonts w:eastAsia="宋体"/>
          <w:lang w:eastAsia="zh-CN"/>
        </w:rPr>
        <w:t>--------------------------------------------------------- END -----------------------------------------------------------</w:t>
      </w:r>
    </w:p>
    <w:p w:rsidR="003C4E4D" w:rsidRDefault="00AA22B9">
      <w:pPr>
        <w:pStyle w:val="Heading1"/>
      </w:pPr>
      <w:r>
        <w:lastRenderedPageBreak/>
        <w:t>CSI-RS enhancements in DRS</w:t>
      </w:r>
    </w:p>
    <w:p w:rsidR="003C4E4D" w:rsidRDefault="00AA22B9">
      <w:pPr>
        <w:outlineLvl w:val="1"/>
        <w:rPr>
          <w:b/>
          <w:bCs/>
          <w:u w:val="single"/>
          <w:lang w:eastAsia="en-US"/>
        </w:rPr>
      </w:pPr>
      <w:r>
        <w:rPr>
          <w:b/>
          <w:bCs/>
          <w:u w:val="single"/>
          <w:lang w:eastAsia="en-US"/>
        </w:rPr>
        <w:t>Issue 3.1: On CSI-RS configuration enhancements:</w:t>
      </w:r>
    </w:p>
    <w:p w:rsidR="003C4E4D" w:rsidRDefault="00AA22B9">
      <w:pPr>
        <w:rPr>
          <w:lang w:eastAsia="en-US"/>
        </w:rPr>
      </w:pPr>
      <w:r>
        <w:rPr>
          <w:lang w:eastAsia="en-US"/>
        </w:rPr>
        <w:t>[2], [3], and [6] discussed CSI-RS configurations in NR-U.</w:t>
      </w:r>
    </w:p>
    <w:p w:rsidR="003C4E4D" w:rsidRDefault="00AA22B9">
      <w:pPr>
        <w:rPr>
          <w:highlight w:val="yellow"/>
          <w:lang w:eastAsia="en-US"/>
        </w:rPr>
      </w:pPr>
      <w:r>
        <w:rPr>
          <w:lang w:eastAsia="en-US"/>
        </w:rPr>
        <w:t>[2] and [3] believes CSI-RS configuration enhancements are not needed</w:t>
      </w:r>
    </w:p>
    <w:p w:rsidR="003C4E4D" w:rsidRDefault="00AA22B9">
      <w:pPr>
        <w:rPr>
          <w:lang w:eastAsia="en-US"/>
        </w:rPr>
      </w:pPr>
      <w:r>
        <w:rPr>
          <w:lang w:eastAsia="en-US"/>
        </w:rPr>
        <w:t>In [6], it is proposed to have different rules for CSI-RS QCL association inside and outside DRS window.</w:t>
      </w:r>
    </w:p>
    <w:p w:rsidR="003C4E4D" w:rsidRDefault="00AA22B9">
      <w:pPr>
        <w:pStyle w:val="BodyText"/>
        <w:rPr>
          <w:rFonts w:eastAsia="Times New Roman"/>
          <w:b/>
          <w:iCs/>
          <w:sz w:val="20"/>
          <w:szCs w:val="18"/>
        </w:rPr>
      </w:pPr>
      <w:r>
        <w:rPr>
          <w:rFonts w:eastAsia="Times New Roman"/>
          <w:b/>
          <w:iCs/>
          <w:sz w:val="20"/>
          <w:szCs w:val="18"/>
        </w:rPr>
        <w:t>Proposal in [6]: For the CSI-RS outside DRS window, the associated SSB index should be the SSB index, for the CSI-RS inside DRS window, the associated SSB should be the candidate SSB index.</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3.2: On CSI-RS validation in DRS</w:t>
      </w:r>
    </w:p>
    <w:p w:rsidR="003C4E4D" w:rsidRDefault="00AA22B9">
      <w:pPr>
        <w:rPr>
          <w:lang w:eastAsia="en-US"/>
        </w:rPr>
      </w:pPr>
      <w:r>
        <w:rPr>
          <w:lang w:eastAsia="en-US"/>
        </w:rPr>
        <w:t>[3], [4], and [7] discussed CSI-RS validation in DRS</w:t>
      </w:r>
    </w:p>
    <w:p w:rsidR="003C4E4D" w:rsidRDefault="00AA22B9">
      <w:pPr>
        <w:rPr>
          <w:bCs/>
          <w:iCs/>
        </w:rPr>
      </w:pPr>
      <w:r>
        <w:rPr>
          <w:bCs/>
          <w:iCs/>
        </w:rPr>
        <w:t xml:space="preserve">[4] </w:t>
      </w:r>
      <w:proofErr w:type="gramStart"/>
      <w:r>
        <w:rPr>
          <w:bCs/>
          <w:iCs/>
        </w:rPr>
        <w:t>believes</w:t>
      </w:r>
      <w:proofErr w:type="gramEnd"/>
      <w:r>
        <w:rPr>
          <w:bCs/>
          <w:iCs/>
        </w:rPr>
        <w:t xml:space="preserve"> no more discussion is needed in Release 16 for CSI-RS validation during DRS for RRM measurements.</w:t>
      </w:r>
    </w:p>
    <w:p w:rsidR="003C4E4D" w:rsidRDefault="00AA22B9">
      <w:pPr>
        <w:rPr>
          <w:lang w:eastAsia="en-US"/>
        </w:rPr>
      </w:pPr>
      <w:r>
        <w:rPr>
          <w:lang w:eastAsia="en-US"/>
        </w:rPr>
        <w:t>In [3], using SSB detection to validate the closest CSI-RS with same QCL is proposed</w:t>
      </w:r>
    </w:p>
    <w:p w:rsidR="003C4E4D" w:rsidRDefault="00AA22B9">
      <w:pPr>
        <w:rPr>
          <w:highlight w:val="yellow"/>
          <w:lang w:eastAsia="en-US"/>
        </w:rPr>
      </w:pPr>
      <w:r>
        <w:rPr>
          <w:lang w:eastAsia="en-US"/>
        </w:rPr>
        <w:t>In [7], it is proposed to use SSB detection to validate configured CSI-RS in the same slot with the same QCL is proposed</w:t>
      </w:r>
    </w:p>
    <w:p w:rsidR="003C4E4D" w:rsidRDefault="00AA22B9">
      <w:pPr>
        <w:rPr>
          <w:b/>
          <w:iCs/>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rsidR="003C4E4D" w:rsidRDefault="00AA22B9">
      <w:pPr>
        <w:spacing w:after="0"/>
        <w:rPr>
          <w:b/>
          <w:lang w:val="en-US" w:eastAsia="ja-JP"/>
        </w:rPr>
      </w:pPr>
      <w:r>
        <w:rPr>
          <w:b/>
          <w:lang w:val="en-US" w:eastAsia="ja-JP"/>
        </w:rPr>
        <w:t>Proposal in [7]: If a UE detects a SS/PBCH block, the UE assumes</w:t>
      </w:r>
    </w:p>
    <w:p w:rsidR="003C4E4D" w:rsidRDefault="00AA22B9">
      <w:pPr>
        <w:pStyle w:val="ListParagraph"/>
        <w:numPr>
          <w:ilvl w:val="0"/>
          <w:numId w:val="11"/>
        </w:numPr>
        <w:kinsoku/>
        <w:overflowPunct/>
        <w:adjustRightInd/>
        <w:spacing w:after="0"/>
        <w:jc w:val="both"/>
        <w:textAlignment w:val="auto"/>
        <w:rPr>
          <w:b/>
        </w:rPr>
      </w:pPr>
      <w:r>
        <w:rPr>
          <w:b/>
          <w:lang w:val="en-US"/>
        </w:rPr>
        <w:t>a</w:t>
      </w:r>
      <w:r>
        <w:rPr>
          <w:b/>
        </w:rPr>
        <w:t xml:space="preserve"> CSI-RS is transmitted, if it is configured in the slot as the detected SS/PBCH block and </w:t>
      </w:r>
      <w:proofErr w:type="spellStart"/>
      <w:r>
        <w:rPr>
          <w:b/>
        </w:rPr>
        <w:t>QCLed</w:t>
      </w:r>
      <w:proofErr w:type="spellEnd"/>
      <w:r>
        <w:rPr>
          <w:b/>
        </w:rPr>
        <w:t xml:space="preserve"> with the detected SS/PBCH block;</w:t>
      </w:r>
    </w:p>
    <w:p w:rsidR="003C4E4D" w:rsidRDefault="00AA22B9">
      <w:pPr>
        <w:pStyle w:val="ListParagraph"/>
        <w:numPr>
          <w:ilvl w:val="0"/>
          <w:numId w:val="11"/>
        </w:numPr>
        <w:kinsoku/>
        <w:overflowPunct/>
        <w:adjustRightInd/>
        <w:spacing w:after="180"/>
        <w:jc w:val="both"/>
        <w:textAlignment w:val="auto"/>
        <w:rPr>
          <w:b/>
        </w:rPr>
      </w:pPr>
      <w:proofErr w:type="gramStart"/>
      <w:r>
        <w:rPr>
          <w:b/>
        </w:rPr>
        <w:t>a</w:t>
      </w:r>
      <w:proofErr w:type="gramEnd"/>
      <w:r>
        <w:rPr>
          <w:b/>
        </w:rPr>
        <w:t xml:space="preserve"> CSI-RS is not transmitted, if it is configured in the slots containing candidate SS/PBCH block </w:t>
      </w:r>
      <w:proofErr w:type="spellStart"/>
      <w:r>
        <w:rPr>
          <w:b/>
        </w:rPr>
        <w:t>QCLed</w:t>
      </w:r>
      <w:proofErr w:type="spellEnd"/>
      <w:r>
        <w:rPr>
          <w:b/>
        </w:rPr>
        <w:t xml:space="preserve"> with the detected SS/PBCH block and </w:t>
      </w:r>
      <w:proofErr w:type="spellStart"/>
      <w:r>
        <w:rPr>
          <w:b/>
        </w:rPr>
        <w:t>QCLed</w:t>
      </w:r>
      <w:proofErr w:type="spellEnd"/>
      <w:r>
        <w:rPr>
          <w:b/>
        </w:rPr>
        <w:t xml:space="preserve"> with the candidate SS/PBCH block. </w:t>
      </w:r>
    </w:p>
    <w:p w:rsidR="003C4E4D" w:rsidRDefault="00AA22B9">
      <w:pPr>
        <w:rPr>
          <w:color w:val="FF0000"/>
        </w:rPr>
      </w:pPr>
      <w:r>
        <w:rPr>
          <w:color w:val="FF0000"/>
        </w:rPr>
        <w:t>=========================== Start of TP for TS 38.213 ===================================</w:t>
      </w:r>
    </w:p>
    <w:p w:rsidR="003C4E4D" w:rsidRDefault="00AA22B9">
      <w:pPr>
        <w:rPr>
          <w:ins w:id="119" w:author="JS" w:date="2020-08-09T20:56:00Z"/>
          <w:iCs/>
        </w:rPr>
      </w:pPr>
      <w:ins w:id="120" w:author="JS" w:date="2020-08-09T20:56:00Z">
        <w:r>
          <w:rPr>
            <w:iCs/>
          </w:rPr>
          <w:t xml:space="preserve">For operation with shared spectrum channel access, and for a set of symbols of a slot configured by higher layer parameters to receive CSI-RS, if the UE receives a SS/PBCH block within the slot, wherein the CSI-RS is configured to be </w:t>
        </w:r>
        <w:proofErr w:type="spellStart"/>
        <w:r>
          <w:rPr>
            <w:iCs/>
          </w:rPr>
          <w:t>QCLed</w:t>
        </w:r>
        <w:proofErr w:type="spellEnd"/>
        <w:r>
          <w:rPr>
            <w:iCs/>
          </w:rPr>
          <w:t xml:space="preserve"> with the received SS/PBCH block, the UE receives the CSI-RS. </w:t>
        </w:r>
      </w:ins>
    </w:p>
    <w:p w:rsidR="003C4E4D" w:rsidRDefault="00AA22B9">
      <w:pPr>
        <w:rPr>
          <w:ins w:id="121" w:author="JS" w:date="2020-08-09T20:56:00Z"/>
        </w:rPr>
      </w:pPr>
      <w:ins w:id="122" w:author="JS" w:date="2020-08-09T20:56:00Z">
        <w:r>
          <w:rPr>
            <w:iCs/>
          </w:rPr>
          <w:t xml:space="preserve">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w:t>
        </w:r>
        <w:proofErr w:type="spellStart"/>
        <w:r>
          <w:rPr>
            <w:iCs/>
          </w:rPr>
          <w:t>QCLed</w:t>
        </w:r>
        <w:proofErr w:type="spellEnd"/>
        <w:r>
          <w:rPr>
            <w:iCs/>
          </w:rPr>
          <w:t xml:space="preserve"> with the first SS/PBCH block, then the UE cancels the reception of CSI-RS.</w:t>
        </w:r>
      </w:ins>
    </w:p>
    <w:p w:rsidR="003C4E4D" w:rsidRDefault="00AA22B9">
      <w:pPr>
        <w:rPr>
          <w:color w:val="FF0000"/>
        </w:rPr>
      </w:pPr>
      <w:r>
        <w:rPr>
          <w:color w:val="FF0000"/>
        </w:rPr>
        <w:t>============================= End of TP for TS 38.213 ==================================</w:t>
      </w:r>
    </w:p>
    <w:p w:rsidR="003C4E4D" w:rsidRDefault="003C4E4D">
      <w:pPr>
        <w:rPr>
          <w:lang w:eastAsia="en-US"/>
        </w:rPr>
      </w:pPr>
    </w:p>
    <w:p w:rsidR="003C4E4D" w:rsidRDefault="00AA22B9">
      <w:pPr>
        <w:outlineLvl w:val="1"/>
        <w:rPr>
          <w:b/>
          <w:bCs/>
          <w:u w:val="single"/>
          <w:lang w:eastAsia="en-US"/>
        </w:rPr>
      </w:pPr>
      <w:r>
        <w:rPr>
          <w:b/>
          <w:bCs/>
          <w:u w:val="single"/>
          <w:lang w:eastAsia="en-US"/>
        </w:rPr>
        <w:t>Issue 3.3: On CSI-RS transmission in different slots within DRS with the same QCL</w:t>
      </w:r>
    </w:p>
    <w:p w:rsidR="003C4E4D" w:rsidRDefault="00AA22B9">
      <w:pPr>
        <w:rPr>
          <w:lang w:eastAsia="en-US"/>
        </w:rPr>
      </w:pPr>
      <w:r>
        <w:rPr>
          <w:lang w:eastAsia="en-US"/>
        </w:rPr>
        <w:t>In [3], it is further proposed to assume only one CSI-RS with the same QCL is transmitted in DRS window</w:t>
      </w:r>
    </w:p>
    <w:p w:rsidR="003C4E4D" w:rsidRDefault="00AA22B9">
      <w:pPr>
        <w:rPr>
          <w:b/>
          <w:iCs/>
        </w:rPr>
      </w:pPr>
      <w:r>
        <w:rPr>
          <w:b/>
          <w:iCs/>
        </w:rPr>
        <w:t>Proposal in [3]</w:t>
      </w:r>
      <w:r>
        <w:rPr>
          <w:b/>
          <w:iCs/>
          <w:lang w:eastAsia="zh-CN"/>
        </w:rPr>
        <w:t xml:space="preserve">: </w:t>
      </w:r>
      <w:r>
        <w:rPr>
          <w:b/>
          <w:iCs/>
        </w:rPr>
        <w:t xml:space="preserve">Once </w:t>
      </w:r>
      <w:proofErr w:type="spellStart"/>
      <w:r>
        <w:rPr>
          <w:b/>
          <w:iCs/>
        </w:rPr>
        <w:t>gNB</w:t>
      </w:r>
      <w:proofErr w:type="spellEnd"/>
      <w:r>
        <w:rPr>
          <w:b/>
          <w:iCs/>
        </w:rPr>
        <w:t xml:space="preserve"> transmits CSI-RS on a CSI-RS resource together with its corresponding SSB on a candidate SSB position, </w:t>
      </w:r>
      <w:proofErr w:type="spellStart"/>
      <w:r>
        <w:rPr>
          <w:b/>
          <w:iCs/>
        </w:rPr>
        <w:t>gNB</w:t>
      </w:r>
      <w:proofErr w:type="spellEnd"/>
      <w:r>
        <w:rPr>
          <w:b/>
          <w:iCs/>
        </w:rPr>
        <w:t xml:space="preserve"> can stop transmitting CSI-RS on the following CSI-RS resources corresponding to other candidate SSB positions with same SSB index in the same DRS window.</w:t>
      </w:r>
    </w:p>
    <w:p w:rsidR="003C4E4D" w:rsidRDefault="003C4E4D">
      <w:pPr>
        <w:rPr>
          <w:lang w:eastAsia="en-US"/>
        </w:rPr>
      </w:pPr>
    </w:p>
    <w:p w:rsidR="003C4E4D" w:rsidRDefault="00AA22B9">
      <w:pPr>
        <w:pStyle w:val="Heading1"/>
      </w:pPr>
      <w:r>
        <w:t>PRACH enhancements</w:t>
      </w:r>
    </w:p>
    <w:p w:rsidR="003C4E4D" w:rsidRDefault="00AA22B9">
      <w:pPr>
        <w:outlineLvl w:val="1"/>
        <w:rPr>
          <w:b/>
          <w:bCs/>
          <w:u w:val="single"/>
          <w:lang w:eastAsia="en-US"/>
        </w:rPr>
      </w:pPr>
      <w:r>
        <w:rPr>
          <w:b/>
          <w:bCs/>
          <w:u w:val="single"/>
          <w:lang w:eastAsia="en-US"/>
        </w:rPr>
        <w:t>Issue 4.1: LBT gap between PRACH</w:t>
      </w:r>
    </w:p>
    <w:p w:rsidR="003C4E4D" w:rsidRDefault="00AA22B9">
      <w:pPr>
        <w:rPr>
          <w:highlight w:val="yellow"/>
          <w:lang w:eastAsia="en-US"/>
        </w:rPr>
      </w:pPr>
      <w:r>
        <w:rPr>
          <w:lang w:eastAsia="en-US"/>
        </w:rPr>
        <w:t>In [1], it is proposed to add an LBT gap between PRACH with even or odd only RO being valid.</w:t>
      </w:r>
    </w:p>
    <w:p w:rsidR="003C4E4D" w:rsidRDefault="00AA22B9">
      <w:pPr>
        <w:pStyle w:val="Caption"/>
        <w:jc w:val="both"/>
      </w:pPr>
      <w:bookmarkStart w:id="123" w:name="_Ref21019640"/>
      <w:bookmarkStart w:id="124" w:name="PP12"/>
      <w:r>
        <w:t xml:space="preserve">Proposal in [1]: To reduce the PRACH delay caused by the blockage issue, LBT </w:t>
      </w:r>
      <w:r>
        <w:rPr>
          <w:rFonts w:eastAsiaTheme="minorEastAsia" w:hint="eastAsia"/>
          <w:lang w:eastAsia="zh-CN"/>
        </w:rPr>
        <w:t>g</w:t>
      </w:r>
      <w:r>
        <w:t xml:space="preserve">ap between RACH occasions should be supported, i.e. </w:t>
      </w:r>
      <w:bookmarkEnd w:id="123"/>
      <w:r>
        <w:t>only even or odd numbered time domain RACH occasions in a RACH slot are used based on existing PRACH configurations.</w:t>
      </w:r>
    </w:p>
    <w:p w:rsidR="003C4E4D" w:rsidRDefault="00AA22B9">
      <w:pPr>
        <w:spacing w:after="160"/>
      </w:pPr>
      <w:bookmarkStart w:id="125" w:name="_Hlk32419238"/>
      <w:r>
        <w:lastRenderedPageBreak/>
        <w:t>----------------------------------------TP1: Start TP for Section 8.1 of TS 38.213 -------------------------------------</w:t>
      </w:r>
    </w:p>
    <w:p w:rsidR="003C4E4D" w:rsidRDefault="00AA22B9">
      <w:pPr>
        <w:spacing w:after="180"/>
        <w:rPr>
          <w:rFonts w:eastAsia="等线"/>
          <w:szCs w:val="20"/>
        </w:rPr>
      </w:pPr>
      <w:r>
        <w:rPr>
          <w:rFonts w:eastAsia="等线"/>
          <w:szCs w:val="20"/>
        </w:rPr>
        <w:t xml:space="preserve">For unpaired spectrum, </w:t>
      </w:r>
    </w:p>
    <w:p w:rsidR="003C4E4D" w:rsidRDefault="00AA22B9">
      <w:pPr>
        <w:spacing w:after="180"/>
        <w:ind w:left="568" w:hanging="284"/>
        <w:rPr>
          <w:rFonts w:eastAsia="等线"/>
          <w:szCs w:val="20"/>
        </w:rPr>
      </w:pPr>
      <w:r>
        <w:rPr>
          <w:rFonts w:eastAsia="等线"/>
          <w:szCs w:val="20"/>
        </w:rPr>
        <w:t>-</w:t>
      </w:r>
      <w:r>
        <w:rPr>
          <w:rFonts w:eastAsia="等线"/>
          <w:szCs w:val="20"/>
        </w:rPr>
        <w:tab/>
        <w:t xml:space="preserve">if a UE is not provided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3C4E4D" w:rsidRDefault="00AA22B9">
      <w:pPr>
        <w:spacing w:after="180"/>
        <w:ind w:left="851" w:hanging="284"/>
        <w:rPr>
          <w:rFonts w:eastAsia="等线"/>
          <w:szCs w:val="20"/>
          <w:lang w:eastAsia="zh-CN"/>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proofErr w:type="spellStart"/>
      <w:r>
        <w:rPr>
          <w:rFonts w:eastAsia="等线"/>
          <w:i/>
          <w:szCs w:val="20"/>
        </w:rPr>
        <w:t>ServingCellConfigCommon</w:t>
      </w:r>
      <w:proofErr w:type="spellEnd"/>
      <w:r>
        <w:rPr>
          <w:rFonts w:eastAsia="等线"/>
          <w:szCs w:val="20"/>
          <w:lang w:eastAsia="zh-CN"/>
        </w:rPr>
        <w:t xml:space="preserve"> </w:t>
      </w:r>
    </w:p>
    <w:p w:rsidR="003C4E4D" w:rsidRDefault="00AA22B9">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w:t>
      </w:r>
    </w:p>
    <w:p w:rsidR="003C4E4D" w:rsidRDefault="00AA22B9">
      <w:pPr>
        <w:spacing w:after="180"/>
        <w:ind w:left="851" w:hanging="284"/>
        <w:rPr>
          <w:rFonts w:eastAsia="等线"/>
          <w:szCs w:val="20"/>
        </w:rPr>
      </w:pPr>
      <w:r>
        <w:rPr>
          <w:rFonts w:eastAsia="等线"/>
          <w:szCs w:val="20"/>
        </w:rPr>
        <w:t>-</w:t>
      </w:r>
      <w:r>
        <w:rPr>
          <w:rFonts w:eastAsia="等线"/>
          <w:szCs w:val="20"/>
        </w:rPr>
        <w:tab/>
      </w:r>
      <w:proofErr w:type="gramStart"/>
      <w:r>
        <w:rPr>
          <w:rFonts w:eastAsia="等线"/>
          <w:szCs w:val="20"/>
        </w:rPr>
        <w:t>it</w:t>
      </w:r>
      <w:proofErr w:type="gramEnd"/>
      <w:r>
        <w:rPr>
          <w:rFonts w:eastAsia="等线"/>
          <w:szCs w:val="20"/>
        </w:rPr>
        <w:t xml:space="preserve"> is within UL symbols, or </w:t>
      </w:r>
    </w:p>
    <w:p w:rsidR="003C4E4D" w:rsidRDefault="00AA22B9">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proofErr w:type="spellStart"/>
      <w:r>
        <w:rPr>
          <w:rFonts w:eastAsia="等线"/>
          <w:i/>
          <w:szCs w:val="20"/>
        </w:rPr>
        <w:t>semistatic</w:t>
      </w:r>
      <w:proofErr w:type="spellEnd"/>
      <w:r>
        <w:rPr>
          <w:rFonts w:eastAsia="等线"/>
          <w:szCs w:val="20"/>
        </w:rPr>
        <w:t xml:space="preserve"> is provided, does not overlap with a set of consecutive symbols before the start of a next channel occupancy time where there shall not be any transmissions, as described in [15, TS 37.213]</w:t>
      </w:r>
    </w:p>
    <w:p w:rsidR="003C4E4D" w:rsidRDefault="00AA22B9">
      <w:pPr>
        <w:spacing w:after="160"/>
        <w:ind w:left="800"/>
        <w:rPr>
          <w:rFonts w:eastAsia="等线"/>
          <w:szCs w:val="20"/>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proofErr w:type="spellStart"/>
      <w:r>
        <w:rPr>
          <w:rFonts w:eastAsia="等线"/>
          <w:i/>
          <w:szCs w:val="20"/>
        </w:rPr>
        <w:t>ServingCellConfigCommon</w:t>
      </w:r>
      <w:proofErr w:type="spellEnd"/>
      <w:r>
        <w:rPr>
          <w:rFonts w:eastAsia="等线"/>
          <w:szCs w:val="20"/>
        </w:rPr>
        <w:t>.</w:t>
      </w:r>
    </w:p>
    <w:p w:rsidR="003C4E4D" w:rsidRDefault="00AA22B9">
      <w:pPr>
        <w:spacing w:after="160"/>
        <w:ind w:left="800"/>
        <w:rPr>
          <w:rFonts w:eastAsia="等线"/>
          <w:szCs w:val="20"/>
        </w:rPr>
      </w:pPr>
      <w:r>
        <w:rPr>
          <w:rFonts w:eastAsia="等线"/>
          <w:szCs w:val="20"/>
          <w:lang w:eastAsia="zh-CN"/>
        </w:rPr>
        <w:t>-</w:t>
      </w:r>
      <w:r>
        <w:rPr>
          <w:rFonts w:eastAsia="等线"/>
          <w:szCs w:val="20"/>
          <w:lang w:eastAsia="zh-CN"/>
        </w:rPr>
        <w:tab/>
      </w:r>
      <w:r>
        <w:rPr>
          <w:rFonts w:eastAsia="等线"/>
          <w:color w:val="FF0000"/>
          <w:szCs w:val="20"/>
          <w:u w:val="single"/>
          <w:lang w:eastAsia="zh-CN"/>
        </w:rPr>
        <w:t xml:space="preserve">when operation with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bookmarkEnd w:id="125"/>
    <w:p w:rsidR="003C4E4D" w:rsidRDefault="00AA22B9">
      <w:pPr>
        <w:spacing w:after="160"/>
      </w:pPr>
      <w:r>
        <w:t>----------------------------------------TP1: End TP for Section 8.1 of TS 38.213 -------------------------------------</w:t>
      </w:r>
    </w:p>
    <w:bookmarkEnd w:id="124"/>
    <w:p w:rsidR="003C4E4D" w:rsidRDefault="00AA22B9">
      <w:pPr>
        <w:outlineLvl w:val="1"/>
        <w:rPr>
          <w:b/>
          <w:bCs/>
          <w:u w:val="single"/>
          <w:lang w:eastAsia="en-US"/>
        </w:rPr>
      </w:pPr>
      <w:r>
        <w:rPr>
          <w:b/>
          <w:bCs/>
          <w:u w:val="single"/>
          <w:lang w:eastAsia="en-US"/>
        </w:rPr>
        <w:t>Issue 4.2: RO validation in FBE</w:t>
      </w:r>
    </w:p>
    <w:p w:rsidR="003C4E4D" w:rsidRDefault="00AA22B9">
      <w:pPr>
        <w:rPr>
          <w:lang w:eastAsia="en-US"/>
        </w:rPr>
      </w:pPr>
      <w:r>
        <w:rPr>
          <w:lang w:eastAsia="en-US"/>
        </w:rPr>
        <w:t>In [6], it is proposed to further validate RO with RMSI location</w:t>
      </w:r>
    </w:p>
    <w:p w:rsidR="003C4E4D" w:rsidRDefault="00AA22B9">
      <w:pPr>
        <w:pStyle w:val="BodyText"/>
        <w:rPr>
          <w:rFonts w:eastAsia="Times New Roman"/>
          <w:b/>
          <w:iCs/>
        </w:rPr>
      </w:pPr>
      <w:r>
        <w:rPr>
          <w:rFonts w:eastAsia="Times New Roman"/>
          <w:b/>
          <w:iCs/>
        </w:rPr>
        <w:t>Proposal 1 in [6]: If a PRACH occasion is overlapped (fully or partially) with a slot which contains RMSI, the PRACH occasion should be treated as invalid PRACH occasion.</w:t>
      </w:r>
    </w:p>
    <w:p w:rsidR="003C4E4D" w:rsidRDefault="00AA22B9">
      <w:pPr>
        <w:pStyle w:val="BodyText"/>
        <w:rPr>
          <w:rFonts w:eastAsia="Times New Roman"/>
          <w:b/>
          <w:iCs/>
        </w:rPr>
      </w:pPr>
      <w:r>
        <w:rPr>
          <w:rFonts w:eastAsia="Times New Roman"/>
          <w:b/>
          <w:iCs/>
        </w:rPr>
        <w:t xml:space="preserve">Proposal 2 in [6]: If long PRACH sequence is configured, UE is not expected to be configured with </w:t>
      </w:r>
      <w:proofErr w:type="spellStart"/>
      <w:r>
        <w:rPr>
          <w:rFonts w:eastAsia="Times New Roman"/>
          <w:b/>
          <w:iCs/>
        </w:rPr>
        <w:t>FDMed</w:t>
      </w:r>
      <w:proofErr w:type="spellEnd"/>
      <w:r>
        <w:rPr>
          <w:rFonts w:eastAsia="Times New Roman"/>
          <w:b/>
          <w:iCs/>
        </w:rPr>
        <w:t xml:space="preserve"> PRACH occasions.</w:t>
      </w:r>
    </w:p>
    <w:p w:rsidR="003C4E4D" w:rsidRDefault="003C4E4D">
      <w:pPr>
        <w:rPr>
          <w:highlight w:val="yellow"/>
          <w:lang w:eastAsia="en-US"/>
        </w:rPr>
      </w:pPr>
    </w:p>
    <w:p w:rsidR="003C4E4D" w:rsidRDefault="00AA22B9">
      <w:pPr>
        <w:outlineLvl w:val="1"/>
        <w:rPr>
          <w:b/>
          <w:bCs/>
          <w:u w:val="single"/>
          <w:lang w:eastAsia="en-US"/>
        </w:rPr>
      </w:pPr>
      <w:r>
        <w:rPr>
          <w:b/>
          <w:bCs/>
          <w:u w:val="single"/>
          <w:lang w:eastAsia="en-US"/>
        </w:rPr>
        <w:t>Issue 4.3: LBT for 2-step RACH</w:t>
      </w:r>
    </w:p>
    <w:p w:rsidR="003C4E4D" w:rsidRDefault="00AA22B9">
      <w:pPr>
        <w:rPr>
          <w:lang w:eastAsia="zh-CN"/>
        </w:rPr>
      </w:pPr>
      <w:r>
        <w:rPr>
          <w:lang w:eastAsia="zh-CN"/>
        </w:rPr>
        <w:t>In [8], further clarification on PO LBT requirement in 2-step RACH is provided</w:t>
      </w:r>
    </w:p>
    <w:p w:rsidR="003C4E4D" w:rsidRDefault="00AA22B9">
      <w:pPr>
        <w:spacing w:after="120"/>
        <w:rPr>
          <w:rFonts w:eastAsia="宋体"/>
          <w:b/>
          <w:iCs/>
          <w:szCs w:val="20"/>
          <w:lang w:eastAsia="zh-CN"/>
        </w:rPr>
      </w:pPr>
      <w:r>
        <w:rPr>
          <w:rFonts w:eastAsia="宋体"/>
          <w:b/>
          <w:iCs/>
          <w:szCs w:val="20"/>
          <w:lang w:eastAsia="zh-CN"/>
        </w:rPr>
        <w:t>Proposal in [6]: In 2-step RACH, if a PO is within a COT initiated by a UE for PRACH transmission on an associated RO, for PUSCH transmission on the PO,</w:t>
      </w:r>
    </w:p>
    <w:p w:rsidR="003C4E4D" w:rsidRDefault="00AA22B9">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If the gap between the RO and the PO is smaller than 16</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2C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 xml:space="preserve">If the gap between the RO and the PO is </w:t>
      </w:r>
      <w:r>
        <w:rPr>
          <w:b/>
          <w:iCs/>
          <w:szCs w:val="20"/>
          <w:lang w:eastAsia="zh-CN"/>
        </w:rPr>
        <w:t>more than or equal to 16</w:t>
      </w:r>
      <m:oMath>
        <m:r>
          <m:rPr>
            <m:sty m:val="p"/>
          </m:rPr>
          <w:rPr>
            <w:rFonts w:ascii="Cambria Math" w:hAnsi="Cambria Math"/>
            <w:sz w:val="22"/>
          </w:rPr>
          <m:t xml:space="preserve"> us</m:t>
        </m:r>
      </m:oMath>
      <w:r>
        <w:rPr>
          <w:b/>
          <w:iCs/>
          <w:szCs w:val="20"/>
          <w:lang w:eastAsia="zh-CN"/>
        </w:rPr>
        <w:t xml:space="preserve"> but less than 25</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2B channel access procedure should be used.</w:t>
      </w:r>
    </w:p>
    <w:p w:rsidR="003C4E4D" w:rsidRDefault="00AA22B9">
      <w:pPr>
        <w:widowControl/>
        <w:numPr>
          <w:ilvl w:val="0"/>
          <w:numId w:val="12"/>
        </w:numPr>
        <w:kinsoku/>
        <w:overflowPunct/>
        <w:autoSpaceDE/>
        <w:autoSpaceDN/>
        <w:adjustRightInd/>
        <w:spacing w:after="120"/>
        <w:jc w:val="left"/>
        <w:textAlignment w:val="auto"/>
        <w:rPr>
          <w:rFonts w:eastAsia="宋体"/>
          <w:b/>
          <w:iCs/>
          <w:szCs w:val="20"/>
          <w:lang w:eastAsia="zh-CN"/>
        </w:rPr>
      </w:pPr>
      <w:r>
        <w:rPr>
          <w:rFonts w:eastAsia="宋体"/>
          <w:b/>
          <w:iCs/>
          <w:szCs w:val="20"/>
          <w:lang w:eastAsia="zh-CN"/>
        </w:rPr>
        <w:t xml:space="preserve">If the gap between the RO and the PO is more than </w:t>
      </w:r>
      <w:r>
        <w:rPr>
          <w:b/>
          <w:iCs/>
          <w:szCs w:val="20"/>
          <w:lang w:eastAsia="zh-CN"/>
        </w:rPr>
        <w:t xml:space="preserve">or equal to </w:t>
      </w:r>
      <w:r>
        <w:rPr>
          <w:rFonts w:eastAsia="宋体"/>
          <w:b/>
          <w:iCs/>
          <w:szCs w:val="20"/>
          <w:lang w:eastAsia="zh-CN"/>
        </w:rPr>
        <w:t>25</w:t>
      </w:r>
      <m:oMath>
        <m:r>
          <m:rPr>
            <m:sty m:val="p"/>
          </m:rPr>
          <w:rPr>
            <w:rFonts w:ascii="Cambria Math" w:hAnsi="Cambria Math"/>
            <w:sz w:val="22"/>
          </w:rPr>
          <m:t xml:space="preserve"> us</m:t>
        </m:r>
      </m:oMath>
      <w:r>
        <w:rPr>
          <w:b/>
          <w:iCs/>
          <w:szCs w:val="20"/>
        </w:rPr>
        <w:t xml:space="preserve">, </w:t>
      </w:r>
      <w:r>
        <w:rPr>
          <w:rFonts w:eastAsia="宋体"/>
          <w:b/>
          <w:iCs/>
          <w:szCs w:val="20"/>
          <w:lang w:eastAsia="zh-CN"/>
        </w:rPr>
        <w:t>type 2A channel access procedure should be used.</w:t>
      </w:r>
    </w:p>
    <w:p w:rsidR="003C4E4D" w:rsidRDefault="003C4E4D">
      <w:pPr>
        <w:rPr>
          <w:highlight w:val="yellow"/>
          <w:lang w:eastAsia="en-US"/>
        </w:rPr>
      </w:pPr>
    </w:p>
    <w:p w:rsidR="003C4E4D" w:rsidRDefault="00AA22B9">
      <w:pPr>
        <w:pStyle w:val="BodyText"/>
        <w:rPr>
          <w:rFonts w:eastAsia="宋体"/>
          <w:color w:val="0000FF"/>
          <w:lang w:eastAsia="zh-CN"/>
        </w:rPr>
      </w:pPr>
      <w:r>
        <w:rPr>
          <w:rFonts w:eastAsia="宋体"/>
          <w:color w:val="0000FF"/>
          <w:lang w:eastAsia="zh-CN"/>
        </w:rPr>
        <w:t>----------------------------------- TP4: Start of TP 37.213 section 4.2.1 ---------------------------------------------</w:t>
      </w:r>
    </w:p>
    <w:p w:rsidR="003C4E4D" w:rsidRDefault="00AA22B9">
      <w:pPr>
        <w:spacing w:after="120"/>
        <w:rPr>
          <w:sz w:val="28"/>
          <w:szCs w:val="20"/>
        </w:rPr>
      </w:pPr>
      <w:r>
        <w:rPr>
          <w:sz w:val="24"/>
        </w:rPr>
        <w:t>4.2.1</w:t>
      </w:r>
      <w:r>
        <w:rPr>
          <w:sz w:val="24"/>
        </w:rPr>
        <w:tab/>
        <w:t>Channel access procedures for uplink transmission(s)</w:t>
      </w:r>
    </w:p>
    <w:p w:rsidR="003C4E4D" w:rsidRDefault="00AA22B9">
      <w:pPr>
        <w:pStyle w:val="BodyText"/>
        <w:jc w:val="center"/>
        <w:rPr>
          <w:rFonts w:eastAsia="宋体"/>
          <w:color w:val="0000FF"/>
          <w:lang w:eastAsia="zh-CN"/>
        </w:rPr>
      </w:pPr>
      <w:r>
        <w:rPr>
          <w:rFonts w:eastAsia="宋体"/>
          <w:color w:val="0000FF"/>
          <w:lang w:eastAsia="zh-CN"/>
        </w:rPr>
        <w:t>&lt;Unchanged parts are omitted&gt;</w:t>
      </w:r>
    </w:p>
    <w:p w:rsidR="003C4E4D" w:rsidRDefault="00AA22B9">
      <w:pPr>
        <w:spacing w:after="180"/>
        <w:rPr>
          <w:szCs w:val="20"/>
        </w:rPr>
      </w:pPr>
      <w:r>
        <w:rPr>
          <w:rFonts w:eastAsia="Malgun Gothic"/>
          <w:szCs w:val="20"/>
        </w:rPr>
        <w:t xml:space="preserve">A UE shall use Type 1 channel access procedure for transmissions related to random access procedure that initiate a </w:t>
      </w:r>
      <w:r>
        <w:rPr>
          <w:rFonts w:eastAsia="Malgun Gothic"/>
          <w:szCs w:val="20"/>
        </w:rPr>
        <w:lastRenderedPageBreak/>
        <w:t xml:space="preserve">channel occupancy with </w:t>
      </w:r>
      <w:r>
        <w:rPr>
          <w:szCs w:val="20"/>
        </w:rPr>
        <w:t xml:space="preserve">UL channel access priority class </w:t>
      </w:r>
      <m:oMath>
        <m:r>
          <w:ins w:id="126" w:author="MCC: CR0005" w:date="2020-01-02T07:46:00Z">
            <w:rPr>
              <w:rFonts w:ascii="Cambria Math" w:hAnsi="Cambria Math"/>
            </w:rPr>
            <m:t>p</m:t>
          </w:ins>
        </m:r>
        <m:r>
          <w:ins w:id="127"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3C4E4D" w:rsidRDefault="00AA22B9">
      <w:pPr>
        <w:pStyle w:val="BodyText"/>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3C4E4D" w:rsidRDefault="00AA22B9">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3C4E4D" w:rsidRDefault="00AA22B9">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rsidR="003C4E4D" w:rsidRDefault="00AA22B9">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xml:space="preserve">, the UE can transmit the PUSCH on the channel after performing Type 2A UL channel access as described in </w:t>
      </w:r>
      <w:proofErr w:type="spellStart"/>
      <w:r>
        <w:rPr>
          <w:color w:val="FF0000"/>
        </w:rPr>
        <w:t>subclause</w:t>
      </w:r>
      <w:proofErr w:type="spellEnd"/>
      <w:r>
        <w:rPr>
          <w:color w:val="FF0000"/>
        </w:rPr>
        <w:t xml:space="preserve"> 4.2.1.2.1.</w:t>
      </w:r>
    </w:p>
    <w:p w:rsidR="003C4E4D" w:rsidRDefault="00AA22B9">
      <w:pPr>
        <w:pStyle w:val="BodyText"/>
        <w:jc w:val="center"/>
        <w:rPr>
          <w:rFonts w:eastAsia="宋体"/>
          <w:color w:val="0000FF"/>
          <w:lang w:eastAsia="zh-CN"/>
        </w:rPr>
      </w:pPr>
      <w:r>
        <w:rPr>
          <w:rFonts w:eastAsia="宋体"/>
          <w:color w:val="0000FF"/>
          <w:lang w:eastAsia="zh-CN"/>
        </w:rPr>
        <w:t>&lt;Unchanged parts are omitted&gt;</w:t>
      </w:r>
    </w:p>
    <w:p w:rsidR="003C4E4D" w:rsidRDefault="00AA22B9">
      <w:pPr>
        <w:pStyle w:val="BodyText"/>
        <w:rPr>
          <w:rFonts w:eastAsia="宋体"/>
          <w:color w:val="0000FF"/>
          <w:lang w:eastAsia="zh-CN"/>
        </w:rPr>
      </w:pPr>
      <w:r>
        <w:rPr>
          <w:rFonts w:eastAsia="宋体"/>
          <w:color w:val="0000FF"/>
          <w:lang w:eastAsia="zh-CN"/>
        </w:rPr>
        <w:t>----------------------------------------End of TP 37.213 section 4.2.1 ---------------------------------------------</w:t>
      </w:r>
    </w:p>
    <w:p w:rsidR="003C4E4D" w:rsidRDefault="003C4E4D">
      <w:pPr>
        <w:rPr>
          <w:lang w:eastAsia="zh-CN"/>
        </w:rPr>
      </w:pPr>
    </w:p>
    <w:p w:rsidR="003C4E4D" w:rsidRDefault="00AA22B9">
      <w:pPr>
        <w:outlineLvl w:val="1"/>
        <w:rPr>
          <w:b/>
          <w:bCs/>
          <w:u w:val="single"/>
          <w:lang w:eastAsia="en-US"/>
        </w:rPr>
      </w:pPr>
      <w:r>
        <w:rPr>
          <w:b/>
          <w:bCs/>
          <w:u w:val="single"/>
          <w:lang w:eastAsia="en-US"/>
        </w:rPr>
        <w:t>Issue 4.4: PRACH configuration in multiple RB sets</w:t>
      </w:r>
    </w:p>
    <w:p w:rsidR="003C4E4D" w:rsidRDefault="00AA22B9">
      <w:pPr>
        <w:spacing w:after="120" w:line="288" w:lineRule="auto"/>
        <w:rPr>
          <w:rFonts w:eastAsia="MS Mincho"/>
          <w:bCs/>
        </w:rPr>
      </w:pPr>
      <w:r>
        <w:rPr>
          <w:rFonts w:eastAsia="MS Mincho"/>
          <w:bCs/>
        </w:rPr>
        <w:t>In [7] (and [13]), [9] and [12], it is proposed to support FDM ROs in different RB sets</w:t>
      </w:r>
    </w:p>
    <w:p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3C4E4D" w:rsidRDefault="00AA22B9">
      <w:pPr>
        <w:spacing w:after="120" w:line="288" w:lineRule="auto"/>
        <w:rPr>
          <w:rFonts w:eastAsia="MS Mincho"/>
          <w:b/>
        </w:rPr>
      </w:pPr>
      <w:r>
        <w:rPr>
          <w:rFonts w:eastAsia="MS Mincho"/>
          <w:b/>
        </w:rPr>
        <w:t>Proposal in [7]: Support RACH occasions over multiple consecutive RB sets based on</w:t>
      </w:r>
      <w:r>
        <w:rPr>
          <w:rFonts w:eastAsia="MS Mincho"/>
          <w:b/>
          <w:i/>
        </w:rPr>
        <w:t xml:space="preserve"> msg1-FDM</w:t>
      </w:r>
      <w:r>
        <w:rPr>
          <w:rFonts w:eastAsia="MS Mincho"/>
          <w:b/>
        </w:rPr>
        <w:t xml:space="preserve">. Confine one RACH occasion within one RB set by applying </w:t>
      </w:r>
      <w:r>
        <w:rPr>
          <w:rFonts w:eastAsia="MS Mincho"/>
          <w:b/>
          <w:i/>
        </w:rPr>
        <w:t xml:space="preserve">msg1-FrequencyStart </w:t>
      </w:r>
      <w:r>
        <w:rPr>
          <w:rFonts w:eastAsia="MS Mincho"/>
          <w:b/>
        </w:rPr>
        <w:t xml:space="preserve">to </w:t>
      </w:r>
      <w:proofErr w:type="spellStart"/>
      <w:r>
        <w:rPr>
          <w:rFonts w:eastAsia="MS Mincho"/>
          <w:b/>
          <w:i/>
        </w:rPr>
        <w:t>i</w:t>
      </w:r>
      <w:r>
        <w:rPr>
          <w:rFonts w:eastAsia="MS Mincho"/>
          <w:b/>
        </w:rPr>
        <w:t>-th</w:t>
      </w:r>
      <w:proofErr w:type="spellEnd"/>
      <w:r>
        <w:rPr>
          <w:rFonts w:eastAsia="MS Mincho"/>
          <w:b/>
        </w:rPr>
        <w:t xml:space="preserve"> </w:t>
      </w:r>
      <w:proofErr w:type="spellStart"/>
      <w:r>
        <w:rPr>
          <w:rFonts w:eastAsia="MS Mincho"/>
          <w:b/>
        </w:rPr>
        <w:t>FDMed</w:t>
      </w:r>
      <w:proofErr w:type="spellEnd"/>
      <w:r>
        <w:rPr>
          <w:rFonts w:eastAsia="MS Mincho"/>
          <w:b/>
        </w:rPr>
        <w:t xml:space="preserve"> RACH occasion (1&lt; </w:t>
      </w:r>
      <w:proofErr w:type="spellStart"/>
      <w:r>
        <w:rPr>
          <w:rFonts w:eastAsia="MS Mincho"/>
          <w:b/>
          <w:i/>
        </w:rPr>
        <w:t>i</w:t>
      </w:r>
      <w:proofErr w:type="spellEnd"/>
      <w:r>
        <w:rPr>
          <w:rFonts w:eastAsia="MS Mincho"/>
          <w:b/>
          <w:i/>
        </w:rPr>
        <w:t xml:space="preserve"> </w:t>
      </w:r>
      <w:r>
        <w:rPr>
          <w:rFonts w:ascii="宋体" w:eastAsia="宋体" w:hAnsi="宋体" w:hint="eastAsia"/>
          <w:b/>
          <w:lang w:eastAsia="zh-CN"/>
        </w:rPr>
        <w:t>≤</w:t>
      </w:r>
      <w:r>
        <w:rPr>
          <w:rFonts w:eastAsia="MS Mincho"/>
          <w:b/>
        </w:rPr>
        <w:t xml:space="preserve"> </w:t>
      </w:r>
      <w:r>
        <w:rPr>
          <w:rFonts w:eastAsia="MS Mincho"/>
          <w:b/>
          <w:i/>
        </w:rPr>
        <w:t>msg1-FDM</w:t>
      </w:r>
      <w:r>
        <w:rPr>
          <w:rFonts w:eastAsia="MS Mincho"/>
          <w:b/>
        </w:rPr>
        <w:t xml:space="preserve">) with the reference point of the start CRB </w:t>
      </w:r>
      <m:oMath>
        <m:r>
          <m:rPr>
            <m:sty m:val="bi"/>
          </m:rPr>
          <w:rPr>
            <w:rFonts w:ascii="Cambria Math" w:hAnsi="Cambria Math"/>
          </w:rPr>
          <m:t>R</m:t>
        </m:r>
        <m:sSubSup>
          <m:sSubSupPr>
            <m:ctrlPr>
              <w:rPr>
                <w:rFonts w:ascii="Cambria Math" w:hAnsi="Cambria Math"/>
                <w:b/>
                <w:i/>
              </w:rPr>
            </m:ctrlPr>
          </m:sSubSupPr>
          <m:e>
            <m:r>
              <m:rPr>
                <m:sty m:val="bi"/>
              </m:rPr>
              <w:rPr>
                <w:rFonts w:ascii="Cambria Math" w:hAnsi="Cambria Math"/>
              </w:rPr>
              <m:t>B</m:t>
            </m:r>
          </m:e>
          <m:sub>
            <m:r>
              <m:rPr>
                <m:sty m:val="bi"/>
              </m:rPr>
              <w:rPr>
                <w:rFonts w:ascii="Cambria Math" w:hAnsi="Cambria Math"/>
              </w:rPr>
              <m:t xml:space="preserve"> s,UL</m:t>
            </m:r>
          </m:sub>
          <m:sup>
            <m:r>
              <m:rPr>
                <m:sty m:val="bi"/>
              </m:rPr>
              <w:rPr>
                <w:rFonts w:ascii="Cambria Math" w:hAnsi="Cambria Math"/>
              </w:rPr>
              <m:t>start,μ</m:t>
            </m:r>
          </m:sup>
        </m:sSubSup>
      </m:oMath>
      <w:r>
        <w:rPr>
          <w:rFonts w:eastAsia="MS Mincho"/>
          <w:b/>
        </w:rPr>
        <w:t xml:space="preserve">of the RB set </w:t>
      </w:r>
      <w:r>
        <w:rPr>
          <w:rFonts w:eastAsia="MS Mincho"/>
          <w:b/>
          <w:i/>
        </w:rPr>
        <w:t>s.</w:t>
      </w:r>
    </w:p>
    <w:p w:rsidR="003C4E4D" w:rsidRDefault="00AA22B9">
      <w:pPr>
        <w:rPr>
          <w:color w:val="FF0000"/>
        </w:rPr>
      </w:pPr>
      <w:r>
        <w:rPr>
          <w:color w:val="FF0000"/>
        </w:rPr>
        <w:t>============================ Start of TP for TS 38.211 ===================================</w:t>
      </w:r>
    </w:p>
    <w:p w:rsidR="003C4E4D" w:rsidRDefault="00AA22B9">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128" w:name="_Toc45107380"/>
      <w:bookmarkStart w:id="129" w:name="_Toc36026541"/>
      <w:bookmarkStart w:id="130" w:name="_Toc29230282"/>
      <w:bookmarkStart w:id="131" w:name="_Toc26459634"/>
      <w:bookmarkStart w:id="132" w:name="_Toc19796408"/>
      <w:r>
        <w:rPr>
          <w:rFonts w:ascii="Arial" w:eastAsia="宋体" w:hAnsi="Arial" w:cs="Arial"/>
          <w:sz w:val="24"/>
          <w:lang w:eastAsia="zh-CN"/>
        </w:rPr>
        <w:t>OFDM baseband signal generation for PRACH</w:t>
      </w:r>
      <w:bookmarkEnd w:id="128"/>
      <w:bookmarkEnd w:id="129"/>
      <w:bookmarkEnd w:id="130"/>
      <w:bookmarkEnd w:id="131"/>
      <w:bookmarkEnd w:id="132"/>
    </w:p>
    <w:p w:rsidR="003C4E4D" w:rsidRDefault="00AA22B9">
      <w:r>
        <w:t xml:space="preserve">The time-continuous signal </w:t>
      </w:r>
      <w:r>
        <w:rPr>
          <w:position w:val="-12"/>
        </w:rPr>
        <w:object w:dxaOrig="783" w:dyaOrig="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33" o:title=""/>
          </v:shape>
          <o:OLEObject Type="Embed" ProgID="Equation.3" ShapeID="_x0000_i1025" DrawAspect="Content" ObjectID="_1658860121" r:id="rId34"/>
        </w:object>
      </w:r>
      <w:r>
        <w:t xml:space="preserve"> on antenna port </w:t>
      </w:r>
      <m:oMath>
        <m:r>
          <w:rPr>
            <w:rFonts w:ascii="Cambria Math" w:hAnsi="Cambria Math"/>
          </w:rPr>
          <m:t>p</m:t>
        </m:r>
      </m:oMath>
      <w:r>
        <w:t xml:space="preserve"> for PRACH is defined by</w:t>
      </w:r>
    </w:p>
    <w:p w:rsidR="003C4E4D" w:rsidRDefault="00AA0A4E">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33" w:author="Author">
        <w:r w:rsidR="00AA22B9">
          <w:rPr>
            <w:rFonts w:eastAsia="宋体" w:hint="eastAsia"/>
            <w:lang w:eastAsia="zh-CN"/>
          </w:rPr>
          <w:t>,</w:t>
        </w:r>
        <w:r w:rsidR="00AA22B9">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134" w:author="Author">
                <w:rPr>
                  <w:rFonts w:ascii="Cambria Math" w:eastAsia="Calibri" w:hAnsi="Cambria Math"/>
                  <w:sz w:val="22"/>
                  <w:szCs w:val="22"/>
                </w:rPr>
              </w:ins>
            </m:ctrlPr>
          </m:sSubPr>
          <m:e>
            <m:r>
              <w:ins w:id="135" w:author="Author">
                <w:rPr>
                  <w:rFonts w:ascii="Cambria Math" w:hAnsi="Cambria Math"/>
                </w:rPr>
                <m:t>k</m:t>
              </w:ins>
            </m:r>
          </m:e>
          <m:sub>
            <m:r>
              <w:ins w:id="136" w:author="Author">
                <m:rPr>
                  <m:sty m:val="p"/>
                </m:rPr>
                <w:rPr>
                  <w:rFonts w:ascii="Cambria Math" w:hAnsi="Cambria Math"/>
                </w:rPr>
                <m:t>1</m:t>
              </w:ins>
            </m:r>
          </m:sub>
        </m:sSub>
        <m:r>
          <w:ins w:id="137" w:author="Author">
            <m:rPr>
              <m:sty m:val="p"/>
              <m:aln/>
            </m:rPr>
            <w:rPr>
              <w:rFonts w:ascii="Cambria Math" w:hAnsi="Cambria Math"/>
            </w:rPr>
            <m:t>=</m:t>
          </w:ins>
        </m:r>
        <m:sSubSup>
          <m:sSubSupPr>
            <m:ctrlPr>
              <w:ins w:id="138" w:author="Author">
                <w:rPr>
                  <w:rFonts w:ascii="Cambria Math" w:eastAsia="Calibri" w:hAnsi="Cambria Math"/>
                  <w:sz w:val="22"/>
                  <w:szCs w:val="22"/>
                </w:rPr>
              </w:ins>
            </m:ctrlPr>
          </m:sSubSupPr>
          <m:e>
            <m:r>
              <w:ins w:id="139" w:author="Author">
                <w:rPr>
                  <w:rFonts w:ascii="Cambria Math" w:hAnsi="Cambria Math"/>
                </w:rPr>
                <m:t>k</m:t>
              </w:ins>
            </m:r>
          </m:e>
          <m:sub>
            <m:r>
              <w:ins w:id="140" w:author="Author">
                <m:rPr>
                  <m:sty m:val="p"/>
                </m:rPr>
                <w:rPr>
                  <w:rFonts w:ascii="Cambria Math" w:hAnsi="Cambria Math"/>
                </w:rPr>
                <m:t>0</m:t>
              </w:ins>
            </m:r>
          </m:sub>
          <m:sup>
            <m:r>
              <w:ins w:id="141" w:author="Author">
                <w:rPr>
                  <w:rFonts w:ascii="Cambria Math" w:hAnsi="Cambria Math"/>
                </w:rPr>
                <m:t>μ</m:t>
              </w:ins>
            </m:r>
          </m:sup>
        </m:sSubSup>
        <m:r>
          <w:ins w:id="142" w:author="Author">
            <m:rPr>
              <m:sty m:val="p"/>
            </m:rPr>
            <w:rPr>
              <w:rFonts w:ascii="Cambria Math" w:hAnsi="Cambria Math"/>
            </w:rPr>
            <m:t>+</m:t>
          </w:ins>
        </m:r>
        <m:d>
          <m:dPr>
            <m:ctrlPr>
              <w:ins w:id="143" w:author="Author">
                <w:rPr>
                  <w:rFonts w:ascii="Cambria Math" w:eastAsia="Calibri" w:hAnsi="Cambria Math"/>
                  <w:sz w:val="22"/>
                  <w:szCs w:val="22"/>
                </w:rPr>
              </w:ins>
            </m:ctrlPr>
          </m:dPr>
          <m:e>
            <m:sSubSup>
              <m:sSubSupPr>
                <m:ctrlPr>
                  <w:ins w:id="144" w:author="Author">
                    <w:rPr>
                      <w:rFonts w:ascii="Cambria Math" w:eastAsia="Calibri" w:hAnsi="Cambria Math"/>
                      <w:sz w:val="22"/>
                      <w:szCs w:val="22"/>
                    </w:rPr>
                  </w:ins>
                </m:ctrlPr>
              </m:sSubSupPr>
              <m:e>
                <m:r>
                  <w:ins w:id="145" w:author="Author">
                    <w:rPr>
                      <w:rFonts w:ascii="Cambria Math" w:hAnsi="Cambria Math"/>
                    </w:rPr>
                    <m:t>N</m:t>
                  </w:ins>
                </m:r>
              </m:e>
              <m:sub>
                <m:r>
                  <w:ins w:id="146" w:author="Author">
                    <m:rPr>
                      <m:nor/>
                    </m:rPr>
                    <m:t>BWP</m:t>
                  </w:ins>
                </m:r>
                <m:r>
                  <w:ins w:id="147" w:author="Author">
                    <m:rPr>
                      <m:sty m:val="p"/>
                    </m:rPr>
                    <w:rPr>
                      <w:rFonts w:ascii="Cambria Math" w:hAnsi="Cambria Math"/>
                    </w:rPr>
                    <m:t>,</m:t>
                  </w:ins>
                </m:r>
                <m:r>
                  <w:ins w:id="148" w:author="Author">
                    <w:rPr>
                      <w:rFonts w:ascii="Cambria Math" w:hAnsi="Cambria Math"/>
                    </w:rPr>
                    <m:t>i</m:t>
                  </w:ins>
                </m:r>
              </m:sub>
              <m:sup>
                <m:r>
                  <w:ins w:id="149" w:author="Author">
                    <m:rPr>
                      <m:nor/>
                    </m:rPr>
                    <m:t>start</m:t>
                  </w:ins>
                </m:r>
              </m:sup>
            </m:sSubSup>
            <m:r>
              <w:ins w:id="150" w:author="Author">
                <m:rPr>
                  <m:sty m:val="p"/>
                </m:rPr>
                <w:rPr>
                  <w:rFonts w:ascii="Cambria Math" w:hAnsi="Cambria Math"/>
                </w:rPr>
                <m:t>-</m:t>
              </w:ins>
            </m:r>
            <m:sSubSup>
              <m:sSubSupPr>
                <m:ctrlPr>
                  <w:ins w:id="151" w:author="Author">
                    <w:rPr>
                      <w:rFonts w:ascii="Cambria Math" w:eastAsia="Calibri" w:hAnsi="Cambria Math"/>
                      <w:sz w:val="22"/>
                      <w:szCs w:val="22"/>
                    </w:rPr>
                  </w:ins>
                </m:ctrlPr>
              </m:sSubSupPr>
              <m:e>
                <m:r>
                  <w:ins w:id="152" w:author="Author">
                    <w:rPr>
                      <w:rFonts w:ascii="Cambria Math" w:hAnsi="Cambria Math"/>
                    </w:rPr>
                    <m:t>N</m:t>
                  </w:ins>
                </m:r>
              </m:e>
              <m:sub>
                <m:r>
                  <w:ins w:id="153" w:author="Author">
                    <m:rPr>
                      <m:nor/>
                    </m:rPr>
                    <m:t>grid</m:t>
                  </w:ins>
                </m:r>
              </m:sub>
              <m:sup>
                <m:r>
                  <w:ins w:id="154" w:author="Author">
                    <m:rPr>
                      <m:nor/>
                    </m:rPr>
                    <m:t>start,</m:t>
                  </w:ins>
                </m:r>
                <m:r>
                  <w:ins w:id="155" w:author="Author">
                    <w:rPr>
                      <w:rFonts w:ascii="Cambria Math" w:hAnsi="Cambria Math"/>
                    </w:rPr>
                    <m:t>μ</m:t>
                  </w:ins>
                </m:r>
              </m:sup>
            </m:sSubSup>
          </m:e>
        </m:d>
        <m:sSubSup>
          <m:sSubSupPr>
            <m:ctrlPr>
              <w:ins w:id="156" w:author="Author">
                <w:rPr>
                  <w:rFonts w:ascii="Cambria Math" w:eastAsia="Calibri" w:hAnsi="Cambria Math"/>
                  <w:sz w:val="22"/>
                  <w:szCs w:val="22"/>
                </w:rPr>
              </w:ins>
            </m:ctrlPr>
          </m:sSubSupPr>
          <m:e>
            <m:r>
              <w:ins w:id="157" w:author="Author">
                <w:rPr>
                  <w:rFonts w:ascii="Cambria Math" w:hAnsi="Cambria Math"/>
                </w:rPr>
                <m:t>N</m:t>
              </w:ins>
            </m:r>
          </m:e>
          <m:sub>
            <m:r>
              <w:ins w:id="158" w:author="Author">
                <m:rPr>
                  <m:nor/>
                </m:rPr>
                <m:t>sc</m:t>
              </w:ins>
            </m:r>
          </m:sub>
          <m:sup>
            <m:r>
              <w:ins w:id="159" w:author="Author">
                <m:rPr>
                  <m:nor/>
                </m:rPr>
                <m:t>RB</m:t>
              </w:ins>
            </m:r>
          </m:sup>
        </m:sSubSup>
        <m:r>
          <w:ins w:id="160" w:author="Author">
            <m:rPr>
              <m:sty m:val="p"/>
            </m:rPr>
            <w:rPr>
              <w:rFonts w:ascii="Cambria Math" w:hAnsi="Cambria Math"/>
            </w:rPr>
            <m:t>+</m:t>
          </w:ins>
        </m:r>
        <m:sSubSup>
          <m:sSubSupPr>
            <m:ctrlPr>
              <w:ins w:id="161" w:author="Author">
                <w:rPr>
                  <w:rFonts w:ascii="Cambria Math" w:eastAsia="Calibri" w:hAnsi="Cambria Math"/>
                  <w:sz w:val="22"/>
                  <w:szCs w:val="22"/>
                </w:rPr>
              </w:ins>
            </m:ctrlPr>
          </m:sSubSupPr>
          <m:e>
            <m:r>
              <w:ins w:id="162" w:author="Author">
                <w:rPr>
                  <w:rFonts w:ascii="Cambria Math" w:hAnsi="Cambria Math"/>
                </w:rPr>
                <m:t>n</m:t>
              </w:ins>
            </m:r>
          </m:e>
          <m:sub>
            <m:r>
              <w:ins w:id="163" w:author="Author">
                <m:rPr>
                  <m:nor/>
                </m:rPr>
                <m:t>RA</m:t>
              </w:ins>
            </m:r>
          </m:sub>
          <m:sup>
            <m:r>
              <w:ins w:id="164" w:author="Author">
                <m:rPr>
                  <m:nor/>
                </m:rPr>
                <m:t>start</m:t>
              </w:ins>
            </m:r>
          </m:sup>
        </m:sSubSup>
        <m:sSubSup>
          <m:sSubSupPr>
            <m:ctrlPr>
              <w:ins w:id="165" w:author="Author">
                <w:rPr>
                  <w:rFonts w:ascii="Cambria Math" w:eastAsia="Calibri" w:hAnsi="Cambria Math"/>
                  <w:sz w:val="22"/>
                  <w:szCs w:val="22"/>
                </w:rPr>
              </w:ins>
            </m:ctrlPr>
          </m:sSubSupPr>
          <m:e>
            <m:r>
              <w:ins w:id="166" w:author="Author">
                <w:rPr>
                  <w:rFonts w:ascii="Cambria Math" w:hAnsi="Cambria Math"/>
                </w:rPr>
                <m:t>N</m:t>
              </w:ins>
            </m:r>
          </m:e>
          <m:sub>
            <m:r>
              <w:ins w:id="167" w:author="Author">
                <m:rPr>
                  <m:nor/>
                </m:rPr>
                <m:t>sc</m:t>
              </w:ins>
            </m:r>
          </m:sub>
          <m:sup>
            <m:r>
              <w:ins w:id="168" w:author="Author">
                <m:rPr>
                  <m:nor/>
                </m:rPr>
                <m:t>RB</m:t>
              </w:ins>
            </m:r>
          </m:sup>
        </m:sSubSup>
        <m:r>
          <w:ins w:id="169" w:author="Author">
            <m:rPr>
              <m:sty m:val="p"/>
            </m:rPr>
            <w:rPr>
              <w:rFonts w:ascii="Cambria Math" w:hAnsi="Cambria Math"/>
            </w:rPr>
            <m:t>+</m:t>
          </w:ins>
        </m:r>
        <m:r>
          <w:ins w:id="170" w:author="Author">
            <w:rPr>
              <w:rFonts w:ascii="Cambria Math" w:hAnsi="Cambria Math"/>
            </w:rPr>
            <m:t>R</m:t>
          </w:ins>
        </m:r>
        <m:sSubSup>
          <m:sSubSupPr>
            <m:ctrlPr>
              <w:ins w:id="171" w:author="Author">
                <w:rPr>
                  <w:rFonts w:ascii="Cambria Math" w:hAnsi="Cambria Math"/>
                  <w:i/>
                </w:rPr>
              </w:ins>
            </m:ctrlPr>
          </m:sSubSupPr>
          <m:e>
            <m:r>
              <w:ins w:id="172" w:author="Author">
                <w:rPr>
                  <w:rFonts w:ascii="Cambria Math" w:hAnsi="Cambria Math"/>
                </w:rPr>
                <m:t>B</m:t>
              </w:ins>
            </m:r>
          </m:e>
          <m:sub>
            <m:r>
              <w:ins w:id="173" w:author="Author">
                <w:rPr>
                  <w:rFonts w:ascii="Cambria Math" w:hAnsi="Cambria Math"/>
                </w:rPr>
                <m:t xml:space="preserve"> n</m:t>
              </w:ins>
            </m:r>
            <m:r>
              <w:ins w:id="174" w:author="Author">
                <m:rPr>
                  <m:nor/>
                </m:rPr>
                <m:t>RA</m:t>
              </w:ins>
            </m:r>
            <m:r>
              <w:ins w:id="175" w:author="Author">
                <w:rPr>
                  <w:rFonts w:ascii="Cambria Math" w:hAnsi="Cambria Math"/>
                </w:rPr>
                <m:t>,DL</m:t>
              </w:ins>
            </m:r>
          </m:sub>
          <m:sup>
            <m:r>
              <w:ins w:id="176" w:author="Author">
                <w:rPr>
                  <w:rFonts w:ascii="Cambria Math" w:hAnsi="Cambria Math"/>
                </w:rPr>
                <m:t>start,μ</m:t>
              </w:ins>
            </m:r>
          </m:sup>
        </m:sSubSup>
        <m:sSubSup>
          <m:sSubSupPr>
            <m:ctrlPr>
              <w:ins w:id="177" w:author="Author">
                <w:rPr>
                  <w:rFonts w:ascii="Cambria Math" w:eastAsia="Calibri" w:hAnsi="Cambria Math"/>
                  <w:sz w:val="22"/>
                  <w:szCs w:val="22"/>
                </w:rPr>
              </w:ins>
            </m:ctrlPr>
          </m:sSubSupPr>
          <m:e>
            <m:r>
              <w:ins w:id="178" w:author="Author">
                <w:rPr>
                  <w:rFonts w:ascii="Cambria Math" w:hAnsi="Cambria Math"/>
                </w:rPr>
                <m:t>N</m:t>
              </w:ins>
            </m:r>
          </m:e>
          <m:sub>
            <m:r>
              <w:ins w:id="179" w:author="Author">
                <m:rPr>
                  <m:nor/>
                </m:rPr>
                <m:t>sc</m:t>
              </w:ins>
            </m:r>
          </m:sub>
          <m:sup>
            <m:r>
              <w:ins w:id="180" w:author="Author">
                <m:rPr>
                  <m:nor/>
                </m:rPr>
                <m:t>RB</m:t>
              </w:ins>
            </m:r>
          </m:sup>
        </m:sSubSup>
        <m:r>
          <w:ins w:id="181" w:author="Author">
            <m:rPr>
              <m:sty m:val="p"/>
            </m:rPr>
            <w:rPr>
              <w:rFonts w:ascii="Cambria Math" w:hAnsi="Cambria Math"/>
            </w:rPr>
            <m:t>-</m:t>
          </w:ins>
        </m:r>
        <m:sSubSup>
          <m:sSubSupPr>
            <m:ctrlPr>
              <w:ins w:id="182" w:author="Author">
                <w:rPr>
                  <w:rFonts w:ascii="Cambria Math" w:eastAsia="Calibri" w:hAnsi="Cambria Math"/>
                  <w:sz w:val="22"/>
                  <w:szCs w:val="22"/>
                </w:rPr>
              </w:ins>
            </m:ctrlPr>
          </m:sSubSupPr>
          <m:e>
            <m:r>
              <w:ins w:id="183" w:author="Author">
                <w:rPr>
                  <w:rFonts w:ascii="Cambria Math" w:hAnsi="Cambria Math"/>
                </w:rPr>
                <m:t>N</m:t>
              </w:ins>
            </m:r>
          </m:e>
          <m:sub>
            <m:r>
              <w:ins w:id="184" w:author="Author">
                <m:rPr>
                  <m:nor/>
                </m:rPr>
                <m:t>grid</m:t>
              </w:ins>
            </m:r>
          </m:sub>
          <m:sup>
            <m:r>
              <w:ins w:id="185" w:author="Author">
                <m:rPr>
                  <m:nor/>
                </m:rPr>
                <m:t>size,</m:t>
              </w:ins>
            </m:r>
            <m:r>
              <w:ins w:id="186" w:author="Author">
                <w:rPr>
                  <w:rFonts w:ascii="Cambria Math" w:hAnsi="Cambria Math"/>
                </w:rPr>
                <m:t>μ</m:t>
              </w:ins>
            </m:r>
          </m:sup>
        </m:sSubSup>
        <m:f>
          <m:fPr>
            <m:type m:val="lin"/>
            <m:ctrlPr>
              <w:ins w:id="187" w:author="Author">
                <w:rPr>
                  <w:rFonts w:ascii="Cambria Math" w:eastAsia="Calibri" w:hAnsi="Cambria Math"/>
                  <w:sz w:val="22"/>
                  <w:szCs w:val="22"/>
                </w:rPr>
              </w:ins>
            </m:ctrlPr>
          </m:fPr>
          <m:num>
            <m:sSubSup>
              <m:sSubSupPr>
                <m:ctrlPr>
                  <w:ins w:id="188" w:author="Author">
                    <w:rPr>
                      <w:rFonts w:ascii="Cambria Math" w:eastAsia="Calibri" w:hAnsi="Cambria Math"/>
                      <w:sz w:val="22"/>
                      <w:szCs w:val="22"/>
                    </w:rPr>
                  </w:ins>
                </m:ctrlPr>
              </m:sSubSupPr>
              <m:e>
                <m:r>
                  <w:ins w:id="189" w:author="Author">
                    <w:rPr>
                      <w:rFonts w:ascii="Cambria Math" w:hAnsi="Cambria Math"/>
                    </w:rPr>
                    <m:t>N</m:t>
                  </w:ins>
                </m:r>
              </m:e>
              <m:sub>
                <m:r>
                  <w:ins w:id="190" w:author="Author">
                    <m:rPr>
                      <m:nor/>
                    </m:rPr>
                    <m:t>sc</m:t>
                  </w:ins>
                </m:r>
              </m:sub>
              <m:sup>
                <m:r>
                  <w:ins w:id="191" w:author="Author">
                    <m:rPr>
                      <m:nor/>
                    </m:rPr>
                    <m:t>RB</m:t>
                  </w:ins>
                </m:r>
              </m:sup>
            </m:sSubSup>
          </m:num>
          <m:den>
            <m:r>
              <w:ins w:id="192" w:author="Author">
                <m:rPr>
                  <m:sty m:val="p"/>
                </m:rPr>
                <w:rPr>
                  <w:rFonts w:ascii="Cambria Math" w:hAnsi="Cambria Math"/>
                </w:rPr>
                <m:t>2</m:t>
              </w:ins>
            </m:r>
          </m:den>
        </m:f>
      </m:oMath>
      <w:ins w:id="193" w:author="Author">
        <w:r w:rsidR="00AA22B9">
          <w:rPr>
            <w:rFonts w:eastAsia="宋体" w:hint="eastAsia"/>
            <w:lang w:eastAsia="zh-CN"/>
          </w:rPr>
          <w:t xml:space="preserve">, </w:t>
        </w:r>
        <w:r w:rsidR="00AA22B9">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3C4E4D" w:rsidRDefault="00AA22B9">
      <w:proofErr w:type="gramStart"/>
      <w:r>
        <w:t>where</w:t>
      </w:r>
      <w:proofErr w:type="gramEnd"/>
      <w:r>
        <w:t xml:space="preserve"> </w:t>
      </w:r>
      <w:r>
        <w:rPr>
          <w:position w:val="-12"/>
        </w:rPr>
        <w:object w:dxaOrig="2534" w:dyaOrig="380">
          <v:shape id="_x0000_i1026" type="#_x0000_t75" style="width:126.75pt;height:18.75pt" o:ole="">
            <v:imagedata r:id="rId35" o:title=""/>
          </v:shape>
          <o:OLEObject Type="Embed" ProgID="Equation.3" ShapeID="_x0000_i1026" DrawAspect="Content" ObjectID="_1658860122" r:id="rId36"/>
        </w:object>
      </w:r>
      <w:r>
        <w:t xml:space="preserve"> and </w:t>
      </w:r>
    </w:p>
    <w:p w:rsidR="003C4E4D" w:rsidRDefault="00AA22B9">
      <w:pPr>
        <w:pStyle w:val="B1"/>
      </w:pPr>
      <w:r>
        <w:t>-</w:t>
      </w:r>
      <w:r>
        <w:tab/>
      </w:r>
      <w:r>
        <w:rPr>
          <w:position w:val="-6"/>
        </w:rPr>
        <w:object w:dxaOrig="196" w:dyaOrig="300">
          <v:shape id="_x0000_i1027" type="#_x0000_t75" style="width:9.75pt;height:15pt" o:ole="">
            <v:imagedata r:id="rId37" o:title=""/>
          </v:shape>
          <o:OLEObject Type="Embed" ProgID="Equation.3" ShapeID="_x0000_i1027" DrawAspect="Content" ObjectID="_1658860123" r:id="rId38"/>
        </w:object>
      </w:r>
      <w:r>
        <w:t xml:space="preserve"> is given by clause 6.3.3; </w:t>
      </w:r>
    </w:p>
    <w:p w:rsidR="003C4E4D" w:rsidRDefault="00AA22B9">
      <w:pPr>
        <w:pStyle w:val="B1"/>
      </w:pPr>
      <w:r>
        <w:t>-</w:t>
      </w:r>
      <w:r>
        <w:tab/>
      </w:r>
      <w:r>
        <w:rPr>
          <w:position w:val="-10"/>
        </w:rPr>
        <w:object w:dxaOrig="300" w:dyaOrig="300">
          <v:shape id="_x0000_i1028" type="#_x0000_t75" style="width:15pt;height:15pt" o:ole="">
            <v:imagedata r:id="rId39" o:title=""/>
          </v:shape>
          <o:OLEObject Type="Embed" ProgID="Equation.3" ShapeID="_x0000_i1028" DrawAspect="Content" ObjectID="_1658860124" r:id="rId40"/>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39" o:title=""/>
          </v:shape>
          <o:OLEObject Type="Embed" ProgID="Equation.3" ShapeID="_x0000_i1029" DrawAspect="Content" ObjectID="_1658860125" r:id="rId41"/>
        </w:object>
      </w:r>
      <w:r>
        <w:t xml:space="preserve"> is the subcarrier spacing of the active uplink bandwidth part; </w:t>
      </w:r>
    </w:p>
    <w:p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rsidR="003C4E4D" w:rsidRDefault="00AA22B9">
      <w:pPr>
        <w:pStyle w:val="B1"/>
      </w:pPr>
      <w:r>
        <w:lastRenderedPageBreak/>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94"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95" w:author="Author">
                <w:rPr>
                  <w:rFonts w:ascii="Cambria Math" w:hAnsi="Cambria Math"/>
                  <w:i/>
                </w:rPr>
              </w:ins>
            </m:ctrlPr>
          </m:sSubSupPr>
          <m:e>
            <m:r>
              <w:ins w:id="196" w:author="Author">
                <w:rPr>
                  <w:rFonts w:ascii="Cambria Math" w:hAnsi="Cambria Math"/>
                </w:rPr>
                <m:t>n</m:t>
              </w:ins>
            </m:r>
          </m:e>
          <m:sub>
            <m:r>
              <w:ins w:id="197" w:author="Author">
                <m:rPr>
                  <m:nor/>
                </m:rPr>
                <w:rPr>
                  <w:rFonts w:ascii="Cambria Math" w:hAnsi="Cambria Math"/>
                </w:rPr>
                <m:t>RA</m:t>
              </w:ins>
            </m:r>
          </m:sub>
          <m:sup>
            <m:r>
              <w:ins w:id="198" w:author="Author">
                <m:rPr>
                  <m:nor/>
                </m:rPr>
                <w:rPr>
                  <w:rFonts w:ascii="Cambria Math" w:hAnsi="Cambria Math"/>
                </w:rPr>
                <m:t>start</m:t>
              </w:ins>
            </m:r>
          </m:sup>
        </m:sSubSup>
      </m:oMath>
      <w:ins w:id="199"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rsidR="003C4E4D" w:rsidRDefault="00AA22B9">
      <w:pPr>
        <w:pStyle w:val="B1"/>
        <w:rPr>
          <w:ins w:id="200"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3C4E4D" w:rsidRDefault="00AA22B9">
      <w:pPr>
        <w:pStyle w:val="B1"/>
      </w:pPr>
      <w:ins w:id="201"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w:t>
        </w:r>
        <w:proofErr w:type="spellStart"/>
        <w:r>
          <w:t>sion</w:t>
        </w:r>
        <w:proofErr w:type="spellEnd"/>
        <w:r>
          <w:t xml:space="preserve"> with index </w:t>
        </w:r>
        <w:r>
          <w:rPr>
            <w:noProof/>
            <w:position w:val="-10"/>
            <w:lang w:val="en-US" w:eastAsia="zh-CN"/>
            <w:rPrChange w:id="202" w:author="Unknown">
              <w:rPr>
                <w:noProof/>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3C4E4D" w:rsidRDefault="00AA22B9">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3C4E4D" w:rsidRDefault="00AA22B9">
      <w:pPr>
        <w:rPr>
          <w:color w:val="FF0000"/>
        </w:rPr>
      </w:pPr>
      <w:r>
        <w:rPr>
          <w:color w:val="FF0000"/>
        </w:rPr>
        <w:t>============================ End of TP for TS 38.211 ==================================</w:t>
      </w:r>
    </w:p>
    <w:p w:rsidR="003C4E4D" w:rsidRDefault="00AA22B9">
      <w:pPr>
        <w:rPr>
          <w:b/>
          <w:bCs/>
          <w:lang w:val="en-US"/>
        </w:rPr>
      </w:pPr>
      <w:r>
        <w:rPr>
          <w:b/>
          <w:bCs/>
          <w:lang w:val="en-US"/>
        </w:rPr>
        <w:t xml:space="preserve">Proposal 1 in [9]: In case when the long PRACH sequence (i.e., L_"RA" =1151 or L_"RA" =571) is configured, multiple </w:t>
      </w:r>
      <w:proofErr w:type="spellStart"/>
      <w:r>
        <w:rPr>
          <w:b/>
          <w:bCs/>
          <w:lang w:val="en-US"/>
        </w:rPr>
        <w:t>FDMed</w:t>
      </w:r>
      <w:proofErr w:type="spellEnd"/>
      <w:r>
        <w:rPr>
          <w:b/>
          <w:bCs/>
          <w:lang w:val="en-US"/>
        </w:rPr>
        <w:t xml:space="preserve"> ROs are supported in active UL BWP with multiple RB sets.</w:t>
      </w:r>
    </w:p>
    <w:p w:rsidR="003C4E4D" w:rsidRDefault="00AA22B9">
      <w:pPr>
        <w:rPr>
          <w:b/>
          <w:bCs/>
          <w:lang w:val="en-US"/>
        </w:rPr>
      </w:pPr>
      <w:r>
        <w:rPr>
          <w:b/>
          <w:bCs/>
          <w:lang w:val="en-US"/>
        </w:rPr>
        <w:t>Proposal 2 in [9]: In case when the multiple ROs are configured in active UL BWP with multiple RB sets, RO offset is supported, and each RO is allocated with a gap as much as the RO offset from the lowest indexed PRB of each RB set.</w:t>
      </w:r>
    </w:p>
    <w:p w:rsidR="003C4E4D" w:rsidRDefault="00AA22B9">
      <w:pPr>
        <w:rPr>
          <w:iCs/>
        </w:rPr>
      </w:pPr>
      <w:r>
        <w:rPr>
          <w:b/>
          <w:iCs/>
          <w:lang w:eastAsia="zh-CN"/>
        </w:rPr>
        <w:t>Observation in [10]: No correction is needed</w:t>
      </w:r>
      <w:r>
        <w:rPr>
          <w:iCs/>
        </w:rPr>
        <w:t xml:space="preserve"> </w:t>
      </w:r>
      <w:r>
        <w:rPr>
          <w:b/>
          <w:iCs/>
          <w:lang w:eastAsia="zh-CN"/>
        </w:rPr>
        <w:t>for the case where PRACH is configured in more than one RB set.</w:t>
      </w:r>
    </w:p>
    <w:p w:rsidR="003C4E4D" w:rsidRDefault="00AA22B9">
      <w:pPr>
        <w:rPr>
          <w:b/>
          <w:iCs/>
          <w:lang w:eastAsia="zh-CN"/>
        </w:rPr>
      </w:pPr>
      <w:r>
        <w:rPr>
          <w:b/>
          <w:iCs/>
          <w:lang w:eastAsia="zh-CN"/>
        </w:rPr>
        <w:t>Proposal in [11]: When PRACH is configured in more than one RB set, the RB set used for transmission of the PUSCH corresponding to Msg3 is the lowest indexed amongst the RB sets intersecting the PRACH allocation.</w:t>
      </w:r>
    </w:p>
    <w:p w:rsidR="003C4E4D" w:rsidRDefault="00AA22B9">
      <w:pPr>
        <w:rPr>
          <w:b/>
          <w:bCs/>
        </w:rPr>
      </w:pPr>
      <w:r>
        <w:rPr>
          <w:b/>
          <w:bCs/>
        </w:rPr>
        <w:t xml:space="preserve">Proposal in [12]: If the number of configured </w:t>
      </w:r>
      <w:proofErr w:type="spellStart"/>
      <w:r>
        <w:rPr>
          <w:b/>
          <w:bCs/>
        </w:rPr>
        <w:t>FDMed</w:t>
      </w:r>
      <w:proofErr w:type="spellEnd"/>
      <w:r>
        <w:rPr>
          <w:b/>
          <w:bCs/>
        </w:rPr>
        <w:t xml:space="preserve"> PRACH resources is larger than 1,</w:t>
      </w:r>
    </w:p>
    <w:p w:rsidR="003C4E4D" w:rsidRDefault="00AA22B9">
      <w:pPr>
        <w:pStyle w:val="ListParagraph"/>
        <w:numPr>
          <w:ilvl w:val="0"/>
          <w:numId w:val="13"/>
        </w:numPr>
        <w:rPr>
          <w:b/>
          <w:bCs/>
        </w:rPr>
      </w:pPr>
      <w:r>
        <w:rPr>
          <w:b/>
          <w:bCs/>
        </w:rPr>
        <w:t>If long PRACH sequence is configured, the starting position of each RO within the corresponding RB set can be configured.</w:t>
      </w:r>
    </w:p>
    <w:p w:rsidR="003C4E4D" w:rsidRDefault="00AA22B9">
      <w:pPr>
        <w:pStyle w:val="ListParagraph"/>
        <w:numPr>
          <w:ilvl w:val="0"/>
          <w:numId w:val="13"/>
        </w:numPr>
        <w:rPr>
          <w:b/>
          <w:bCs/>
        </w:rPr>
      </w:pPr>
      <w:r>
        <w:rPr>
          <w:b/>
          <w:bCs/>
        </w:rPr>
        <w:t>If short PRACH sequence is configured, the RO which is configured to occupy frequency resource in two RB sets should be taken as an invalid RO.</w:t>
      </w:r>
    </w:p>
    <w:p w:rsidR="003C4E4D" w:rsidRDefault="00AA22B9">
      <w:pPr>
        <w:rPr>
          <w:b/>
          <w:bCs/>
        </w:rPr>
      </w:pPr>
      <w:r>
        <w:rPr>
          <w:b/>
          <w:bCs/>
        </w:rPr>
        <w:t>Proposal in [14]: The lowest RB set of PRACH can be used for PUSCH transmission where PRACH is configured in more than one RB set.</w:t>
      </w:r>
    </w:p>
    <w:p w:rsidR="003C4E4D" w:rsidRDefault="00AA22B9">
      <w:pPr>
        <w:outlineLvl w:val="1"/>
        <w:rPr>
          <w:b/>
          <w:bCs/>
          <w:u w:val="single"/>
          <w:lang w:eastAsia="en-US"/>
        </w:rPr>
      </w:pPr>
      <w:r>
        <w:rPr>
          <w:b/>
          <w:bCs/>
          <w:u w:val="single"/>
          <w:lang w:eastAsia="en-US"/>
        </w:rPr>
        <w:t xml:space="preserve">Issue 4.5 </w:t>
      </w:r>
      <w:proofErr w:type="spellStart"/>
      <w:r>
        <w:rPr>
          <w:b/>
          <w:bCs/>
          <w:u w:val="single"/>
          <w:lang w:eastAsia="en-US"/>
        </w:rPr>
        <w:t>Msg</w:t>
      </w:r>
      <w:proofErr w:type="spellEnd"/>
      <w:r>
        <w:rPr>
          <w:b/>
          <w:bCs/>
          <w:u w:val="single"/>
          <w:lang w:eastAsia="en-US"/>
        </w:rPr>
        <w:t xml:space="preserve"> </w:t>
      </w:r>
      <w:proofErr w:type="gramStart"/>
      <w:r>
        <w:rPr>
          <w:b/>
          <w:bCs/>
          <w:u w:val="single"/>
          <w:lang w:eastAsia="en-US"/>
        </w:rPr>
        <w:t>A</w:t>
      </w:r>
      <w:proofErr w:type="gramEnd"/>
      <w:r>
        <w:rPr>
          <w:b/>
          <w:bCs/>
          <w:u w:val="single"/>
          <w:lang w:eastAsia="en-US"/>
        </w:rPr>
        <w:t xml:space="preserve"> PUSCH RB set determination</w:t>
      </w:r>
    </w:p>
    <w:p w:rsidR="003C4E4D" w:rsidRDefault="00AA22B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w:t>
      </w:r>
      <w:proofErr w:type="gramStart"/>
      <w:r>
        <w:rPr>
          <w:lang w:eastAsia="en-US"/>
        </w:rPr>
        <w:t>A</w:t>
      </w:r>
      <w:proofErr w:type="gramEnd"/>
      <w:r>
        <w:rPr>
          <w:lang w:eastAsia="en-US"/>
        </w:rPr>
        <w:t xml:space="preserve"> PUSCH inside one RB set.</w:t>
      </w:r>
    </w:p>
    <w:p w:rsidR="003C4E4D" w:rsidRDefault="00AA22B9">
      <w:pPr>
        <w:spacing w:after="120" w:line="288" w:lineRule="auto"/>
        <w:rPr>
          <w:rFonts w:eastAsia="MS Mincho"/>
          <w:b/>
        </w:rPr>
      </w:pPr>
      <w:r>
        <w:rPr>
          <w:rFonts w:eastAsia="MS Mincho"/>
          <w:b/>
        </w:rPr>
        <w:t xml:space="preserve">Proposal in [7]: For 2-step RACH, </w:t>
      </w:r>
      <w:proofErr w:type="gramStart"/>
      <w:r>
        <w:rPr>
          <w:rFonts w:eastAsia="MS Mincho"/>
          <w:b/>
        </w:rPr>
        <w:t>a</w:t>
      </w:r>
      <w:proofErr w:type="gramEnd"/>
      <w:r>
        <w:rPr>
          <w:rFonts w:eastAsia="MS Mincho"/>
          <w:b/>
        </w:rPr>
        <w:t xml:space="preserve"> </w:t>
      </w:r>
      <w:proofErr w:type="spellStart"/>
      <w:r>
        <w:rPr>
          <w:rFonts w:eastAsia="MS Mincho"/>
          <w:b/>
        </w:rPr>
        <w:t>Msg</w:t>
      </w:r>
      <w:proofErr w:type="spellEnd"/>
      <w:r>
        <w:rPr>
          <w:rFonts w:eastAsia="MS Mincho"/>
          <w:b/>
        </w:rPr>
        <w:t xml:space="preserve"> A PUSCH is confined within one RB set which is the same RB set for its associated </w:t>
      </w:r>
      <w:proofErr w:type="spellStart"/>
      <w:r>
        <w:rPr>
          <w:rFonts w:eastAsia="MS Mincho"/>
          <w:b/>
        </w:rPr>
        <w:t>Msg</w:t>
      </w:r>
      <w:proofErr w:type="spellEnd"/>
      <w:r>
        <w:rPr>
          <w:rFonts w:eastAsia="MS Mincho"/>
          <w:b/>
        </w:rPr>
        <w:t xml:space="preserve"> A PRACH. </w:t>
      </w:r>
    </w:p>
    <w:p w:rsidR="003C4E4D" w:rsidRDefault="00AA22B9">
      <w:pPr>
        <w:rPr>
          <w:color w:val="FF0000"/>
        </w:rPr>
      </w:pPr>
      <w:r>
        <w:rPr>
          <w:color w:val="FF0000"/>
        </w:rPr>
        <w:t>=========================== Start of TP for TS 38.213 ===================================</w:t>
      </w:r>
    </w:p>
    <w:p w:rsidR="003C4E4D" w:rsidRDefault="00AA22B9">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rsidR="003C4E4D" w:rsidRDefault="00AA22B9">
      <w:pPr>
        <w:rPr>
          <w:color w:val="FF0000"/>
        </w:rPr>
      </w:pPr>
      <w:r>
        <w:rPr>
          <w:color w:val="FF0000"/>
        </w:rPr>
        <w:t>=========================== Unchanged Text Omitted ===================================</w:t>
      </w:r>
    </w:p>
    <w:p w:rsidR="003C4E4D" w:rsidRDefault="00AA22B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203" w:author="Author">
        <w:r>
          <w:rPr>
            <w:color w:val="000000"/>
          </w:rPr>
          <w:t xml:space="preserve">If a UE is configured with interlaced PUSCH, the RB set 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rsidR="003C4E4D" w:rsidRDefault="00AA22B9">
      <w:pPr>
        <w:spacing w:after="120" w:line="288" w:lineRule="auto"/>
        <w:rPr>
          <w:rFonts w:eastAsia="MS Mincho"/>
        </w:rPr>
      </w:pPr>
      <w:r>
        <w:rPr>
          <w:rFonts w:cs="Times"/>
        </w:rPr>
        <w:lastRenderedPageBreak/>
        <w:t xml:space="preserve">A UE determines a first interlace </w:t>
      </w:r>
      <w:ins w:id="204"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205" w:author="Author">
        <w:r>
          <w:rPr>
            <w:rFonts w:cs="Times"/>
          </w:rPr>
          <w:t xml:space="preserve">RB set in the active UL BWP or of the </w:t>
        </w:r>
      </w:ins>
      <w:r>
        <w:rPr>
          <w:rFonts w:cs="Times"/>
        </w:rPr>
        <w:t xml:space="preserve">active UL BWP. A PUSCH occasion includes a number of interlaces </w:t>
      </w:r>
      <w:ins w:id="206"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rsidR="003C4E4D" w:rsidRDefault="00AA22B9">
      <w:pPr>
        <w:rPr>
          <w:color w:val="FF0000"/>
        </w:rPr>
      </w:pPr>
      <w:r>
        <w:rPr>
          <w:color w:val="FF0000"/>
        </w:rPr>
        <w:t>============================= End of TP for TS 38.213 ==================================</w:t>
      </w:r>
    </w:p>
    <w:p w:rsidR="003C4E4D" w:rsidRDefault="003C4E4D">
      <w:pPr>
        <w:rPr>
          <w:lang w:eastAsia="en-US"/>
        </w:rPr>
      </w:pPr>
    </w:p>
    <w:p w:rsidR="003C4E4D" w:rsidRDefault="00AA22B9">
      <w:pPr>
        <w:pStyle w:val="Heading1"/>
      </w:pPr>
      <w:r>
        <w:t>Preparation phase discussion</w:t>
      </w:r>
    </w:p>
    <w:p w:rsidR="003C4E4D" w:rsidRDefault="00AA22B9">
      <w:pPr>
        <w:rPr>
          <w:lang w:eastAsia="en-US"/>
        </w:rPr>
      </w:pPr>
      <w:r>
        <w:rPr>
          <w:lang w:eastAsia="en-US"/>
        </w:rPr>
        <w:t xml:space="preserve">In the preparation stage of the email discussion, we need to identify which issue(s) need further email discussion. Please provide your view below. Note that many (most) of the topics have been discussed before without any conclusion. Seems that only issue </w:t>
      </w:r>
      <w:r>
        <w:rPr>
          <w:b/>
          <w:bCs/>
          <w:color w:val="FF0000"/>
          <w:lang w:eastAsia="en-US"/>
        </w:rPr>
        <w:t>4.4</w:t>
      </w:r>
      <w:r>
        <w:rPr>
          <w:color w:val="FF0000"/>
          <w:lang w:eastAsia="en-US"/>
        </w:rPr>
        <w:t xml:space="preserve"> </w:t>
      </w:r>
      <w:r>
        <w:rPr>
          <w:lang w:eastAsia="en-US"/>
        </w:rPr>
        <w:t xml:space="preserve">and </w:t>
      </w:r>
      <w:r>
        <w:rPr>
          <w:b/>
          <w:bCs/>
          <w:color w:val="FF0000"/>
          <w:lang w:eastAsia="en-US"/>
        </w:rPr>
        <w:t>4.5</w:t>
      </w:r>
      <w:r>
        <w:rPr>
          <w:color w:val="FF0000"/>
          <w:lang w:eastAsia="en-US"/>
        </w:rPr>
        <w:t xml:space="preserve"> </w:t>
      </w:r>
      <w:r>
        <w:rPr>
          <w:lang w:eastAsia="en-US"/>
        </w:rPr>
        <w:t>are new topics and all other topics are previous discussed. Please take that into consideration as well. Given the email discussion thread limited, it is very unlikely we will have more than 1 email thread for this agenda item, each company please provide the top 2 issues you are interested in.</w:t>
      </w:r>
    </w:p>
    <w:p w:rsidR="003C4E4D" w:rsidRDefault="00AA22B9">
      <w:pPr>
        <w:pStyle w:val="Caption"/>
        <w:keepNext/>
        <w:spacing w:before="240"/>
      </w:pPr>
      <w:r>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3C4E4D">
        <w:tc>
          <w:tcPr>
            <w:tcW w:w="1296" w:type="dxa"/>
          </w:tcPr>
          <w:p w:rsidR="003C4E4D" w:rsidRDefault="00AA22B9">
            <w:pPr>
              <w:rPr>
                <w:lang w:eastAsia="en-US"/>
              </w:rPr>
            </w:pPr>
            <w:r>
              <w:rPr>
                <w:lang w:eastAsia="en-US"/>
              </w:rPr>
              <w:t>Company</w:t>
            </w:r>
          </w:p>
        </w:tc>
        <w:tc>
          <w:tcPr>
            <w:tcW w:w="720" w:type="dxa"/>
          </w:tcPr>
          <w:p w:rsidR="003C4E4D" w:rsidRDefault="00AA22B9">
            <w:pPr>
              <w:rPr>
                <w:lang w:eastAsia="en-US"/>
              </w:rPr>
            </w:pPr>
            <w:r>
              <w:rPr>
                <w:lang w:eastAsia="en-US"/>
              </w:rPr>
              <w:t>2.1</w:t>
            </w:r>
          </w:p>
        </w:tc>
        <w:tc>
          <w:tcPr>
            <w:tcW w:w="720" w:type="dxa"/>
          </w:tcPr>
          <w:p w:rsidR="003C4E4D" w:rsidRDefault="00AA22B9">
            <w:pPr>
              <w:rPr>
                <w:lang w:eastAsia="en-US"/>
              </w:rPr>
            </w:pPr>
            <w:r>
              <w:rPr>
                <w:lang w:eastAsia="en-US"/>
              </w:rPr>
              <w:t>2.2</w:t>
            </w:r>
          </w:p>
        </w:tc>
        <w:tc>
          <w:tcPr>
            <w:tcW w:w="720" w:type="dxa"/>
          </w:tcPr>
          <w:p w:rsidR="003C4E4D" w:rsidRDefault="00AA22B9">
            <w:pPr>
              <w:rPr>
                <w:lang w:eastAsia="en-US"/>
              </w:rPr>
            </w:pPr>
            <w:r>
              <w:rPr>
                <w:lang w:eastAsia="en-US"/>
              </w:rPr>
              <w:t>2.3</w:t>
            </w:r>
          </w:p>
        </w:tc>
        <w:tc>
          <w:tcPr>
            <w:tcW w:w="720" w:type="dxa"/>
          </w:tcPr>
          <w:p w:rsidR="003C4E4D" w:rsidRDefault="00AA22B9">
            <w:pPr>
              <w:rPr>
                <w:lang w:eastAsia="en-US"/>
              </w:rPr>
            </w:pPr>
            <w:r>
              <w:rPr>
                <w:lang w:eastAsia="en-US"/>
              </w:rPr>
              <w:t>3.1</w:t>
            </w:r>
          </w:p>
        </w:tc>
        <w:tc>
          <w:tcPr>
            <w:tcW w:w="720" w:type="dxa"/>
          </w:tcPr>
          <w:p w:rsidR="003C4E4D" w:rsidRDefault="00AA22B9">
            <w:pPr>
              <w:rPr>
                <w:lang w:eastAsia="en-US"/>
              </w:rPr>
            </w:pPr>
            <w:r>
              <w:rPr>
                <w:lang w:eastAsia="en-US"/>
              </w:rPr>
              <w:t>3.2</w:t>
            </w:r>
          </w:p>
        </w:tc>
        <w:tc>
          <w:tcPr>
            <w:tcW w:w="720" w:type="dxa"/>
          </w:tcPr>
          <w:p w:rsidR="003C4E4D" w:rsidRDefault="00AA22B9">
            <w:pPr>
              <w:rPr>
                <w:lang w:eastAsia="en-US"/>
              </w:rPr>
            </w:pPr>
            <w:r>
              <w:rPr>
                <w:lang w:eastAsia="en-US"/>
              </w:rPr>
              <w:t>3.3</w:t>
            </w:r>
          </w:p>
        </w:tc>
        <w:tc>
          <w:tcPr>
            <w:tcW w:w="720" w:type="dxa"/>
          </w:tcPr>
          <w:p w:rsidR="003C4E4D" w:rsidRDefault="00AA22B9">
            <w:pPr>
              <w:rPr>
                <w:lang w:eastAsia="en-US"/>
              </w:rPr>
            </w:pPr>
            <w:r>
              <w:rPr>
                <w:lang w:eastAsia="en-US"/>
              </w:rPr>
              <w:t>4.1</w:t>
            </w:r>
          </w:p>
        </w:tc>
        <w:tc>
          <w:tcPr>
            <w:tcW w:w="720" w:type="dxa"/>
          </w:tcPr>
          <w:p w:rsidR="003C4E4D" w:rsidRDefault="00AA22B9">
            <w:pPr>
              <w:rPr>
                <w:lang w:eastAsia="en-US"/>
              </w:rPr>
            </w:pPr>
            <w:r>
              <w:rPr>
                <w:lang w:eastAsia="en-US"/>
              </w:rPr>
              <w:t>4.2</w:t>
            </w:r>
          </w:p>
        </w:tc>
        <w:tc>
          <w:tcPr>
            <w:tcW w:w="720" w:type="dxa"/>
          </w:tcPr>
          <w:p w:rsidR="003C4E4D" w:rsidRDefault="00AA22B9">
            <w:pPr>
              <w:rPr>
                <w:lang w:eastAsia="en-US"/>
              </w:rPr>
            </w:pPr>
            <w:r>
              <w:rPr>
                <w:lang w:eastAsia="en-US"/>
              </w:rPr>
              <w:t>4.3</w:t>
            </w:r>
          </w:p>
        </w:tc>
        <w:tc>
          <w:tcPr>
            <w:tcW w:w="720" w:type="dxa"/>
          </w:tcPr>
          <w:p w:rsidR="003C4E4D" w:rsidRDefault="00AA22B9">
            <w:pPr>
              <w:rPr>
                <w:lang w:eastAsia="en-US"/>
              </w:rPr>
            </w:pPr>
            <w:r>
              <w:rPr>
                <w:lang w:eastAsia="en-US"/>
              </w:rPr>
              <w:t>4.4</w:t>
            </w:r>
          </w:p>
        </w:tc>
        <w:tc>
          <w:tcPr>
            <w:tcW w:w="720" w:type="dxa"/>
          </w:tcPr>
          <w:p w:rsidR="003C4E4D" w:rsidRDefault="00AA22B9">
            <w:pPr>
              <w:rPr>
                <w:lang w:eastAsia="en-US"/>
              </w:rPr>
            </w:pPr>
            <w:r>
              <w:rPr>
                <w:lang w:eastAsia="en-US"/>
              </w:rPr>
              <w:t>4.5</w:t>
            </w:r>
          </w:p>
        </w:tc>
      </w:tr>
      <w:tr w:rsidR="003C4E4D">
        <w:tc>
          <w:tcPr>
            <w:tcW w:w="1296" w:type="dxa"/>
          </w:tcPr>
          <w:p w:rsidR="003C4E4D" w:rsidRDefault="00AA22B9">
            <w:pPr>
              <w:rPr>
                <w:lang w:eastAsia="en-US"/>
              </w:rPr>
            </w:pPr>
            <w:r>
              <w:rPr>
                <w:lang w:eastAsia="en-US"/>
              </w:rPr>
              <w:t>Samsung</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Nokia</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High</w:t>
            </w:r>
          </w:p>
          <w:p w:rsidR="003C4E4D" w:rsidRDefault="00AA22B9">
            <w:pPr>
              <w:rPr>
                <w:lang w:eastAsia="en-US"/>
              </w:rPr>
            </w:pPr>
            <w:r>
              <w:rPr>
                <w:lang w:eastAsia="en-US"/>
              </w:rPr>
              <w:t>(essential for OCB)</w:t>
            </w:r>
          </w:p>
        </w:tc>
        <w:tc>
          <w:tcPr>
            <w:tcW w:w="720" w:type="dxa"/>
          </w:tcPr>
          <w:p w:rsidR="003C4E4D" w:rsidRDefault="00AA22B9">
            <w:pPr>
              <w:rPr>
                <w:lang w:eastAsia="en-US"/>
              </w:rPr>
            </w:pPr>
            <w:r>
              <w:rPr>
                <w:lang w:eastAsia="en-US"/>
              </w:rPr>
              <w:t xml:space="preserve">High (but </w:t>
            </w:r>
            <w:proofErr w:type="spellStart"/>
            <w:r>
              <w:rPr>
                <w:lang w:eastAsia="en-US"/>
              </w:rPr>
              <w:t>belons</w:t>
            </w:r>
            <w:proofErr w:type="spellEnd"/>
            <w:r>
              <w:rPr>
                <w:lang w:eastAsia="en-US"/>
              </w:rPr>
              <w:t xml:space="preserve"> to Steve’s AI)</w:t>
            </w:r>
          </w:p>
        </w:tc>
      </w:tr>
      <w:tr w:rsidR="003C4E4D">
        <w:tc>
          <w:tcPr>
            <w:tcW w:w="1296" w:type="dxa"/>
          </w:tcPr>
          <w:p w:rsidR="003C4E4D" w:rsidRDefault="00AA22B9">
            <w:pPr>
              <w:rPr>
                <w:lang w:eastAsia="en-US"/>
              </w:rPr>
            </w:pPr>
            <w:r>
              <w:rPr>
                <w:lang w:eastAsia="en-US"/>
              </w:rPr>
              <w:t>Qualcomm</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AA22B9">
            <w:pPr>
              <w:rPr>
                <w:lang w:eastAsia="en-US"/>
              </w:rPr>
            </w:pPr>
            <w:r>
              <w:rPr>
                <w:lang w:eastAsia="en-US"/>
              </w:rPr>
              <w:t>Yes</w:t>
            </w:r>
          </w:p>
        </w:tc>
      </w:tr>
      <w:tr w:rsidR="003C4E4D">
        <w:tc>
          <w:tcPr>
            <w:tcW w:w="1296" w:type="dxa"/>
          </w:tcPr>
          <w:p w:rsidR="003C4E4D" w:rsidRDefault="00AA22B9">
            <w:pPr>
              <w:rPr>
                <w:lang w:eastAsia="en-US"/>
              </w:rPr>
            </w:pPr>
            <w:r>
              <w:rPr>
                <w:lang w:eastAsia="en-US"/>
              </w:rPr>
              <w:t>Ericsson</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lang w:eastAsia="en-US"/>
              </w:rPr>
            </w:pPr>
            <w:r>
              <w:rPr>
                <w:lang w:eastAsia="en-US"/>
              </w:rPr>
              <w:t>Yes</w:t>
            </w:r>
          </w:p>
        </w:tc>
        <w:tc>
          <w:tcPr>
            <w:tcW w:w="720" w:type="dxa"/>
          </w:tcPr>
          <w:p w:rsidR="003C4E4D" w:rsidRDefault="003C4E4D">
            <w:pPr>
              <w:rPr>
                <w:lang w:eastAsia="en-US"/>
              </w:rPr>
            </w:pPr>
          </w:p>
        </w:tc>
      </w:tr>
      <w:tr w:rsidR="003C4E4D">
        <w:tc>
          <w:tcPr>
            <w:tcW w:w="1296" w:type="dxa"/>
          </w:tcPr>
          <w:p w:rsidR="003C4E4D" w:rsidRDefault="00AA22B9">
            <w:pPr>
              <w:rPr>
                <w:lang w:eastAsia="en-US"/>
              </w:rPr>
            </w:pPr>
            <w:r>
              <w:rPr>
                <w:lang w:eastAsia="en-US"/>
              </w:rPr>
              <w:t xml:space="preserve">ZTE, </w:t>
            </w:r>
            <w:proofErr w:type="spellStart"/>
            <w:r>
              <w:rPr>
                <w:lang w:eastAsia="en-US"/>
              </w:rPr>
              <w:t>Sanechips</w:t>
            </w:r>
            <w:proofErr w:type="spellEnd"/>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3C4E4D">
            <w:pPr>
              <w:rPr>
                <w:lang w:eastAsia="en-US"/>
              </w:rPr>
            </w:pPr>
          </w:p>
        </w:tc>
        <w:tc>
          <w:tcPr>
            <w:tcW w:w="720" w:type="dxa"/>
          </w:tcPr>
          <w:p w:rsidR="003C4E4D" w:rsidRDefault="00AA22B9">
            <w:pPr>
              <w:rPr>
                <w:rFonts w:eastAsia="宋体"/>
                <w:lang w:val="en-US" w:eastAsia="zh-CN"/>
              </w:rPr>
            </w:pPr>
            <w:r>
              <w:rPr>
                <w:rFonts w:eastAsia="宋体" w:hint="eastAsia"/>
                <w:lang w:val="en-US" w:eastAsia="zh-CN"/>
              </w:rPr>
              <w:t>Yes</w:t>
            </w:r>
          </w:p>
        </w:tc>
        <w:tc>
          <w:tcPr>
            <w:tcW w:w="720" w:type="dxa"/>
          </w:tcPr>
          <w:p w:rsidR="003C4E4D" w:rsidRDefault="00AA22B9">
            <w:pPr>
              <w:rPr>
                <w:rFonts w:eastAsia="宋体"/>
                <w:lang w:val="en-US" w:eastAsia="zh-CN"/>
              </w:rPr>
            </w:pPr>
            <w:r>
              <w:rPr>
                <w:rFonts w:eastAsia="宋体" w:hint="eastAsia"/>
                <w:lang w:val="en-US" w:eastAsia="zh-CN"/>
              </w:rPr>
              <w:t>Yes</w:t>
            </w:r>
          </w:p>
        </w:tc>
      </w:tr>
      <w:tr w:rsidR="00AA22B9">
        <w:tc>
          <w:tcPr>
            <w:tcW w:w="1296" w:type="dxa"/>
          </w:tcPr>
          <w:p w:rsidR="00AA22B9" w:rsidRDefault="00AA22B9">
            <w:r>
              <w:rPr>
                <w:rFonts w:hint="eastAsia"/>
              </w:rPr>
              <w:t>L</w:t>
            </w:r>
            <w:r>
              <w:t>GE</w:t>
            </w: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A345FD" w:rsidRDefault="00AA22B9">
            <w:pPr>
              <w:rPr>
                <w:rFonts w:eastAsiaTheme="minorEastAsia"/>
                <w:lang w:eastAsia="zh-CN"/>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Default="00AA22B9">
            <w:pPr>
              <w:rPr>
                <w:lang w:eastAsia="en-US"/>
              </w:rPr>
            </w:pPr>
          </w:p>
        </w:tc>
        <w:tc>
          <w:tcPr>
            <w:tcW w:w="720" w:type="dxa"/>
          </w:tcPr>
          <w:p w:rsidR="00AA22B9" w:rsidRPr="004B4E98" w:rsidRDefault="004B4E98">
            <w:pPr>
              <w:rPr>
                <w:rFonts w:eastAsia="Malgun Gothic"/>
                <w:lang w:val="en-US"/>
              </w:rPr>
            </w:pPr>
            <w:r>
              <w:rPr>
                <w:rFonts w:eastAsia="Malgun Gothic" w:hint="eastAsia"/>
                <w:lang w:val="en-US"/>
              </w:rPr>
              <w:t>Yes</w:t>
            </w:r>
          </w:p>
        </w:tc>
        <w:tc>
          <w:tcPr>
            <w:tcW w:w="720" w:type="dxa"/>
          </w:tcPr>
          <w:p w:rsidR="00AA22B9" w:rsidRDefault="00AA22B9">
            <w:pPr>
              <w:rPr>
                <w:rFonts w:eastAsia="宋体"/>
                <w:lang w:val="en-US" w:eastAsia="zh-CN"/>
              </w:rPr>
            </w:pPr>
          </w:p>
        </w:tc>
      </w:tr>
      <w:tr w:rsidR="00A345FD">
        <w:tc>
          <w:tcPr>
            <w:tcW w:w="1296" w:type="dxa"/>
          </w:tcPr>
          <w:p w:rsidR="00A345FD" w:rsidRPr="00A345FD" w:rsidRDefault="00A345F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A345FD" w:rsidRPr="00A345FD" w:rsidRDefault="00A345FD">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Default="00A345FD">
            <w:pPr>
              <w:rPr>
                <w:lang w:eastAsia="en-US"/>
              </w:rPr>
            </w:pPr>
          </w:p>
        </w:tc>
        <w:tc>
          <w:tcPr>
            <w:tcW w:w="720" w:type="dxa"/>
          </w:tcPr>
          <w:p w:rsidR="00A345FD" w:rsidRPr="00A345FD" w:rsidRDefault="00A345F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A345FD" w:rsidRDefault="00A345FD">
            <w:pPr>
              <w:rPr>
                <w:rFonts w:eastAsia="宋体"/>
                <w:lang w:val="en-US" w:eastAsia="zh-CN"/>
              </w:rPr>
            </w:pPr>
          </w:p>
        </w:tc>
      </w:tr>
      <w:tr w:rsidR="004C4DEB">
        <w:tc>
          <w:tcPr>
            <w:tcW w:w="1296" w:type="dxa"/>
          </w:tcPr>
          <w:p w:rsidR="004C4DEB" w:rsidRDefault="004C4DEB">
            <w:pPr>
              <w:rPr>
                <w:rFonts w:eastAsiaTheme="minorEastAsia"/>
                <w:lang w:eastAsia="zh-CN"/>
              </w:rPr>
            </w:pPr>
            <w:r>
              <w:rPr>
                <w:rFonts w:eastAsiaTheme="minorEastAsia" w:hint="eastAsia"/>
                <w:lang w:eastAsia="zh-CN"/>
              </w:rPr>
              <w:t>O</w:t>
            </w:r>
            <w:r>
              <w:rPr>
                <w:rFonts w:eastAsiaTheme="minorEastAsia"/>
                <w:lang w:eastAsia="zh-CN"/>
              </w:rPr>
              <w:t>PPO</w:t>
            </w: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rFonts w:eastAsiaTheme="minorEastAsia"/>
                <w:lang w:eastAsia="zh-CN"/>
              </w:rPr>
            </w:pPr>
          </w:p>
        </w:tc>
        <w:tc>
          <w:tcPr>
            <w:tcW w:w="720" w:type="dxa"/>
          </w:tcPr>
          <w:p w:rsidR="004C4DEB" w:rsidRDefault="004C4DEB">
            <w:pPr>
              <w:rPr>
                <w:rFonts w:eastAsiaTheme="minorEastAsia"/>
                <w:lang w:eastAsia="zh-CN"/>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lang w:eastAsia="en-US"/>
              </w:rPr>
            </w:pPr>
          </w:p>
        </w:tc>
        <w:tc>
          <w:tcPr>
            <w:tcW w:w="720" w:type="dxa"/>
          </w:tcPr>
          <w:p w:rsidR="004C4DEB" w:rsidRDefault="004C4DEB">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rsidR="004C4DEB" w:rsidRDefault="004C4DEB">
            <w:pPr>
              <w:rPr>
                <w:rFonts w:eastAsia="宋体"/>
                <w:lang w:val="en-US" w:eastAsia="zh-CN"/>
              </w:rPr>
            </w:pPr>
            <w:r>
              <w:rPr>
                <w:rFonts w:eastAsia="宋体" w:hint="eastAsia"/>
                <w:lang w:val="en-US" w:eastAsia="zh-CN"/>
              </w:rPr>
              <w:t>Y</w:t>
            </w:r>
            <w:r>
              <w:rPr>
                <w:rFonts w:eastAsia="宋体"/>
                <w:lang w:val="en-US" w:eastAsia="zh-CN"/>
              </w:rPr>
              <w:t>es</w:t>
            </w:r>
          </w:p>
        </w:tc>
      </w:tr>
      <w:tr w:rsidR="00AA0A4E">
        <w:tc>
          <w:tcPr>
            <w:tcW w:w="1296" w:type="dxa"/>
          </w:tcPr>
          <w:p w:rsidR="00AA0A4E" w:rsidRDefault="00AA0A4E">
            <w:pPr>
              <w:rPr>
                <w:rFonts w:eastAsiaTheme="minorEastAsia" w:hint="eastAsia"/>
                <w:lang w:eastAsia="zh-CN"/>
              </w:rPr>
            </w:pPr>
            <w:r>
              <w:rPr>
                <w:rFonts w:eastAsiaTheme="minorEastAsia"/>
                <w:lang w:eastAsia="zh-CN"/>
              </w:rPr>
              <w:t>Spreadtrum</w:t>
            </w:r>
          </w:p>
        </w:tc>
        <w:tc>
          <w:tcPr>
            <w:tcW w:w="720" w:type="dxa"/>
          </w:tcPr>
          <w:p w:rsidR="00AA0A4E" w:rsidRDefault="00AA0A4E">
            <w:pPr>
              <w:rPr>
                <w:lang w:eastAsia="en-US"/>
              </w:rPr>
            </w:pPr>
            <w:r>
              <w:rPr>
                <w:lang w:eastAsia="en-US"/>
              </w:rPr>
              <w:t>Yes</w:t>
            </w: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rFonts w:eastAsiaTheme="minorEastAsia"/>
                <w:lang w:eastAsia="zh-CN"/>
              </w:rPr>
            </w:pPr>
            <w:r>
              <w:rPr>
                <w:rFonts w:eastAsiaTheme="minorEastAsia"/>
                <w:lang w:eastAsia="zh-CN"/>
              </w:rPr>
              <w:t>Yes</w:t>
            </w:r>
          </w:p>
        </w:tc>
        <w:tc>
          <w:tcPr>
            <w:tcW w:w="720" w:type="dxa"/>
          </w:tcPr>
          <w:p w:rsidR="00AA0A4E" w:rsidRDefault="00AA0A4E">
            <w:pPr>
              <w:rPr>
                <w:rFonts w:eastAsiaTheme="minorEastAsia"/>
                <w:lang w:eastAsia="zh-CN"/>
              </w:rPr>
            </w:pP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lang w:eastAsia="en-US"/>
              </w:rPr>
            </w:pPr>
          </w:p>
        </w:tc>
        <w:tc>
          <w:tcPr>
            <w:tcW w:w="720" w:type="dxa"/>
          </w:tcPr>
          <w:p w:rsidR="00AA0A4E" w:rsidRDefault="00AA0A4E">
            <w:pPr>
              <w:rPr>
                <w:rFonts w:eastAsiaTheme="minorEastAsia" w:hint="eastAsia"/>
                <w:lang w:val="en-US" w:eastAsia="zh-CN"/>
              </w:rPr>
            </w:pPr>
            <w:r>
              <w:rPr>
                <w:rFonts w:eastAsiaTheme="minorEastAsia"/>
                <w:lang w:val="en-US" w:eastAsia="zh-CN"/>
              </w:rPr>
              <w:t>Yes</w:t>
            </w:r>
          </w:p>
        </w:tc>
        <w:tc>
          <w:tcPr>
            <w:tcW w:w="720" w:type="dxa"/>
          </w:tcPr>
          <w:p w:rsidR="00AA0A4E" w:rsidRDefault="00AA0A4E">
            <w:pPr>
              <w:rPr>
                <w:rFonts w:eastAsia="宋体" w:hint="eastAsia"/>
                <w:lang w:val="en-US" w:eastAsia="zh-CN"/>
              </w:rPr>
            </w:pPr>
          </w:p>
        </w:tc>
      </w:tr>
    </w:tbl>
    <w:p w:rsidR="003C4E4D" w:rsidRDefault="003C4E4D">
      <w:pPr>
        <w:rPr>
          <w:lang w:eastAsia="en-US"/>
        </w:rPr>
      </w:pPr>
    </w:p>
    <w:p w:rsidR="003C4E4D" w:rsidRDefault="00AA22B9">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3C4E4D">
        <w:tc>
          <w:tcPr>
            <w:tcW w:w="2065" w:type="dxa"/>
          </w:tcPr>
          <w:p w:rsidR="003C4E4D" w:rsidRDefault="00AA22B9">
            <w:pPr>
              <w:wordWrap/>
              <w:rPr>
                <w:lang w:eastAsia="en-US"/>
              </w:rPr>
            </w:pPr>
            <w:r>
              <w:rPr>
                <w:lang w:eastAsia="en-US"/>
              </w:rPr>
              <w:t>Company</w:t>
            </w:r>
          </w:p>
        </w:tc>
        <w:tc>
          <w:tcPr>
            <w:tcW w:w="7297" w:type="dxa"/>
          </w:tcPr>
          <w:p w:rsidR="003C4E4D" w:rsidRDefault="00AA22B9">
            <w:pPr>
              <w:wordWrap/>
              <w:rPr>
                <w:lang w:eastAsia="en-US"/>
              </w:rPr>
            </w:pPr>
            <w:r>
              <w:rPr>
                <w:lang w:eastAsia="en-US"/>
              </w:rPr>
              <w:t>Comments</w:t>
            </w:r>
          </w:p>
        </w:tc>
      </w:tr>
      <w:tr w:rsidR="003C4E4D">
        <w:tc>
          <w:tcPr>
            <w:tcW w:w="2065" w:type="dxa"/>
          </w:tcPr>
          <w:p w:rsidR="003C4E4D" w:rsidRDefault="00AA22B9">
            <w:pPr>
              <w:rPr>
                <w:lang w:eastAsia="en-US"/>
              </w:rPr>
            </w:pPr>
            <w:r>
              <w:rPr>
                <w:lang w:eastAsia="en-US"/>
              </w:rPr>
              <w:t>Samsung</w:t>
            </w:r>
          </w:p>
        </w:tc>
        <w:tc>
          <w:tcPr>
            <w:tcW w:w="7297" w:type="dxa"/>
          </w:tcPr>
          <w:p w:rsidR="003C4E4D" w:rsidRDefault="00AA22B9">
            <w:pPr>
              <w:wordWrap/>
              <w:rPr>
                <w:lang w:eastAsia="en-US"/>
              </w:rPr>
            </w:pPr>
            <w:r>
              <w:rPr>
                <w:lang w:eastAsia="en-US"/>
              </w:rPr>
              <w:t xml:space="preserve">For 3.2 (CSI-RS validation in DRS), we remember in the last meeting (last GTW session) FL of 7.2.2.1.2 suggested to move this issue to 7.2.2.1.1, due to many other remaining issues in 7.2.2.1.2. This issue has not been discussed yet in either agenda. </w:t>
            </w:r>
          </w:p>
          <w:p w:rsidR="003C4E4D" w:rsidRDefault="00AA22B9">
            <w:pPr>
              <w:wordWrap/>
              <w:rPr>
                <w:lang w:eastAsia="en-US"/>
              </w:rPr>
            </w:pPr>
            <w:r>
              <w:rPr>
                <w:lang w:eastAsia="en-US"/>
              </w:rPr>
              <w:t xml:space="preserve">For 4.4 and 4.5, these are essential issues left over, and can be treated either in this agenda 7.2.2.1.1 or 7.2.2.1.3, depending on FL’s preference. </w:t>
            </w:r>
          </w:p>
        </w:tc>
      </w:tr>
      <w:tr w:rsidR="003C4E4D">
        <w:tc>
          <w:tcPr>
            <w:tcW w:w="2065" w:type="dxa"/>
          </w:tcPr>
          <w:p w:rsidR="003C4E4D" w:rsidRDefault="00AA22B9">
            <w:pPr>
              <w:rPr>
                <w:lang w:eastAsia="en-US"/>
              </w:rPr>
            </w:pPr>
            <w:r>
              <w:rPr>
                <w:lang w:eastAsia="en-US"/>
              </w:rPr>
              <w:t>Nokia, NSB</w:t>
            </w:r>
          </w:p>
        </w:tc>
        <w:tc>
          <w:tcPr>
            <w:tcW w:w="7297" w:type="dxa"/>
          </w:tcPr>
          <w:p w:rsidR="003C4E4D" w:rsidRDefault="00AA22B9">
            <w:pPr>
              <w:wordWrap/>
              <w:rPr>
                <w:lang w:eastAsia="en-US"/>
              </w:rPr>
            </w:pPr>
            <w:r>
              <w:rPr>
                <w:lang w:eastAsia="en-US"/>
              </w:rPr>
              <w:t xml:space="preserve">CSI-RS validation for RRM in DRS is not essential after plenary deprioritized RRM measurements based on CSI-RS in R16.  Topic 4.5 should be discussed in UL signals. We </w:t>
            </w:r>
            <w:r>
              <w:rPr>
                <w:lang w:eastAsia="en-US"/>
              </w:rPr>
              <w:lastRenderedPageBreak/>
              <w:t xml:space="preserve">propose to discuss only 4.4. </w:t>
            </w:r>
            <w:proofErr w:type="gramStart"/>
            <w:r>
              <w:rPr>
                <w:lang w:eastAsia="en-US"/>
              </w:rPr>
              <w:t>here</w:t>
            </w:r>
            <w:proofErr w:type="gramEnd"/>
            <w:r>
              <w:rPr>
                <w:lang w:eastAsia="en-US"/>
              </w:rPr>
              <w:t>.</w:t>
            </w:r>
          </w:p>
        </w:tc>
      </w:tr>
      <w:tr w:rsidR="003C4E4D">
        <w:tc>
          <w:tcPr>
            <w:tcW w:w="2065" w:type="dxa"/>
          </w:tcPr>
          <w:p w:rsidR="003C4E4D" w:rsidRDefault="00AA22B9">
            <w:pPr>
              <w:rPr>
                <w:lang w:eastAsia="en-US"/>
              </w:rPr>
            </w:pPr>
            <w:r>
              <w:rPr>
                <w:lang w:eastAsia="en-US"/>
              </w:rPr>
              <w:lastRenderedPageBreak/>
              <w:t>Qualcomm</w:t>
            </w:r>
          </w:p>
        </w:tc>
        <w:tc>
          <w:tcPr>
            <w:tcW w:w="7297" w:type="dxa"/>
          </w:tcPr>
          <w:p w:rsidR="003C4E4D" w:rsidRDefault="00AA22B9">
            <w:pPr>
              <w:wordWrap/>
              <w:rPr>
                <w:lang w:eastAsia="en-US"/>
              </w:rPr>
            </w:pPr>
            <w:r>
              <w:rPr>
                <w:lang w:eastAsia="en-US"/>
              </w:rPr>
              <w:t>We are fine to discuss 4.4 and 4.5. However, supporting PRACH and PUSCH in multiple RB sets can be considered as optimization and may not be essential. The system works fine if single RO is configured. Also, even if we introduce multiple frequency domain ROs, it does not help initial access.</w:t>
            </w:r>
          </w:p>
        </w:tc>
      </w:tr>
      <w:tr w:rsidR="003C4E4D">
        <w:tc>
          <w:tcPr>
            <w:tcW w:w="2065" w:type="dxa"/>
          </w:tcPr>
          <w:p w:rsidR="003C4E4D" w:rsidRDefault="00AA22B9">
            <w:pPr>
              <w:rPr>
                <w:lang w:eastAsia="en-US"/>
              </w:rPr>
            </w:pPr>
            <w:r>
              <w:rPr>
                <w:lang w:eastAsia="en-US"/>
              </w:rPr>
              <w:t>Ericsson</w:t>
            </w:r>
          </w:p>
        </w:tc>
        <w:tc>
          <w:tcPr>
            <w:tcW w:w="7297" w:type="dxa"/>
          </w:tcPr>
          <w:p w:rsidR="003C4E4D" w:rsidRDefault="00AA22B9">
            <w:pPr>
              <w:rPr>
                <w:lang w:eastAsia="en-US"/>
              </w:rPr>
            </w:pPr>
            <w:r>
              <w:rPr>
                <w:lang w:eastAsia="en-US"/>
              </w:rPr>
              <w:t>Five companies contributed on Issue 4.4 in 7.2.2.1.3 UL Signals and Channels AI. However, since PRACH configuration is clearly in the domain of Initial Access Signals and Channels, it is more appropriate to discuss in this AI.</w:t>
            </w:r>
          </w:p>
          <w:p w:rsidR="003C4E4D" w:rsidRDefault="00AA22B9">
            <w:pPr>
              <w:rPr>
                <w:lang w:eastAsia="en-US"/>
              </w:rPr>
            </w:pPr>
            <w:r>
              <w:rPr>
                <w:lang w:eastAsia="en-US"/>
              </w:rPr>
              <w:t>On many of the other issues, we prefer to avoid issues that have been discussed in email threads in previous meetings without consensus.</w:t>
            </w:r>
          </w:p>
          <w:p w:rsidR="003C4E4D" w:rsidRDefault="00AA22B9">
            <w:pPr>
              <w:rPr>
                <w:lang w:eastAsia="en-US"/>
              </w:rPr>
            </w:pPr>
            <w:r>
              <w:rPr>
                <w:lang w:eastAsia="en-US"/>
              </w:rPr>
              <w:t>It seems that issue #3.2 has been discussed before without consensus, even if not allocated to a dedicated email thread.</w:t>
            </w:r>
          </w:p>
        </w:tc>
      </w:tr>
      <w:tr w:rsidR="003C4E4D">
        <w:tc>
          <w:tcPr>
            <w:tcW w:w="2065" w:type="dxa"/>
          </w:tcPr>
          <w:p w:rsidR="003C4E4D" w:rsidRDefault="00AA22B9">
            <w:pPr>
              <w:rPr>
                <w:lang w:eastAsia="en-US"/>
              </w:rPr>
            </w:pPr>
            <w:r>
              <w:rPr>
                <w:lang w:eastAsia="en-US"/>
              </w:rPr>
              <w:t xml:space="preserve">ZTE, </w:t>
            </w:r>
            <w:proofErr w:type="spellStart"/>
            <w:r>
              <w:rPr>
                <w:lang w:eastAsia="en-US"/>
              </w:rPr>
              <w:t>Sanechips</w:t>
            </w:r>
            <w:proofErr w:type="spellEnd"/>
          </w:p>
        </w:tc>
        <w:tc>
          <w:tcPr>
            <w:tcW w:w="7297" w:type="dxa"/>
          </w:tcPr>
          <w:p w:rsidR="003C4E4D" w:rsidRDefault="00AA22B9">
            <w:pPr>
              <w:wordWrap/>
              <w:rPr>
                <w:rFonts w:eastAsia="宋体"/>
                <w:lang w:val="en-US" w:eastAsia="zh-CN"/>
              </w:rPr>
            </w:pPr>
            <w:r>
              <w:rPr>
                <w:rFonts w:eastAsia="宋体" w:hint="eastAsia"/>
                <w:lang w:val="en-US" w:eastAsia="zh-CN"/>
              </w:rPr>
              <w:t>We agree to discuss Issue 4.4 and 4.5 in this agenda.</w:t>
            </w:r>
          </w:p>
          <w:p w:rsidR="003C4E4D" w:rsidRDefault="00AA22B9">
            <w:pPr>
              <w:wordWrap/>
              <w:rPr>
                <w:rFonts w:eastAsia="宋体"/>
                <w:lang w:val="en-US" w:eastAsia="zh-CN"/>
              </w:rPr>
            </w:pPr>
            <w:r>
              <w:rPr>
                <w:rFonts w:eastAsia="宋体" w:hint="eastAsia"/>
                <w:lang w:val="en-US" w:eastAsia="zh-CN"/>
              </w:rPr>
              <w:t>For other issues, it</w:t>
            </w:r>
            <w:r>
              <w:rPr>
                <w:rFonts w:eastAsia="宋体"/>
                <w:lang w:val="en-US" w:eastAsia="zh-CN"/>
              </w:rPr>
              <w:t>’</w:t>
            </w:r>
            <w:r>
              <w:rPr>
                <w:rFonts w:eastAsia="宋体" w:hint="eastAsia"/>
                <w:lang w:val="en-US" w:eastAsia="zh-CN"/>
              </w:rPr>
              <w:t>s unnecessary to discuss them any more since they have already been discussed before without consensus.</w:t>
            </w:r>
          </w:p>
        </w:tc>
      </w:tr>
      <w:tr w:rsidR="004B4E98">
        <w:tc>
          <w:tcPr>
            <w:tcW w:w="2065" w:type="dxa"/>
          </w:tcPr>
          <w:p w:rsidR="004B4E98" w:rsidRPr="00A2199E" w:rsidRDefault="004B4E98" w:rsidP="004B4E98">
            <w:r w:rsidRPr="00A2199E">
              <w:t>LGE</w:t>
            </w:r>
          </w:p>
        </w:tc>
        <w:tc>
          <w:tcPr>
            <w:tcW w:w="7297" w:type="dxa"/>
          </w:tcPr>
          <w:p w:rsidR="004B4E98" w:rsidRDefault="004B4E98" w:rsidP="004B4E98">
            <w:r w:rsidRPr="00A2199E">
              <w:t>At least Issue 4.4 has essentiality to be covered in terms of supporting UE operation in case when the active UL BWP is configured with multiple RB sets.</w:t>
            </w:r>
            <w:r>
              <w:t xml:space="preserve"> </w:t>
            </w:r>
          </w:p>
          <w:p w:rsidR="004B4E98" w:rsidRPr="00A2199E" w:rsidRDefault="004B4E98" w:rsidP="004B4E98">
            <w:r w:rsidRPr="004B4E98">
              <w:t>Regarding Issue 4.5, It seems be better to be treated in UL signals/channels agenda as for PUSCH RB set in 4-step RACH.</w:t>
            </w:r>
          </w:p>
        </w:tc>
      </w:tr>
      <w:tr w:rsidR="00A345FD">
        <w:tc>
          <w:tcPr>
            <w:tcW w:w="2065" w:type="dxa"/>
          </w:tcPr>
          <w:p w:rsidR="00A345FD" w:rsidRPr="00A345FD" w:rsidRDefault="00A345FD" w:rsidP="004B4E98">
            <w:r>
              <w:t xml:space="preserve">Huawei, </w:t>
            </w:r>
            <w:proofErr w:type="spellStart"/>
            <w:r>
              <w:t>HiSilicon</w:t>
            </w:r>
            <w:proofErr w:type="spellEnd"/>
          </w:p>
        </w:tc>
        <w:tc>
          <w:tcPr>
            <w:tcW w:w="7297" w:type="dxa"/>
          </w:tcPr>
          <w:p w:rsidR="00A345FD" w:rsidRDefault="00A345FD" w:rsidP="004B4E98">
            <w:pPr>
              <w:rPr>
                <w:rFonts w:eastAsiaTheme="minorEastAsia"/>
                <w:lang w:eastAsia="zh-CN"/>
              </w:rPr>
            </w:pPr>
            <w:r>
              <w:rPr>
                <w:rFonts w:eastAsiaTheme="minorEastAsia"/>
                <w:lang w:eastAsia="zh-CN"/>
              </w:rPr>
              <w:t xml:space="preserve">As for 3.2 and 3.3, it haven’t been discussed either in DL AI or here. </w:t>
            </w:r>
          </w:p>
          <w:p w:rsidR="008B0C0C" w:rsidRDefault="008B0C0C" w:rsidP="004B4E98">
            <w:pPr>
              <w:rPr>
                <w:rFonts w:eastAsiaTheme="minorEastAsia"/>
                <w:lang w:eastAsia="zh-CN"/>
              </w:rPr>
            </w:pPr>
            <w:r>
              <w:rPr>
                <w:rFonts w:eastAsiaTheme="minorEastAsia"/>
                <w:lang w:eastAsia="zh-CN"/>
              </w:rPr>
              <w:t>Agree to discuss 4.4. It should be clarified that it only applied for connected UE.</w:t>
            </w:r>
          </w:p>
          <w:p w:rsidR="008B0C0C" w:rsidRPr="00A345FD" w:rsidRDefault="008B0C0C" w:rsidP="004B4E98">
            <w:pPr>
              <w:rPr>
                <w:rFonts w:eastAsiaTheme="minorEastAsia"/>
                <w:lang w:eastAsia="zh-CN"/>
              </w:rPr>
            </w:pPr>
            <w:r>
              <w:rPr>
                <w:rFonts w:eastAsiaTheme="minorEastAsia"/>
                <w:lang w:eastAsia="zh-CN"/>
              </w:rPr>
              <w:t>4.5 should be discussed in UL AI.</w:t>
            </w:r>
          </w:p>
        </w:tc>
      </w:tr>
      <w:tr w:rsidR="004C4DEB">
        <w:tc>
          <w:tcPr>
            <w:tcW w:w="2065" w:type="dxa"/>
          </w:tcPr>
          <w:p w:rsidR="004C4DEB" w:rsidRPr="004C4DEB" w:rsidRDefault="004C4DEB" w:rsidP="004B4E98">
            <w:pPr>
              <w:rPr>
                <w:rFonts w:eastAsiaTheme="minorEastAsia"/>
                <w:lang w:eastAsia="zh-CN"/>
              </w:rPr>
            </w:pPr>
            <w:r>
              <w:rPr>
                <w:rFonts w:eastAsiaTheme="minorEastAsia" w:hint="eastAsia"/>
                <w:lang w:eastAsia="zh-CN"/>
              </w:rPr>
              <w:t>O</w:t>
            </w:r>
            <w:r>
              <w:rPr>
                <w:rFonts w:eastAsiaTheme="minorEastAsia"/>
                <w:lang w:eastAsia="zh-CN"/>
              </w:rPr>
              <w:t>PPO</w:t>
            </w:r>
          </w:p>
        </w:tc>
        <w:tc>
          <w:tcPr>
            <w:tcW w:w="7297" w:type="dxa"/>
          </w:tcPr>
          <w:p w:rsidR="004C4DEB" w:rsidRDefault="004C4DEB" w:rsidP="004B4E98">
            <w:pPr>
              <w:rPr>
                <w:rFonts w:eastAsiaTheme="minorEastAsia"/>
                <w:lang w:eastAsia="zh-CN"/>
              </w:rPr>
            </w:pPr>
            <w:r>
              <w:rPr>
                <w:rFonts w:eastAsiaTheme="minorEastAsia"/>
                <w:lang w:eastAsia="zh-CN"/>
              </w:rPr>
              <w:t xml:space="preserve">We believe that issue 2.3 is also important and the issue was delayed since 100-e meeting. </w:t>
            </w:r>
          </w:p>
        </w:tc>
      </w:tr>
      <w:tr w:rsidR="00AA0A4E">
        <w:tc>
          <w:tcPr>
            <w:tcW w:w="2065" w:type="dxa"/>
          </w:tcPr>
          <w:p w:rsidR="00AA0A4E" w:rsidRDefault="00AA0A4E" w:rsidP="004B4E98">
            <w:pPr>
              <w:rPr>
                <w:rFonts w:eastAsiaTheme="minorEastAsia" w:hint="eastAsia"/>
                <w:lang w:eastAsia="zh-CN"/>
              </w:rPr>
            </w:pPr>
            <w:r>
              <w:rPr>
                <w:rFonts w:eastAsiaTheme="minorEastAsia"/>
                <w:lang w:eastAsia="zh-CN"/>
              </w:rPr>
              <w:t>Spreadtrum</w:t>
            </w:r>
          </w:p>
        </w:tc>
        <w:tc>
          <w:tcPr>
            <w:tcW w:w="7297" w:type="dxa"/>
          </w:tcPr>
          <w:p w:rsidR="00AA0A4E" w:rsidRDefault="00AA0A4E" w:rsidP="004B4E98">
            <w:pPr>
              <w:rPr>
                <w:rFonts w:eastAsiaTheme="minorEastAsia"/>
                <w:lang w:eastAsia="zh-CN"/>
              </w:rPr>
            </w:pPr>
            <w:r>
              <w:rPr>
                <w:rFonts w:eastAsiaTheme="minorEastAsia"/>
                <w:lang w:eastAsia="zh-CN"/>
              </w:rPr>
              <w:t>For Issue 2.1, it seems common understanding that M=1 or 2 are redundant in the table, and the removing of the rows can release at least 1 bit, which could be used for MIB interpretation in Issue 2.3. So, we suggest opening the door to discuss Issue 2.1 to leave bit(s) for future use.</w:t>
            </w:r>
          </w:p>
          <w:p w:rsidR="00AA0A4E" w:rsidRDefault="00AA0A4E" w:rsidP="004B4E98">
            <w:pPr>
              <w:rPr>
                <w:rFonts w:eastAsiaTheme="minorEastAsia"/>
                <w:lang w:eastAsia="zh-CN"/>
              </w:rPr>
            </w:pPr>
            <w:r>
              <w:rPr>
                <w:rFonts w:eastAsiaTheme="minorEastAsia"/>
                <w:lang w:eastAsia="zh-CN"/>
              </w:rPr>
              <w:t xml:space="preserve">For Issue 3.2, some points have been discussed in DL topic, but in our view the current mechanism (CSI-RS is validated by the scheduled PDSCH burst) is not friendly for </w:t>
            </w:r>
            <w:proofErr w:type="spellStart"/>
            <w:r>
              <w:rPr>
                <w:rFonts w:eastAsiaTheme="minorEastAsia"/>
                <w:lang w:eastAsia="zh-CN"/>
              </w:rPr>
              <w:t>gNB</w:t>
            </w:r>
            <w:proofErr w:type="spellEnd"/>
            <w:r>
              <w:rPr>
                <w:rFonts w:eastAsiaTheme="minorEastAsia"/>
                <w:lang w:eastAsia="zh-CN"/>
              </w:rPr>
              <w:t xml:space="preserve"> implementation. As mentioned by </w:t>
            </w:r>
            <w:proofErr w:type="spellStart"/>
            <w:r>
              <w:rPr>
                <w:rFonts w:eastAsiaTheme="minorEastAsia"/>
                <w:lang w:eastAsia="zh-CN"/>
              </w:rPr>
              <w:t>gNB</w:t>
            </w:r>
            <w:proofErr w:type="spellEnd"/>
            <w:r>
              <w:rPr>
                <w:rFonts w:eastAsiaTheme="minorEastAsia"/>
                <w:lang w:eastAsia="zh-CN"/>
              </w:rPr>
              <w:t xml:space="preserve"> vendor, </w:t>
            </w:r>
            <w:proofErr w:type="spellStart"/>
            <w:r>
              <w:rPr>
                <w:rFonts w:eastAsiaTheme="minorEastAsia"/>
                <w:lang w:eastAsia="zh-CN"/>
              </w:rPr>
              <w:t>gNB</w:t>
            </w:r>
            <w:proofErr w:type="spellEnd"/>
            <w:r>
              <w:rPr>
                <w:rFonts w:eastAsiaTheme="minorEastAsia"/>
                <w:lang w:eastAsia="zh-CN"/>
              </w:rPr>
              <w:t xml:space="preserve"> cannot change the scheduler strategy to </w:t>
            </w:r>
            <w:r w:rsidR="00E54572">
              <w:rPr>
                <w:rFonts w:eastAsiaTheme="minorEastAsia"/>
                <w:lang w:eastAsia="zh-CN"/>
              </w:rPr>
              <w:t>schedule a PDSCH consuming a UE-</w:t>
            </w:r>
            <w:r>
              <w:rPr>
                <w:rFonts w:eastAsiaTheme="minorEastAsia"/>
                <w:lang w:eastAsia="zh-CN"/>
              </w:rPr>
              <w:t>specific PDCCH to validate a CSI-RS for a UE</w:t>
            </w:r>
            <w:r w:rsidR="00E54572">
              <w:rPr>
                <w:rFonts w:eastAsiaTheme="minorEastAsia"/>
                <w:lang w:eastAsia="zh-CN"/>
              </w:rPr>
              <w:t xml:space="preserve">, and in realistic </w:t>
            </w:r>
            <w:proofErr w:type="spellStart"/>
            <w:r w:rsidR="00E54572">
              <w:rPr>
                <w:rFonts w:eastAsiaTheme="minorEastAsia"/>
                <w:lang w:eastAsia="zh-CN"/>
              </w:rPr>
              <w:t>gNB</w:t>
            </w:r>
            <w:proofErr w:type="spellEnd"/>
            <w:r w:rsidR="00E54572">
              <w:rPr>
                <w:rFonts w:eastAsiaTheme="minorEastAsia"/>
                <w:lang w:eastAsia="zh-CN"/>
              </w:rPr>
              <w:t xml:space="preserve"> has to use DCI format 2-0 to declare DL bursts. For standalone DRS with Cat 2 LBT, without SSB based validation, </w:t>
            </w:r>
            <w:proofErr w:type="spellStart"/>
            <w:r w:rsidR="00E54572">
              <w:rPr>
                <w:rFonts w:eastAsiaTheme="minorEastAsia"/>
                <w:lang w:eastAsia="zh-CN"/>
              </w:rPr>
              <w:t>gNB</w:t>
            </w:r>
            <w:proofErr w:type="spellEnd"/>
            <w:r w:rsidR="00E54572">
              <w:rPr>
                <w:rFonts w:eastAsiaTheme="minorEastAsia"/>
                <w:lang w:eastAsia="zh-CN"/>
              </w:rPr>
              <w:t xml:space="preserve"> also has to use DCI format 2-0 to declare DRS burst. It is redundant to use DCI format 2-0 for standalone DRS. Therefore, we suggest using SSB based validation for standalone DRS. By the way, CSI-RS validation is indeed CSI-RS cancelation, so there is no change of pipeline and no timing issue no matter for PDSCH based or SSB based validation</w:t>
            </w:r>
            <w:bookmarkStart w:id="207" w:name="_GoBack"/>
            <w:bookmarkEnd w:id="207"/>
            <w:r w:rsidR="00E54572">
              <w:rPr>
                <w:rFonts w:eastAsiaTheme="minorEastAsia"/>
                <w:lang w:eastAsia="zh-CN"/>
              </w:rPr>
              <w:t>, which was raise by company.</w:t>
            </w:r>
          </w:p>
        </w:tc>
      </w:tr>
    </w:tbl>
    <w:p w:rsidR="003C4E4D" w:rsidRDefault="003C4E4D">
      <w:pPr>
        <w:rPr>
          <w:lang w:eastAsia="en-US"/>
        </w:rPr>
      </w:pPr>
    </w:p>
    <w:p w:rsidR="003C4E4D" w:rsidRDefault="00AA22B9">
      <w:pPr>
        <w:pStyle w:val="Heading1"/>
        <w:tabs>
          <w:tab w:val="left" w:pos="9090"/>
        </w:tabs>
      </w:pPr>
      <w:r>
        <w:t>Reference</w:t>
      </w:r>
    </w:p>
    <w:p w:rsidR="003C4E4D" w:rsidRDefault="00AA22B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rsidR="003C4E4D" w:rsidRDefault="00AA22B9">
      <w:pPr>
        <w:rPr>
          <w:lang w:eastAsia="en-US"/>
        </w:rPr>
      </w:pPr>
      <w:r>
        <w:rPr>
          <w:lang w:eastAsia="en-US"/>
        </w:rPr>
        <w:t xml:space="preserve">[2]. R1-2005597, Remaining issues on the initial access signals for NR-U, ZTE, </w:t>
      </w:r>
      <w:proofErr w:type="spellStart"/>
      <w:r>
        <w:rPr>
          <w:lang w:eastAsia="en-US"/>
        </w:rPr>
        <w:t>Sanechips</w:t>
      </w:r>
      <w:proofErr w:type="spellEnd"/>
    </w:p>
    <w:p w:rsidR="003C4E4D" w:rsidRDefault="00AA22B9">
      <w:pPr>
        <w:rPr>
          <w:lang w:eastAsia="en-US"/>
        </w:rPr>
      </w:pPr>
      <w:r>
        <w:rPr>
          <w:lang w:eastAsia="en-US"/>
        </w:rPr>
        <w:t xml:space="preserve">[3]. R1-2005789, Maintenance on initial access signals and channels, Huawei, </w:t>
      </w:r>
      <w:proofErr w:type="spellStart"/>
      <w:r>
        <w:rPr>
          <w:lang w:eastAsia="en-US"/>
        </w:rPr>
        <w:t>HiSilicon</w:t>
      </w:r>
      <w:proofErr w:type="spellEnd"/>
    </w:p>
    <w:p w:rsidR="003C4E4D" w:rsidRDefault="00AA22B9">
      <w:pPr>
        <w:rPr>
          <w:lang w:eastAsia="en-US"/>
        </w:rPr>
      </w:pPr>
      <w:r>
        <w:rPr>
          <w:lang w:eastAsia="en-US"/>
        </w:rPr>
        <w:t>[4]. R1-2005904, Remaining issues on Initial Access Signals and Channels for NR-U, Nokia, Nokia Shanghai Bell</w:t>
      </w:r>
    </w:p>
    <w:p w:rsidR="003C4E4D" w:rsidRDefault="00AA22B9">
      <w:pPr>
        <w:rPr>
          <w:lang w:eastAsia="en-US"/>
        </w:rPr>
      </w:pPr>
      <w:r>
        <w:rPr>
          <w:lang w:eastAsia="en-US"/>
        </w:rPr>
        <w:t>[5]. R1-2005910, Initial access signals and channels, Ericsson</w:t>
      </w:r>
    </w:p>
    <w:p w:rsidR="003C4E4D" w:rsidRDefault="00AA22B9">
      <w:pPr>
        <w:rPr>
          <w:lang w:eastAsia="en-US"/>
        </w:rPr>
      </w:pPr>
      <w:r>
        <w:rPr>
          <w:lang w:eastAsia="en-US"/>
        </w:rPr>
        <w:t>[6]. R1-2006017, Discussion on the remaining issues of initial access signal/channel, OPPO</w:t>
      </w:r>
    </w:p>
    <w:p w:rsidR="003C4E4D" w:rsidRDefault="00AA22B9">
      <w:pPr>
        <w:rPr>
          <w:lang w:eastAsia="en-US"/>
        </w:rPr>
      </w:pPr>
      <w:r>
        <w:rPr>
          <w:lang w:eastAsia="en-US"/>
        </w:rPr>
        <w:t>[7]. R1-2006092, Initial access signals and channels for NR-U, Samsung</w:t>
      </w:r>
    </w:p>
    <w:p w:rsidR="003C4E4D" w:rsidRDefault="00AA22B9">
      <w:pPr>
        <w:rPr>
          <w:lang w:eastAsia="en-US"/>
        </w:rPr>
      </w:pPr>
      <w:r>
        <w:rPr>
          <w:lang w:eastAsia="en-US"/>
        </w:rPr>
        <w:lastRenderedPageBreak/>
        <w:t>[8]. R1-2006288, Remaining issues on initial access signals, Spreadtrum Communications</w:t>
      </w:r>
    </w:p>
    <w:p w:rsidR="003C4E4D" w:rsidRDefault="00AA22B9">
      <w:pPr>
        <w:rPr>
          <w:lang w:eastAsia="en-US"/>
        </w:rPr>
      </w:pPr>
      <w:r>
        <w:rPr>
          <w:lang w:eastAsia="en-US"/>
        </w:rPr>
        <w:t>[9]. R1-2006298, Remaining issues of initial access signals and channels for NR-U, LG Electronics</w:t>
      </w:r>
    </w:p>
    <w:p w:rsidR="003C4E4D" w:rsidRDefault="00AA22B9">
      <w:pPr>
        <w:rPr>
          <w:lang w:eastAsia="en-US"/>
        </w:rPr>
      </w:pPr>
      <w:r>
        <w:rPr>
          <w:lang w:eastAsia="en-US"/>
        </w:rPr>
        <w:t xml:space="preserve">[10]. R1-2005808, Maintenance on UL signals and channels, Huawei, </w:t>
      </w:r>
      <w:proofErr w:type="spellStart"/>
      <w:r>
        <w:rPr>
          <w:lang w:eastAsia="en-US"/>
        </w:rPr>
        <w:t>HiSilicon</w:t>
      </w:r>
      <w:proofErr w:type="spellEnd"/>
    </w:p>
    <w:p w:rsidR="003C4E4D" w:rsidRDefault="00AA22B9">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rsidR="003C4E4D" w:rsidRDefault="00AA22B9">
      <w:pPr>
        <w:rPr>
          <w:lang w:eastAsia="en-US"/>
        </w:rPr>
      </w:pPr>
      <w:r>
        <w:rPr>
          <w:lang w:eastAsia="en-US"/>
        </w:rPr>
        <w:t>[12]. R1-2006019, Discussion on the remaining issues of UL signals and channels, OPPO</w:t>
      </w:r>
    </w:p>
    <w:p w:rsidR="003C4E4D" w:rsidRDefault="00AA22B9">
      <w:pPr>
        <w:rPr>
          <w:lang w:eastAsia="en-US"/>
        </w:rPr>
      </w:pPr>
      <w:r>
        <w:rPr>
          <w:lang w:eastAsia="en-US"/>
        </w:rPr>
        <w:t>[13]. R1-2006094, UL signals and channels for NR-U, Samsung</w:t>
      </w:r>
    </w:p>
    <w:p w:rsidR="003C4E4D" w:rsidRDefault="00AA22B9">
      <w:pPr>
        <w:rPr>
          <w:lang w:eastAsia="en-US"/>
        </w:rPr>
      </w:pPr>
      <w:r>
        <w:rPr>
          <w:lang w:eastAsia="en-US"/>
        </w:rPr>
        <w:t xml:space="preserve">[14]. R1-2005599, Remaining issues on the UL channels for NR-U, ZTE, </w:t>
      </w:r>
      <w:proofErr w:type="spellStart"/>
      <w:r>
        <w:rPr>
          <w:lang w:eastAsia="en-US"/>
        </w:rPr>
        <w:t>Sanechips</w:t>
      </w:r>
      <w:proofErr w:type="spellEnd"/>
    </w:p>
    <w:p w:rsidR="003C4E4D" w:rsidRDefault="003C4E4D">
      <w:pPr>
        <w:rPr>
          <w:lang w:val="en-US" w:eastAsia="en-US"/>
        </w:rPr>
      </w:pPr>
    </w:p>
    <w:sectPr w:rsidR="003C4E4D">
      <w:footerReference w:type="even" r:id="rId45"/>
      <w:footerReference w:type="defaul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1B" w:rsidRDefault="00D63F1B">
      <w:pPr>
        <w:spacing w:after="0" w:line="240" w:lineRule="auto"/>
      </w:pPr>
      <w:r>
        <w:separator/>
      </w:r>
    </w:p>
  </w:endnote>
  <w:endnote w:type="continuationSeparator" w:id="0">
    <w:p w:rsidR="00D63F1B" w:rsidRDefault="00D6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4E" w:rsidRDefault="00AA0A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A0A4E" w:rsidRDefault="00AA0A4E">
    <w:pPr>
      <w:pStyle w:val="Footer"/>
    </w:pPr>
  </w:p>
  <w:p w:rsidR="00AA0A4E" w:rsidRDefault="00AA0A4E"/>
  <w:p w:rsidR="00AA0A4E" w:rsidRDefault="00AA0A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4E" w:rsidRDefault="00AA0A4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54572">
      <w:rPr>
        <w:rStyle w:val="PageNumber"/>
        <w:noProof/>
      </w:rPr>
      <w:t>11</w:t>
    </w:r>
    <w:r>
      <w:rPr>
        <w:rStyle w:val="PageNumber"/>
      </w:rPr>
      <w:fldChar w:fldCharType="end"/>
    </w:r>
  </w:p>
  <w:p w:rsidR="00AA0A4E" w:rsidRDefault="00AA0A4E">
    <w:pPr>
      <w:pStyle w:val="Footer"/>
    </w:pPr>
  </w:p>
  <w:p w:rsidR="00AA0A4E" w:rsidRDefault="00AA0A4E"/>
  <w:p w:rsidR="00AA0A4E" w:rsidRDefault="00AA0A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1B" w:rsidRDefault="00D63F1B">
      <w:pPr>
        <w:spacing w:after="0" w:line="240" w:lineRule="auto"/>
      </w:pPr>
      <w:r>
        <w:separator/>
      </w:r>
    </w:p>
  </w:footnote>
  <w:footnote w:type="continuationSeparator" w:id="0">
    <w:p w:rsidR="00D63F1B" w:rsidRDefault="00D63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preadtrum">
    <w15:presenceInfo w15:providerId="None" w15:userId="Spreadtrum"/>
  </w15:person>
  <w15:person w15:author="JS">
    <w15:presenceInfo w15:providerId="None" w15:userId="JS"/>
  </w15:person>
  <w15:person w15:author="MCC: CR0005">
    <w15:presenceInfo w15:providerId="None" w15:userId="MCC: CR000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5408D"/>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宋体"/>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rPr>
      <w:rFonts w:ascii="Batang"/>
      <w:kern w:val="2"/>
      <w:szCs w:val="24"/>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3.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oleObject1.bin"/><Relationship Id="rId42" Type="http://schemas.openxmlformats.org/officeDocument/2006/relationships/image" Target="media/image24.wmf"/><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3.bin"/><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2.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5.wmf"/><Relationship Id="rId48"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8B8054-4A91-4C67-8F14-CF9904362288}">
  <ds:schemaRefs>
    <ds:schemaRef ds:uri="http://schemas.openxmlformats.org/officeDocument/2006/bibliography"/>
  </ds:schemaRefs>
</ds:datastoreItem>
</file>

<file path=customXml/itemProps7.xml><?xml version="1.0" encoding="utf-8"?>
<ds:datastoreItem xmlns:ds="http://schemas.openxmlformats.org/officeDocument/2006/customXml" ds:itemID="{22CEA63F-1CEE-434B-A038-B5BEB044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4672</Words>
  <Characters>26635</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Spreadtrum</cp:lastModifiedBy>
  <cp:revision>2</cp:revision>
  <cp:lastPrinted>2019-01-10T09:30:00Z</cp:lastPrinted>
  <dcterms:created xsi:type="dcterms:W3CDTF">2020-08-13T13:42:00Z</dcterms:created>
  <dcterms:modified xsi:type="dcterms:W3CDTF">2020-08-13T13:42:00Z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