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38"/>
        <w:gridCol w:w="7690"/>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392B2A">
        <w:tc>
          <w:tcPr>
            <w:tcW w:w="1980" w:type="dxa"/>
          </w:tcPr>
          <w:p w14:paraId="5F9EE2AB" w14:textId="43273B0C" w:rsidR="0069307B" w:rsidRDefault="0069307B" w:rsidP="00392B2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r w:rsidR="004E07AA">
              <w:rPr>
                <w:rFonts w:eastAsiaTheme="minorEastAsia"/>
                <w:sz w:val="22"/>
                <w:lang w:val="en-US" w:eastAsia="zh-CN"/>
              </w:rPr>
              <w:t>-</w:t>
            </w:r>
            <w:bookmarkStart w:id="9" w:name="_GoBack"/>
            <w:bookmarkEnd w:id="9"/>
            <w:r w:rsidR="004E07AA">
              <w:rPr>
                <w:rFonts w:eastAsiaTheme="minorEastAsia"/>
                <w:sz w:val="22"/>
                <w:lang w:val="en-US" w:eastAsia="zh-CN"/>
              </w:rPr>
              <w:t>2</w:t>
            </w:r>
          </w:p>
        </w:tc>
        <w:tc>
          <w:tcPr>
            <w:tcW w:w="7982" w:type="dxa"/>
          </w:tcPr>
          <w:p w14:paraId="31B1D00E" w14:textId="0AEB59BF"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r w:rsidR="0011175B">
              <w:rPr>
                <w:rFonts w:eastAsiaTheme="minorEastAsia"/>
                <w:sz w:val="22"/>
                <w:lang w:val="en-US" w:eastAsia="zh-CN"/>
              </w:rPr>
              <w:t xml:space="preserve"> generally</w:t>
            </w:r>
            <w:r>
              <w:rPr>
                <w:rFonts w:eastAsiaTheme="minorEastAsia"/>
                <w:sz w:val="22"/>
                <w:lang w:val="en-US" w:eastAsia="zh-CN"/>
              </w:rPr>
              <w:t>.</w:t>
            </w:r>
          </w:p>
          <w:p w14:paraId="6D6A94DB" w14:textId="15C53775" w:rsidR="0011175B" w:rsidRDefault="0011175B" w:rsidP="004A686F">
            <w:pPr>
              <w:spacing w:afterLines="50" w:after="120"/>
              <w:jc w:val="both"/>
              <w:rPr>
                <w:rFonts w:eastAsiaTheme="minorEastAsia"/>
                <w:sz w:val="22"/>
                <w:lang w:val="en-US" w:eastAsia="zh-CN"/>
              </w:rPr>
            </w:pPr>
            <w:r>
              <w:rPr>
                <w:rFonts w:eastAsiaTheme="minorEastAsia"/>
                <w:sz w:val="22"/>
                <w:lang w:val="en-US" w:eastAsia="zh-CN"/>
              </w:rPr>
              <w:t xml:space="preserve">After some checking with RAN2, since it will be discussed in RAN2 for additional TRS bandwidth as well for the capability capture, so we may leave it to RAN2 discussion and capture. </w:t>
            </w:r>
          </w:p>
        </w:tc>
      </w:tr>
      <w:tr w:rsidR="001123F2" w14:paraId="22530BDC" w14:textId="77777777" w:rsidTr="00392B2A">
        <w:tc>
          <w:tcPr>
            <w:tcW w:w="1980" w:type="dxa"/>
          </w:tcPr>
          <w:p w14:paraId="2B8F49AC" w14:textId="6784193C" w:rsidR="001123F2" w:rsidRDefault="001123F2" w:rsidP="00392B2A">
            <w:pPr>
              <w:spacing w:afterLines="50" w:after="120"/>
              <w:jc w:val="both"/>
              <w:rPr>
                <w:rFonts w:eastAsiaTheme="minorEastAsia"/>
                <w:sz w:val="22"/>
                <w:lang w:val="en-US" w:eastAsia="zh-CN"/>
              </w:rPr>
            </w:pPr>
            <w:r>
              <w:rPr>
                <w:rFonts w:eastAsiaTheme="minorEastAsia"/>
                <w:sz w:val="22"/>
                <w:lang w:val="en-US" w:eastAsia="zh-CN"/>
              </w:rPr>
              <w:t>Apple</w:t>
            </w:r>
          </w:p>
        </w:tc>
        <w:tc>
          <w:tcPr>
            <w:tcW w:w="7982" w:type="dxa"/>
          </w:tcPr>
          <w:p w14:paraId="330A0448" w14:textId="25637DD1" w:rsidR="001123F2" w:rsidRDefault="001123F2" w:rsidP="004A686F">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r w:rsidR="00282691" w14:paraId="211FBE2A" w14:textId="77777777" w:rsidTr="00392B2A">
        <w:tc>
          <w:tcPr>
            <w:tcW w:w="1980" w:type="dxa"/>
          </w:tcPr>
          <w:p w14:paraId="5EFBD65E" w14:textId="30F8A121" w:rsidR="00282691" w:rsidRDefault="00282691" w:rsidP="00392B2A">
            <w:pPr>
              <w:spacing w:afterLines="50" w:after="120"/>
              <w:jc w:val="both"/>
              <w:rPr>
                <w:rFonts w:eastAsiaTheme="minorEastAsia"/>
                <w:sz w:val="22"/>
                <w:lang w:val="en-US" w:eastAsia="zh-CN"/>
              </w:rPr>
            </w:pPr>
            <w:r>
              <w:rPr>
                <w:rFonts w:eastAsiaTheme="minorEastAsia"/>
                <w:sz w:val="22"/>
                <w:lang w:val="en-US" w:eastAsia="zh-CN"/>
              </w:rPr>
              <w:t>Qualcomm</w:t>
            </w:r>
          </w:p>
        </w:tc>
        <w:tc>
          <w:tcPr>
            <w:tcW w:w="7982" w:type="dxa"/>
          </w:tcPr>
          <w:p w14:paraId="686E7807" w14:textId="2CB780F3"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We are a bit confused about why the particular discussion point is necessary. The plenary </w:t>
            </w:r>
            <w:r w:rsidR="008D3676">
              <w:rPr>
                <w:rFonts w:eastAsiaTheme="minorEastAsia"/>
                <w:sz w:val="22"/>
                <w:lang w:val="en-US" w:eastAsia="zh-CN"/>
              </w:rPr>
              <w:t>has</w:t>
            </w:r>
            <w:r>
              <w:rPr>
                <w:rFonts w:eastAsiaTheme="minorEastAsia"/>
                <w:sz w:val="22"/>
                <w:lang w:val="en-US" w:eastAsia="zh-CN"/>
              </w:rPr>
              <w:t xml:space="preserve"> endorsed the following: </w:t>
            </w:r>
          </w:p>
          <w:p w14:paraId="59C61B6C" w14:textId="77777777" w:rsidR="00282691" w:rsidRPr="00282691" w:rsidRDefault="00282691" w:rsidP="00282691">
            <w:pPr>
              <w:numPr>
                <w:ilvl w:val="0"/>
                <w:numId w:val="33"/>
              </w:numPr>
              <w:spacing w:afterLines="50" w:after="120"/>
              <w:jc w:val="both"/>
              <w:rPr>
                <w:rFonts w:eastAsiaTheme="minorEastAsia"/>
                <w:sz w:val="22"/>
                <w:lang w:val="en-US" w:eastAsia="zh-CN"/>
              </w:rPr>
            </w:pPr>
            <w:r w:rsidRPr="00282691">
              <w:rPr>
                <w:rFonts w:eastAsiaTheme="minorEastAsia"/>
                <w:sz w:val="22"/>
                <w:lang w:eastAsia="zh-CN"/>
              </w:rPr>
              <w:lastRenderedPageBreak/>
              <w:t xml:space="preserve">A </w:t>
            </w:r>
            <w:r w:rsidRPr="00282691">
              <w:rPr>
                <w:rFonts w:eastAsiaTheme="minorEastAsia"/>
                <w:b/>
                <w:bCs/>
                <w:color w:val="FF0000"/>
                <w:sz w:val="22"/>
                <w:lang w:eastAsia="zh-CN"/>
              </w:rPr>
              <w:t>“per-band” UE capability</w:t>
            </w:r>
            <w:r w:rsidRPr="00282691">
              <w:rPr>
                <w:rFonts w:eastAsiaTheme="minorEastAsia"/>
                <w:color w:val="FF0000"/>
                <w:sz w:val="22"/>
                <w:lang w:eastAsia="zh-CN"/>
              </w:rPr>
              <w:t xml:space="preserve"> </w:t>
            </w:r>
            <w:r w:rsidRPr="00282691">
              <w:rPr>
                <w:rFonts w:eastAsiaTheme="minorEastAsia"/>
                <w:sz w:val="22"/>
                <w:lang w:eastAsia="zh-CN"/>
              </w:rPr>
              <w:t xml:space="preserve">is to be defined for this </w:t>
            </w:r>
            <w:r w:rsidRPr="00282691">
              <w:rPr>
                <w:rFonts w:eastAsiaTheme="minorEastAsia"/>
                <w:b/>
                <w:bCs/>
                <w:color w:val="FF0000"/>
                <w:sz w:val="22"/>
                <w:lang w:eastAsia="zh-CN"/>
              </w:rPr>
              <w:t>optional UE feature</w:t>
            </w:r>
            <w:r w:rsidRPr="00282691">
              <w:rPr>
                <w:rFonts w:eastAsiaTheme="minorEastAsia"/>
                <w:sz w:val="22"/>
                <w:lang w:eastAsia="zh-CN"/>
              </w:rPr>
              <w:t xml:space="preserve">, that indicates per band support for one of: </w:t>
            </w:r>
          </w:p>
          <w:p w14:paraId="2016DB5F"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w:t>
            </w:r>
          </w:p>
          <w:p w14:paraId="27EA9CE3"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 except 28 RB size”</w:t>
            </w:r>
          </w:p>
          <w:p w14:paraId="5F861CE2" w14:textId="77777777"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The answers have been provided by the Plenary decisions. </w:t>
            </w:r>
          </w:p>
          <w:p w14:paraId="7E5BC19E" w14:textId="4C208927" w:rsidR="008D3676" w:rsidRDefault="008D3676" w:rsidP="004A686F">
            <w:pPr>
              <w:spacing w:afterLines="50" w:after="120"/>
              <w:jc w:val="both"/>
              <w:rPr>
                <w:rFonts w:eastAsiaTheme="minorEastAsia"/>
                <w:sz w:val="22"/>
                <w:lang w:val="en-US" w:eastAsia="zh-CN"/>
              </w:rPr>
            </w:pPr>
            <w:r>
              <w:rPr>
                <w:rFonts w:eastAsiaTheme="minorEastAsia"/>
                <w:sz w:val="22"/>
                <w:lang w:val="en-US" w:eastAsia="zh-CN"/>
              </w:rPr>
              <w:t>We are fine with the other parts of the proposal below, except that the feature’s name should be something like “</w:t>
            </w:r>
            <w:r>
              <w:t xml:space="preserve">TRS bandwidth sizes smaller than </w:t>
            </w:r>
            <w:r w:rsidRPr="008D3676">
              <w:t>50RBs</w:t>
            </w:r>
            <w:r w:rsidRPr="008D3676">
              <w:rPr>
                <w:u w:val="single"/>
              </w:rPr>
              <w:t xml:space="preserve"> in 10MHz channel</w:t>
            </w:r>
            <w:r>
              <w:t>”</w:t>
            </w: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lastRenderedPageBreak/>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Hence, corrensponding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afc"/>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afc"/>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afc"/>
              <w:numPr>
                <w:ilvl w:val="0"/>
                <w:numId w:val="30"/>
              </w:numPr>
              <w:ind w:leftChars="0"/>
              <w:contextualSpacing/>
            </w:pPr>
            <w:r w:rsidRPr="00743072">
              <w:rPr>
                <w:b/>
                <w:bCs/>
              </w:rPr>
              <w:t>Pre-requisite FG</w:t>
            </w:r>
            <w:r>
              <w:t>: 2-50</w:t>
            </w:r>
          </w:p>
          <w:p w14:paraId="3D83136B" w14:textId="77777777" w:rsidR="005C46D5" w:rsidRDefault="005C46D5" w:rsidP="005C46D5">
            <w:pPr>
              <w:pStyle w:val="afc"/>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afc"/>
              <w:numPr>
                <w:ilvl w:val="0"/>
                <w:numId w:val="30"/>
              </w:numPr>
              <w:ind w:leftChars="0"/>
              <w:contextualSpacing/>
            </w:pPr>
            <w:r w:rsidRPr="00743072">
              <w:rPr>
                <w:b/>
                <w:bCs/>
              </w:rPr>
              <w:t>Type</w:t>
            </w:r>
            <w:r>
              <w:t>: per band</w:t>
            </w:r>
          </w:p>
          <w:p w14:paraId="7C317C24" w14:textId="77777777" w:rsidR="005C46D5" w:rsidRDefault="005C46D5" w:rsidP="005C46D5">
            <w:pPr>
              <w:pStyle w:val="afc"/>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afc"/>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afc"/>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afc"/>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9A109" w14:textId="77777777" w:rsidR="006D5C0C" w:rsidRDefault="006D5C0C">
      <w:r>
        <w:separator/>
      </w:r>
    </w:p>
  </w:endnote>
  <w:endnote w:type="continuationSeparator" w:id="0">
    <w:p w14:paraId="2398A1E3" w14:textId="77777777" w:rsidR="006D5C0C" w:rsidRDefault="006D5C0C">
      <w:r>
        <w:continuationSeparator/>
      </w:r>
    </w:p>
  </w:endnote>
  <w:endnote w:type="continuationNotice" w:id="1">
    <w:p w14:paraId="2C5A03F7" w14:textId="77777777" w:rsidR="006D5C0C" w:rsidRDefault="006D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6B01FFEF"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E07AA">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E07AA">
      <w:rPr>
        <w:rStyle w:val="af1"/>
        <w:rFonts w:eastAsia="MS Gothic"/>
        <w:noProof/>
      </w:rPr>
      <w:t>13</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1C0A80B2"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E07AA">
      <w:rPr>
        <w:rStyle w:val="af1"/>
        <w:rFonts w:eastAsia="MS Gothic"/>
        <w:noProof/>
      </w:rPr>
      <w:t>13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E07AA">
      <w:rPr>
        <w:rStyle w:val="af1"/>
        <w:rFonts w:eastAsia="MS Gothic"/>
        <w:noProof/>
      </w:rPr>
      <w:t>13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AF6AC" w14:textId="77777777" w:rsidR="006D5C0C" w:rsidRDefault="006D5C0C">
      <w:r>
        <w:separator/>
      </w:r>
    </w:p>
  </w:footnote>
  <w:footnote w:type="continuationSeparator" w:id="0">
    <w:p w14:paraId="64E9CF61" w14:textId="77777777" w:rsidR="006D5C0C" w:rsidRDefault="006D5C0C">
      <w:r>
        <w:continuationSeparator/>
      </w:r>
    </w:p>
  </w:footnote>
  <w:footnote w:type="continuationNotice" w:id="1">
    <w:p w14:paraId="530C418B" w14:textId="77777777" w:rsidR="006D5C0C" w:rsidRDefault="006D5C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abstractNum w:abstractNumId="32"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30"/>
  </w:num>
  <w:num w:numId="4">
    <w:abstractNumId w:val="4"/>
  </w:num>
  <w:num w:numId="5">
    <w:abstractNumId w:val="9"/>
  </w:num>
  <w:num w:numId="6">
    <w:abstractNumId w:val="24"/>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1"/>
  </w:num>
  <w:num w:numId="13">
    <w:abstractNumId w:val="6"/>
  </w:num>
  <w:num w:numId="14">
    <w:abstractNumId w:val="21"/>
  </w:num>
  <w:num w:numId="15">
    <w:abstractNumId w:val="11"/>
  </w:num>
  <w:num w:numId="16">
    <w:abstractNumId w:val="32"/>
  </w:num>
  <w:num w:numId="17">
    <w:abstractNumId w:val="10"/>
  </w:num>
  <w:num w:numId="18">
    <w:abstractNumId w:val="22"/>
  </w:num>
  <w:num w:numId="19">
    <w:abstractNumId w:val="26"/>
  </w:num>
  <w:num w:numId="20">
    <w:abstractNumId w:val="28"/>
  </w:num>
  <w:num w:numId="21">
    <w:abstractNumId w:val="23"/>
  </w:num>
  <w:num w:numId="22">
    <w:abstractNumId w:val="29"/>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7"/>
  </w:num>
  <w:num w:numId="31">
    <w:abstractNumId w:val="19"/>
  </w:num>
  <w:num w:numId="32">
    <w:abstractNumId w:val="15"/>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56A"/>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terms/"/>
    <ds:schemaRef ds:uri="http://schemas.microsoft.com/office/2006/metadata/properties"/>
    <ds:schemaRef ds:uri="69f6baf6-0e22-4b51-814b-1cf2778135e5"/>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16d3abbb-ac62-4723-a952-e511a3121568"/>
    <ds:schemaRef ds:uri="http://www.w3.org/XML/1998/namespace"/>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7794D0-B6A0-416E-92B3-B8024B3D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2564</Words>
  <Characters>12922</Characters>
  <Application>Microsoft Office Word</Application>
  <DocSecurity>0</DocSecurity>
  <Lines>107</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2020-08-14T02:34:00Z</dcterms:created>
  <dcterms:modified xsi:type="dcterms:W3CDTF">2020-08-14T02:42:00Z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