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44742D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EE6312">
        <w:rPr>
          <w:rFonts w:ascii="Arial" w:eastAsia="MS Mincho" w:hAnsi="Arial"/>
          <w:b/>
          <w:noProof/>
          <w:lang w:val="en-US"/>
        </w:rPr>
        <w:t>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53269D5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Summary on UE features for TEIs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29D4" w14:textId="68BFA55C" w:rsidR="00EE6312" w:rsidRPr="003E0E4E" w:rsidRDefault="00EE6312" w:rsidP="00EE6312">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NR TEI</w:t>
      </w:r>
      <w:r w:rsidRPr="003E0E4E">
        <w:rPr>
          <w:rFonts w:eastAsia="MS Mincho"/>
          <w:sz w:val="22"/>
          <w:szCs w:val="22"/>
          <w:lang w:val="en-US"/>
        </w:rPr>
        <w:t>.</w:t>
      </w:r>
    </w:p>
    <w:p w14:paraId="620D76AA" w14:textId="1007254F" w:rsidR="00EE6312" w:rsidRDefault="00EE6312" w:rsidP="00EE6312">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w:t>
      </w:r>
      <w:r w:rsidR="00E5156A">
        <w:rPr>
          <w:sz w:val="22"/>
          <w:lang w:val="en-US"/>
        </w:rPr>
        <w:t>s</w:t>
      </w:r>
      <w:r>
        <w:rPr>
          <w:sz w:val="22"/>
          <w:lang w:val="en-US"/>
        </w:rPr>
        <w:t xml:space="preserve"> </w:t>
      </w:r>
      <w:r w:rsidR="00E5156A">
        <w:rPr>
          <w:sz w:val="22"/>
          <w:lang w:val="en-US"/>
        </w:rPr>
        <w:t>are</w:t>
      </w:r>
      <w:r>
        <w:rPr>
          <w:sz w:val="22"/>
          <w:lang w:val="en-US"/>
        </w:rPr>
        <w:t xml:space="preserve"> </w:t>
      </w:r>
      <w:r w:rsidR="00E5156A">
        <w:rPr>
          <w:sz w:val="22"/>
          <w:lang w:val="en-US"/>
        </w:rPr>
        <w:t>parts</w:t>
      </w:r>
      <w:r>
        <w:rPr>
          <w:sz w:val="22"/>
          <w:lang w:val="en-US"/>
        </w:rPr>
        <w:t xml:space="preserve"> of the suggested email discussions/approvals for AI 7.2.11.</w:t>
      </w:r>
    </w:p>
    <w:p w14:paraId="398E50FE" w14:textId="77777777" w:rsidR="00EE6312" w:rsidRPr="00E15D6E" w:rsidRDefault="00EE6312" w:rsidP="00EE631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3C5F612" w14:textId="22BCF3FC" w:rsidR="00EE6312" w:rsidRDefault="00EE6312" w:rsidP="00EE6312">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28910A" w14:textId="77777777" w:rsidR="00E5156A" w:rsidRPr="00C00E99" w:rsidRDefault="00E5156A" w:rsidP="00E5156A">
      <w:pPr>
        <w:pStyle w:val="aff8"/>
        <w:numPr>
          <w:ilvl w:val="0"/>
          <w:numId w:val="19"/>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47D4B094" w14:textId="7151FD2D" w:rsidR="00E5156A" w:rsidRPr="00E5156A" w:rsidRDefault="00E5156A" w:rsidP="00E5156A">
      <w:pPr>
        <w:pStyle w:val="aff8"/>
        <w:numPr>
          <w:ilvl w:val="0"/>
          <w:numId w:val="19"/>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16A9364" w14:textId="53C4BC4B" w:rsidR="00E5156A" w:rsidRDefault="00E5156A" w:rsidP="00E5156A">
      <w:pPr>
        <w:spacing w:afterLines="50" w:after="120"/>
        <w:jc w:val="both"/>
        <w:rPr>
          <w:rFonts w:eastAsia="MS Mincho"/>
          <w:sz w:val="22"/>
          <w:lang w:val="en-US"/>
        </w:rPr>
      </w:pPr>
    </w:p>
    <w:p w14:paraId="3D785C0B" w14:textId="66AC3F2F" w:rsidR="00E5156A" w:rsidRPr="00E5156A" w:rsidRDefault="00E5156A" w:rsidP="00E5156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32D5C08" w14:textId="4F68FE37" w:rsidR="00E5156A" w:rsidRPr="00E5156A" w:rsidRDefault="00E5156A" w:rsidP="00E5156A">
      <w:pPr>
        <w:pStyle w:val="aff8"/>
        <w:numPr>
          <w:ilvl w:val="0"/>
          <w:numId w:val="19"/>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32C80E7A" w14:textId="77777777" w:rsidR="00EE6312" w:rsidRPr="00E03D3C" w:rsidRDefault="00EE6312" w:rsidP="00EE6312">
      <w:pPr>
        <w:rPr>
          <w:b/>
          <w:sz w:val="22"/>
          <w:szCs w:val="22"/>
          <w:lang w:val="en-US"/>
        </w:rPr>
      </w:pPr>
    </w:p>
    <w:p w14:paraId="3FE03C22" w14:textId="77777777" w:rsidR="00EE6312" w:rsidRPr="00E03D3C" w:rsidRDefault="00EE6312" w:rsidP="00EE6312">
      <w:pPr>
        <w:rPr>
          <w:b/>
          <w:sz w:val="22"/>
          <w:szCs w:val="22"/>
          <w:lang w:val="en-US"/>
        </w:rPr>
      </w:pPr>
    </w:p>
    <w:p w14:paraId="186FA7B7" w14:textId="77777777" w:rsidR="00EE6312" w:rsidRDefault="00EE6312" w:rsidP="00EE6312">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5"/>
        <w:tblW w:w="0" w:type="auto"/>
        <w:tblLook w:val="04A0" w:firstRow="1" w:lastRow="0" w:firstColumn="1" w:lastColumn="0" w:noHBand="0" w:noVBand="1"/>
      </w:tblPr>
      <w:tblGrid>
        <w:gridCol w:w="1937"/>
        <w:gridCol w:w="7691"/>
      </w:tblGrid>
      <w:tr w:rsidR="00EE6312" w14:paraId="4DE73DBA" w14:textId="77777777" w:rsidTr="00392B2A">
        <w:tc>
          <w:tcPr>
            <w:tcW w:w="1980" w:type="dxa"/>
            <w:shd w:val="clear" w:color="auto" w:fill="B6E7BC" w:themeFill="background1" w:themeFillShade="F2"/>
          </w:tcPr>
          <w:p w14:paraId="0E81D646" w14:textId="77777777" w:rsidR="00EE6312" w:rsidRDefault="00EE6312"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B6E7BC" w:themeFill="background1" w:themeFillShade="F2"/>
          </w:tcPr>
          <w:p w14:paraId="2605F726" w14:textId="77777777" w:rsidR="00EE6312" w:rsidRDefault="00EE6312" w:rsidP="00392B2A">
            <w:pPr>
              <w:spacing w:afterLines="50" w:after="120"/>
              <w:jc w:val="both"/>
              <w:rPr>
                <w:sz w:val="22"/>
                <w:lang w:val="en-US"/>
              </w:rPr>
            </w:pPr>
            <w:r>
              <w:rPr>
                <w:rFonts w:hint="eastAsia"/>
                <w:sz w:val="22"/>
                <w:lang w:val="en-US"/>
              </w:rPr>
              <w:t>C</w:t>
            </w:r>
            <w:r>
              <w:rPr>
                <w:sz w:val="22"/>
                <w:lang w:val="en-US"/>
              </w:rPr>
              <w:t>omment</w:t>
            </w:r>
          </w:p>
        </w:tc>
      </w:tr>
      <w:tr w:rsidR="00EE6312" w14:paraId="78683CB1" w14:textId="77777777" w:rsidTr="00392B2A">
        <w:tc>
          <w:tcPr>
            <w:tcW w:w="1980" w:type="dxa"/>
          </w:tcPr>
          <w:p w14:paraId="3B37E901" w14:textId="07677269" w:rsidR="00EE6312" w:rsidRDefault="003350E9" w:rsidP="00392B2A">
            <w:pPr>
              <w:spacing w:afterLines="50" w:after="120"/>
              <w:jc w:val="both"/>
              <w:rPr>
                <w:sz w:val="22"/>
                <w:lang w:val="en-US"/>
              </w:rPr>
            </w:pPr>
            <w:r>
              <w:rPr>
                <w:sz w:val="22"/>
                <w:lang w:val="en-US"/>
              </w:rPr>
              <w:t>Ericsson</w:t>
            </w:r>
          </w:p>
        </w:tc>
        <w:tc>
          <w:tcPr>
            <w:tcW w:w="7982" w:type="dxa"/>
          </w:tcPr>
          <w:p w14:paraId="6AF29C6F" w14:textId="2FDD8868" w:rsidR="00F438B3" w:rsidRDefault="00F438B3" w:rsidP="00392B2A">
            <w:pPr>
              <w:spacing w:afterLines="50" w:after="120"/>
              <w:jc w:val="both"/>
              <w:rPr>
                <w:sz w:val="22"/>
                <w:lang w:val="en-US"/>
              </w:rPr>
            </w:pPr>
            <w:r>
              <w:rPr>
                <w:sz w:val="22"/>
                <w:lang w:val="en-US"/>
              </w:rPr>
              <w:t>We are fine with the discussion order proposed by FL. Hopefully we could resolve all those issues on this meeting.</w:t>
            </w:r>
          </w:p>
        </w:tc>
      </w:tr>
      <w:tr w:rsidR="00EE6312" w14:paraId="182BF5BE" w14:textId="77777777" w:rsidTr="00392B2A">
        <w:tc>
          <w:tcPr>
            <w:tcW w:w="1980" w:type="dxa"/>
          </w:tcPr>
          <w:p w14:paraId="51ED4192" w14:textId="36364DD2" w:rsidR="00EE6312" w:rsidRDefault="00CB7FA3" w:rsidP="00392B2A">
            <w:pPr>
              <w:spacing w:afterLines="50" w:after="120"/>
              <w:jc w:val="both"/>
              <w:rPr>
                <w:sz w:val="22"/>
                <w:lang w:val="en-US"/>
              </w:rPr>
            </w:pPr>
            <w:r>
              <w:rPr>
                <w:sz w:val="22"/>
                <w:lang w:val="en-US"/>
              </w:rPr>
              <w:t>vivo</w:t>
            </w:r>
          </w:p>
        </w:tc>
        <w:tc>
          <w:tcPr>
            <w:tcW w:w="7982" w:type="dxa"/>
          </w:tcPr>
          <w:p w14:paraId="15F94DD7" w14:textId="7A022619" w:rsidR="00EE6312" w:rsidRPr="00CB7FA3" w:rsidRDefault="00CB7FA3" w:rsidP="00392B2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new TRS bandwidth, since the LS is also sent to RAN2, is it correct understanding that RAN2 would design the signaling directly based on the LS from RANP? Maybe we don’t need discussion in this email thread to avoid repeated discussion in RAN1 and RAN2 simultaneously. </w:t>
            </w:r>
          </w:p>
        </w:tc>
      </w:tr>
      <w:tr w:rsidR="00EE6312" w14:paraId="6FAFD8F1" w14:textId="77777777" w:rsidTr="00392B2A">
        <w:tc>
          <w:tcPr>
            <w:tcW w:w="1980" w:type="dxa"/>
          </w:tcPr>
          <w:p w14:paraId="697F3C2F" w14:textId="02AC8BAB" w:rsidR="00EE6312" w:rsidRDefault="00717CB7" w:rsidP="00392B2A">
            <w:pPr>
              <w:spacing w:afterLines="50" w:after="120"/>
              <w:jc w:val="both"/>
              <w:rPr>
                <w:sz w:val="22"/>
                <w:lang w:val="en-US"/>
              </w:rPr>
            </w:pPr>
            <w:r>
              <w:rPr>
                <w:sz w:val="22"/>
                <w:lang w:val="en-US"/>
              </w:rPr>
              <w:t>Nokia, NSB</w:t>
            </w:r>
          </w:p>
        </w:tc>
        <w:tc>
          <w:tcPr>
            <w:tcW w:w="7982" w:type="dxa"/>
          </w:tcPr>
          <w:p w14:paraId="5134BFD3" w14:textId="0169C53C" w:rsidR="00EE6312" w:rsidRPr="00F740AD" w:rsidRDefault="00717CB7" w:rsidP="00392B2A">
            <w:pPr>
              <w:spacing w:afterLines="50" w:after="120"/>
              <w:jc w:val="both"/>
              <w:rPr>
                <w:sz w:val="22"/>
                <w:lang w:val="en-US"/>
              </w:rPr>
            </w:pPr>
            <w:r>
              <w:rPr>
                <w:sz w:val="22"/>
                <w:lang w:val="en-US"/>
              </w:rPr>
              <w:t>We agree with the discussions as proposed by FL. Regarding the new TRS bandwidth, there is a risk that RAN2 will wait for a RAN1 definition on the feature, and that misunderstanding should be avoided. It is fine to leave it to RAN2 if there is a direct confirmation from RAN2 that they will in fact handle the issue without waiting for RAN1 input first.</w:t>
            </w:r>
          </w:p>
        </w:tc>
      </w:tr>
      <w:tr w:rsidR="00EE6312" w14:paraId="48CE4E2B" w14:textId="77777777" w:rsidTr="00392B2A">
        <w:tc>
          <w:tcPr>
            <w:tcW w:w="1980" w:type="dxa"/>
          </w:tcPr>
          <w:p w14:paraId="482286D8" w14:textId="018CB63F" w:rsidR="00EE6312" w:rsidRPr="004A686F" w:rsidRDefault="004A686F" w:rsidP="00392B2A">
            <w:pPr>
              <w:spacing w:afterLines="50" w:after="120"/>
              <w:jc w:val="both"/>
              <w:rPr>
                <w:rFonts w:eastAsiaTheme="minorEastAsia" w:hint="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982" w:type="dxa"/>
          </w:tcPr>
          <w:p w14:paraId="6F9BD885" w14:textId="0E6DD51C" w:rsidR="00EE6312" w:rsidRPr="004A686F" w:rsidRDefault="004A686F" w:rsidP="004A686F">
            <w:pPr>
              <w:spacing w:afterLines="50" w:after="120"/>
              <w:jc w:val="both"/>
              <w:rPr>
                <w:rFonts w:eastAsiaTheme="minorEastAsia" w:hint="eastAsia"/>
                <w:sz w:val="22"/>
                <w:lang w:val="en-US" w:eastAsia="zh-CN"/>
              </w:rPr>
            </w:pPr>
            <w:r>
              <w:rPr>
                <w:rFonts w:eastAsiaTheme="minorEastAsia"/>
                <w:sz w:val="22"/>
                <w:lang w:val="en-US" w:eastAsia="zh-CN"/>
              </w:rPr>
              <w:t>Fine with FL proposal. Regarding the first email discussion, w</w:t>
            </w:r>
            <w:bookmarkStart w:id="9" w:name="_GoBack"/>
            <w:bookmarkEnd w:id="9"/>
            <w:r>
              <w:rPr>
                <w:rFonts w:eastAsiaTheme="minorEastAsia" w:hint="eastAsia"/>
                <w:sz w:val="22"/>
                <w:lang w:val="en-US" w:eastAsia="zh-CN"/>
              </w:rPr>
              <w:t>e share the same view as Nokia.</w:t>
            </w:r>
          </w:p>
        </w:tc>
      </w:tr>
    </w:tbl>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f8"/>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0CD1523" w:rsidR="00A00F29" w:rsidRDefault="001D78ED" w:rsidP="001A79DA">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5C46D5">
        <w:rPr>
          <w:rFonts w:ascii="Arial" w:eastAsia="Batang" w:hAnsi="Arial"/>
          <w:sz w:val="32"/>
          <w:szCs w:val="32"/>
          <w:lang w:val="en-US" w:eastAsia="ko-KR"/>
        </w:rPr>
        <w:t xml:space="preserve"> for TEI</w:t>
      </w:r>
    </w:p>
    <w:p w14:paraId="61416C8C" w14:textId="3D642787" w:rsidR="00C643D7" w:rsidRPr="005101A3" w:rsidRDefault="005C46D5" w:rsidP="001A79DA">
      <w:pPr>
        <w:pStyle w:val="aff8"/>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for </w:t>
      </w:r>
      <w:r w:rsidRPr="005C46D5">
        <w:rPr>
          <w:rFonts w:ascii="Arial" w:eastAsia="MS Mincho" w:hAnsi="Arial"/>
          <w:sz w:val="28"/>
          <w:szCs w:val="32"/>
          <w:lang w:val="en-US"/>
        </w:rPr>
        <w:t>TRS bandwidth sizes smaller than 50RBs</w:t>
      </w:r>
    </w:p>
    <w:p w14:paraId="2102F4D8" w14:textId="2D6529A0" w:rsidR="00914353" w:rsidRDefault="005C46D5"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[3], following proposal is made.</w:t>
      </w:r>
    </w:p>
    <w:tbl>
      <w:tblPr>
        <w:tblStyle w:val="aff5"/>
        <w:tblW w:w="0" w:type="auto"/>
        <w:tblLook w:val="04A0" w:firstRow="1" w:lastRow="0" w:firstColumn="1" w:lastColumn="0" w:noHBand="0" w:noVBand="1"/>
      </w:tblPr>
      <w:tblGrid>
        <w:gridCol w:w="22380"/>
      </w:tblGrid>
      <w:tr w:rsidR="005C46D5" w14:paraId="47BA1961" w14:textId="77777777" w:rsidTr="005C46D5">
        <w:tc>
          <w:tcPr>
            <w:tcW w:w="22380" w:type="dxa"/>
          </w:tcPr>
          <w:p w14:paraId="7E339ABA" w14:textId="77777777" w:rsidR="005C46D5" w:rsidRDefault="005C46D5" w:rsidP="005C46D5">
            <w:r>
              <w:t xml:space="preserve">In RAN#88-e the following way forward has been endorsed [6]: </w:t>
            </w:r>
          </w:p>
          <w:p w14:paraId="1CC3D3F3" w14:textId="77777777" w:rsidR="005C46D5" w:rsidRDefault="005C46D5" w:rsidP="005C46D5">
            <w:r>
              <w:rPr>
                <w:noProof/>
                <w:lang w:val="en-US" w:eastAsia="zh-CN"/>
              </w:rPr>
              <mc:AlternateContent>
                <mc:Choice Requires="wps">
                  <w:drawing>
                    <wp:inline distT="0" distB="0" distL="0" distR="0" wp14:anchorId="22147CD0" wp14:editId="0704FC33">
                      <wp:extent cx="6210300" cy="30556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55620"/>
                              </a:xfrm>
                              <a:prstGeom prst="rect">
                                <a:avLst/>
                              </a:prstGeom>
                              <a:solidFill>
                                <a:srgbClr val="FFFFFF"/>
                              </a:solidFill>
                              <a:ln w="9525">
                                <a:solidFill>
                                  <a:srgbClr val="000000"/>
                                </a:solidFill>
                                <a:miter lim="800000"/>
                                <a:headEnd/>
                                <a:tailEnd/>
                              </a:ln>
                            </wps:spPr>
                            <wps:txb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47CD0" id="_x0000_t202" coordsize="21600,21600" o:spt="202" path="m,l,21600r21600,l21600,xe">
                      <v:stroke joinstyle="miter"/>
                      <v:path gradientshapeok="t" o:connecttype="rect"/>
                    </v:shapetype>
                    <v:shape id="Text Box 2" o:spid="_x0000_s1026" type="#_x0000_t202" style="width:48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QJQIAAEc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">
                      <v:textbo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v:textbox>
                      <w10:anchorlock/>
                    </v:shape>
                  </w:pict>
                </mc:Fallback>
              </mc:AlternateContent>
            </w:r>
          </w:p>
          <w:p w14:paraId="1FA6C6DA" w14:textId="77777777" w:rsidR="005C46D5" w:rsidRDefault="005C46D5" w:rsidP="005C46D5"/>
          <w:p w14:paraId="5C276E2A" w14:textId="77777777" w:rsidR="005C46D5" w:rsidRDefault="005C46D5" w:rsidP="005C46D5">
            <w:r>
              <w:t>Hence, corrensponding capability signalling needs to be added for the functionality listed above, as proposed in [7, 8, 9].</w:t>
            </w:r>
          </w:p>
          <w:p w14:paraId="6FBA1A58" w14:textId="77777777" w:rsidR="005C46D5" w:rsidRPr="00E76FD5" w:rsidRDefault="005C46D5" w:rsidP="005C46D5">
            <w:pPr>
              <w:rPr>
                <w:b/>
                <w:bCs/>
              </w:rPr>
            </w:pPr>
            <w:r w:rsidRPr="00E76FD5">
              <w:rPr>
                <w:b/>
                <w:bCs/>
              </w:rPr>
              <w:t>Proposal: Add a new FG under TEI16 as follows:</w:t>
            </w:r>
          </w:p>
          <w:p w14:paraId="5191A10C" w14:textId="77777777" w:rsidR="005C46D5" w:rsidRDefault="005C46D5" w:rsidP="005C46D5">
            <w:pPr>
              <w:pStyle w:val="aff8"/>
              <w:numPr>
                <w:ilvl w:val="0"/>
                <w:numId w:val="30"/>
              </w:numPr>
              <w:ind w:leftChars="0"/>
              <w:contextualSpacing/>
            </w:pPr>
            <w:r w:rsidRPr="00743072">
              <w:rPr>
                <w:b/>
                <w:bCs/>
              </w:rPr>
              <w:t>FG</w:t>
            </w:r>
            <w:r>
              <w:t>: TRS bandwidth sizes smaller than 50RBs</w:t>
            </w:r>
          </w:p>
          <w:p w14:paraId="5ADC2598" w14:textId="77777777" w:rsidR="005C46D5" w:rsidRDefault="005C46D5" w:rsidP="005C46D5">
            <w:pPr>
              <w:pStyle w:val="aff8"/>
              <w:numPr>
                <w:ilvl w:val="0"/>
                <w:numId w:val="30"/>
              </w:numPr>
              <w:ind w:leftChars="0"/>
              <w:contextualSpacing/>
            </w:pPr>
            <w:r w:rsidRPr="00743072">
              <w:rPr>
                <w:b/>
                <w:bCs/>
              </w:rPr>
              <w:t>Component</w:t>
            </w:r>
            <w:r>
              <w:t>: S</w:t>
            </w:r>
            <w:r w:rsidRPr="00B667E8">
              <w:t>upport limited TRS bandwidth for 10 MHz operation under 15 kHz SCS</w:t>
            </w:r>
          </w:p>
          <w:p w14:paraId="4A9B290F" w14:textId="77777777" w:rsidR="005C46D5" w:rsidRDefault="005C46D5" w:rsidP="005C46D5">
            <w:pPr>
              <w:pStyle w:val="aff8"/>
              <w:numPr>
                <w:ilvl w:val="0"/>
                <w:numId w:val="30"/>
              </w:numPr>
              <w:ind w:leftChars="0"/>
              <w:contextualSpacing/>
            </w:pPr>
            <w:r w:rsidRPr="00743072">
              <w:rPr>
                <w:b/>
                <w:bCs/>
              </w:rPr>
              <w:t>Pre-requisite FG</w:t>
            </w:r>
            <w:r>
              <w:t>: 2-50</w:t>
            </w:r>
          </w:p>
          <w:p w14:paraId="3D83136B" w14:textId="77777777" w:rsidR="005C46D5" w:rsidRDefault="005C46D5" w:rsidP="005C46D5">
            <w:pPr>
              <w:pStyle w:val="aff8"/>
              <w:numPr>
                <w:ilvl w:val="0"/>
                <w:numId w:val="30"/>
              </w:numPr>
              <w:ind w:leftChars="0"/>
              <w:contextualSpacing/>
            </w:pPr>
            <w:r w:rsidRPr="00743072">
              <w:rPr>
                <w:b/>
                <w:bCs/>
              </w:rPr>
              <w:t xml:space="preserve">Need for gNB to know if the feature is supported: </w:t>
            </w:r>
            <w:r>
              <w:t>yes</w:t>
            </w:r>
          </w:p>
          <w:p w14:paraId="688CCA15" w14:textId="77777777" w:rsidR="005C46D5" w:rsidRDefault="005C46D5" w:rsidP="005C46D5">
            <w:pPr>
              <w:pStyle w:val="aff8"/>
              <w:numPr>
                <w:ilvl w:val="0"/>
                <w:numId w:val="30"/>
              </w:numPr>
              <w:ind w:leftChars="0"/>
              <w:contextualSpacing/>
            </w:pPr>
            <w:r w:rsidRPr="00743072">
              <w:rPr>
                <w:b/>
                <w:bCs/>
              </w:rPr>
              <w:t>Type</w:t>
            </w:r>
            <w:r>
              <w:t>: per band</w:t>
            </w:r>
          </w:p>
          <w:p w14:paraId="7C317C24" w14:textId="77777777" w:rsidR="005C46D5" w:rsidRDefault="005C46D5" w:rsidP="005C46D5">
            <w:pPr>
              <w:pStyle w:val="aff8"/>
              <w:numPr>
                <w:ilvl w:val="0"/>
                <w:numId w:val="30"/>
              </w:numPr>
              <w:ind w:leftChars="0"/>
              <w:contextualSpacing/>
              <w:rPr>
                <w:rFonts w:cs="Arial"/>
                <w:color w:val="000000" w:themeColor="text1"/>
                <w:szCs w:val="18"/>
              </w:rPr>
            </w:pPr>
            <w:r w:rsidRPr="00743072">
              <w:rPr>
                <w:rFonts w:cs="Arial"/>
                <w:b/>
                <w:bCs/>
                <w:color w:val="000000" w:themeColor="text1"/>
                <w:szCs w:val="18"/>
              </w:rPr>
              <w:t>Note</w:t>
            </w:r>
            <w:r w:rsidRPr="009466C2">
              <w:rPr>
                <w:rFonts w:cs="Arial"/>
                <w:color w:val="000000" w:themeColor="text1"/>
                <w:szCs w:val="18"/>
              </w:rPr>
              <w:t xml:space="preserve">: </w:t>
            </w:r>
          </w:p>
          <w:p w14:paraId="11745C3B" w14:textId="77777777" w:rsidR="005C46D5" w:rsidRDefault="005C46D5" w:rsidP="005C46D5">
            <w:pPr>
              <w:pStyle w:val="aff8"/>
              <w:numPr>
                <w:ilvl w:val="1"/>
                <w:numId w:val="30"/>
              </w:numPr>
              <w:ind w:leftChars="0"/>
              <w:contextualSpacing/>
              <w:rPr>
                <w:rFonts w:cs="Arial"/>
                <w:color w:val="000000" w:themeColor="text1"/>
                <w:szCs w:val="18"/>
              </w:rPr>
            </w:pPr>
            <w:r w:rsidRPr="009466C2">
              <w:rPr>
                <w:rFonts w:cs="Arial"/>
                <w:color w:val="000000" w:themeColor="text1"/>
                <w:szCs w:val="18"/>
              </w:rPr>
              <w:t>Only applicable for 10MHz UE channel bandwidth, 52 RB BWP size, and 15kHz SCS, in FDD bands.</w:t>
            </w:r>
          </w:p>
          <w:p w14:paraId="3802ED52" w14:textId="77777777" w:rsidR="005C46D5" w:rsidRPr="009466C2" w:rsidRDefault="005C46D5" w:rsidP="005C46D5">
            <w:pPr>
              <w:pStyle w:val="aff8"/>
              <w:numPr>
                <w:ilvl w:val="1"/>
                <w:numId w:val="30"/>
              </w:numPr>
              <w:ind w:leftChars="0"/>
              <w:contextualSpacing/>
              <w:rPr>
                <w:rFonts w:cs="Arial"/>
                <w:color w:val="000000" w:themeColor="text1"/>
                <w:szCs w:val="18"/>
              </w:rPr>
            </w:pPr>
            <w:r>
              <w:rPr>
                <w:rFonts w:cs="Arial"/>
                <w:color w:val="000000" w:themeColor="text1"/>
                <w:szCs w:val="18"/>
              </w:rPr>
              <w:t>Candidate values: {(</w:t>
            </w:r>
            <w:r w:rsidRPr="00682764">
              <w:t>28, 32, 36, 40, 44, 48</w:t>
            </w:r>
            <w:r>
              <w:t>), (</w:t>
            </w:r>
            <w:r w:rsidRPr="00682764">
              <w:t>32, 36, 40, 44, 48</w:t>
            </w:r>
            <w:r>
              <w:t>)} RBs</w:t>
            </w:r>
          </w:p>
          <w:p w14:paraId="1383F0D0" w14:textId="5040D844" w:rsidR="005C46D5" w:rsidRPr="00AB165B" w:rsidRDefault="005C46D5" w:rsidP="00AB165B">
            <w:pPr>
              <w:pStyle w:val="aff8"/>
              <w:numPr>
                <w:ilvl w:val="0"/>
                <w:numId w:val="30"/>
              </w:numPr>
              <w:ind w:leftChars="0"/>
              <w:contextualSpacing/>
            </w:pPr>
            <w:r w:rsidRPr="00743072">
              <w:rPr>
                <w:b/>
                <w:bCs/>
              </w:rPr>
              <w:t>Mandatory/optional:</w:t>
            </w:r>
            <w:r>
              <w:t xml:space="preserve"> </w:t>
            </w:r>
            <w:r w:rsidRPr="00743072">
              <w:t>Optional with capability signalling</w:t>
            </w:r>
          </w:p>
        </w:tc>
      </w:tr>
    </w:tbl>
    <w:p w14:paraId="1CFAAD81" w14:textId="77777777" w:rsidR="005C46D5" w:rsidRDefault="005C46D5" w:rsidP="0072585D">
      <w:pPr>
        <w:spacing w:afterLines="50" w:after="120"/>
        <w:jc w:val="both"/>
        <w:rPr>
          <w:rFonts w:eastAsia="MS Mincho"/>
          <w:sz w:val="22"/>
          <w:lang w:val="en-US"/>
        </w:rPr>
      </w:pPr>
    </w:p>
    <w:p w14:paraId="1BA710F4" w14:textId="77777777"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3422652" w14:textId="0E6F877B" w:rsidR="00E5156A" w:rsidRPr="00C00E99" w:rsidRDefault="00E5156A" w:rsidP="00E5156A">
      <w:pPr>
        <w:pStyle w:val="aff8"/>
        <w:numPr>
          <w:ilvl w:val="0"/>
          <w:numId w:val="31"/>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614BA9A2" w14:textId="3288F34D" w:rsidR="008E2019" w:rsidRDefault="008E2019" w:rsidP="0072585D">
      <w:pPr>
        <w:spacing w:afterLines="50" w:after="120"/>
        <w:jc w:val="both"/>
        <w:rPr>
          <w:rFonts w:eastAsia="MS Mincho"/>
          <w:sz w:val="22"/>
          <w:lang w:val="en-US"/>
        </w:rPr>
      </w:pPr>
    </w:p>
    <w:p w14:paraId="4AEA8FC3" w14:textId="239A0DEC" w:rsidR="00E5156A" w:rsidRDefault="00E5156A" w:rsidP="0072585D">
      <w:pPr>
        <w:spacing w:afterLines="50" w:after="120"/>
        <w:jc w:val="both"/>
        <w:rPr>
          <w:rFonts w:eastAsia="MS Mincho"/>
          <w:sz w:val="22"/>
          <w:lang w:val="en-US"/>
        </w:rPr>
      </w:pPr>
    </w:p>
    <w:p w14:paraId="0507F878" w14:textId="76182458" w:rsidR="00E5156A" w:rsidRPr="005101A3" w:rsidRDefault="00E5156A" w:rsidP="00E5156A">
      <w:pPr>
        <w:pStyle w:val="aff8"/>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f5"/>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10" w:name="_Toc47739322"/>
            <w:bookmarkStart w:id="11" w:name="_Toc47739567"/>
            <w:bookmarkStart w:id="12" w:name="_Toc47740077"/>
            <w:bookmarkStart w:id="13" w:name="_Toc47740115"/>
            <w:bookmarkStart w:id="14" w:name="_Toc47740976"/>
            <w:bookmarkStart w:id="15" w:name="_Toc47741408"/>
            <w:bookmarkStart w:id="16" w:name="_Toc47744353"/>
            <w:r w:rsidRPr="00E5156A">
              <w:rPr>
                <w:rFonts w:ascii="Arial" w:eastAsia="Yu Mincho" w:hAnsi="Arial"/>
                <w:b/>
                <w:bCs/>
                <w:sz w:val="20"/>
                <w:lang w:eastAsia="zh-CN"/>
              </w:rPr>
              <w:t>FG 14-2 signalled as “per UE” and applies to the DSS bands the UE support</w:t>
            </w:r>
            <w:bookmarkEnd w:id="10"/>
            <w:bookmarkEnd w:id="11"/>
            <w:bookmarkEnd w:id="12"/>
            <w:bookmarkEnd w:id="13"/>
            <w:bookmarkEnd w:id="14"/>
            <w:bookmarkEnd w:id="15"/>
            <w:bookmarkEnd w:id="16"/>
          </w:p>
        </w:tc>
      </w:tr>
    </w:tbl>
    <w:p w14:paraId="7AB7A251" w14:textId="661CCD25" w:rsidR="00E5156A" w:rsidRDefault="00E5156A" w:rsidP="0072585D">
      <w:pPr>
        <w:spacing w:afterLines="50" w:after="120"/>
        <w:jc w:val="both"/>
        <w:rPr>
          <w:rFonts w:eastAsia="MS Mincho"/>
          <w:sz w:val="22"/>
          <w:lang w:val="en-US"/>
        </w:rPr>
      </w:pPr>
    </w:p>
    <w:p w14:paraId="4B072BAB" w14:textId="27808613"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D232ED6" w14:textId="08DF5DFE" w:rsidR="00E5156A" w:rsidRPr="00C00E99" w:rsidRDefault="00E5156A" w:rsidP="00E5156A">
      <w:pPr>
        <w:pStyle w:val="aff8"/>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E5156A" w:rsidRDefault="00E5156A" w:rsidP="0072585D">
      <w:pPr>
        <w:spacing w:afterLines="50" w:after="120"/>
        <w:jc w:val="both"/>
        <w:rPr>
          <w:rFonts w:eastAsia="MS Mincho"/>
          <w:sz w:val="22"/>
          <w:lang w:val="en-US"/>
        </w:rPr>
      </w:pPr>
    </w:p>
    <w:p w14:paraId="05F3DF13" w14:textId="5D9451DC" w:rsidR="00E5156A" w:rsidRDefault="00E5156A" w:rsidP="0072585D">
      <w:pPr>
        <w:spacing w:afterLines="50" w:after="120"/>
        <w:jc w:val="both"/>
        <w:rPr>
          <w:rFonts w:eastAsia="MS Mincho"/>
          <w:sz w:val="22"/>
          <w:lang w:val="en-US"/>
        </w:rPr>
      </w:pPr>
    </w:p>
    <w:p w14:paraId="2262895B" w14:textId="4D28A115" w:rsidR="00E5156A" w:rsidRPr="005101A3" w:rsidRDefault="00E5156A" w:rsidP="00E5156A">
      <w:pPr>
        <w:pStyle w:val="aff8"/>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0952DA8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5"/>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[Mandatory or Optional] with capability signaling</w:t>
                  </w:r>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a4"/>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17" w:name="_Toc47739323"/>
            <w:bookmarkStart w:id="18" w:name="_Toc47739568"/>
            <w:bookmarkStart w:id="19" w:name="_Toc47740078"/>
            <w:bookmarkStart w:id="20" w:name="_Toc47740116"/>
            <w:bookmarkStart w:id="21" w:name="_Toc47740977"/>
            <w:bookmarkStart w:id="22" w:name="_Toc47741409"/>
            <w:bookmarkStart w:id="23" w:name="_Toc47744354"/>
            <w:r>
              <w:t xml:space="preserve">FG 14-8 </w:t>
            </w:r>
            <w:r w:rsidRPr="003A602D">
              <w:t>is</w:t>
            </w:r>
            <w:r>
              <w:t xml:space="preserve"> “mandatory with capability signalling feature” for UEs supporting CA with 4 or more carriers and optional for UEs supporting less than 4 carrier CA.</w:t>
            </w:r>
            <w:bookmarkEnd w:id="17"/>
            <w:bookmarkEnd w:id="18"/>
            <w:bookmarkEnd w:id="19"/>
            <w:bookmarkEnd w:id="20"/>
            <w:bookmarkEnd w:id="21"/>
            <w:bookmarkEnd w:id="22"/>
            <w:bookmarkEnd w:id="23"/>
          </w:p>
        </w:tc>
      </w:tr>
    </w:tbl>
    <w:p w14:paraId="1AB192EB" w14:textId="44D9D81C" w:rsidR="00E5156A" w:rsidRDefault="00E5156A" w:rsidP="0072585D">
      <w:pPr>
        <w:spacing w:afterLines="50" w:after="120"/>
        <w:jc w:val="both"/>
        <w:rPr>
          <w:rFonts w:eastAsia="MS Mincho"/>
          <w:sz w:val="22"/>
          <w:lang w:val="en-US"/>
        </w:rPr>
      </w:pP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aff8"/>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77777777" w:rsidR="00E5156A" w:rsidRPr="00E5156A" w:rsidRDefault="00E5156A" w:rsidP="0072585D">
      <w:pPr>
        <w:spacing w:afterLines="50" w:after="120"/>
        <w:jc w:val="both"/>
        <w:rPr>
          <w:rFonts w:eastAsia="MS Mincho"/>
          <w:sz w:val="22"/>
          <w:lang w:val="en-US"/>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6F31EFA5"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 (same reporting type as srs-TxSwitch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6-5 and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48 is used as the beam switching threshold for Ues reporting 224 or 336</w:t>
            </w:r>
          </w:p>
          <w:p w14:paraId="40853832" w14:textId="77777777" w:rsidR="006C185A" w:rsidRPr="00690988" w:rsidRDefault="006C185A" w:rsidP="00392B2A">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81BF7" w14:textId="77777777" w:rsidR="00436BFD" w:rsidRDefault="00436BFD">
      <w:r>
        <w:separator/>
      </w:r>
    </w:p>
  </w:endnote>
  <w:endnote w:type="continuationSeparator" w:id="0">
    <w:p w14:paraId="281034EC" w14:textId="77777777" w:rsidR="00436BFD" w:rsidRDefault="00436BFD">
      <w:r>
        <w:continuationSeparator/>
      </w:r>
    </w:p>
  </w:endnote>
  <w:endnote w:type="continuationNotice" w:id="1">
    <w:p w14:paraId="5602A0B8" w14:textId="77777777" w:rsidR="00436BFD" w:rsidRDefault="00436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1BCB" w14:textId="77777777" w:rsidR="00717CB7" w:rsidRDefault="00717CB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6B01FFEF" w:rsidR="009A0FBC" w:rsidRPr="00000924" w:rsidRDefault="009A0FB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4A686F">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4A686F">
      <w:rPr>
        <w:rStyle w:val="afa"/>
        <w:rFonts w:eastAsia="MS Gothic"/>
        <w:noProof/>
      </w:rPr>
      <w:t>12</w:t>
    </w:r>
    <w:r>
      <w:rPr>
        <w:rStyle w:val="afa"/>
        <w:rFonts w:eastAsia="MS Gothic"/>
      </w:rPr>
      <w:fldChar w:fldCharType="end"/>
    </w:r>
    <w:r>
      <w:rPr>
        <w:rStyle w:val="afa"/>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AF99" w14:textId="77777777" w:rsidR="00717CB7" w:rsidRDefault="00717CB7">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1C0A80B2" w:rsidR="009A0FBC" w:rsidRPr="00000924" w:rsidRDefault="009A0FB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4A686F">
      <w:rPr>
        <w:rStyle w:val="afa"/>
        <w:rFonts w:eastAsia="MS Gothic"/>
        <w:noProof/>
      </w:rPr>
      <w:t>3</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4A686F">
      <w:rPr>
        <w:rStyle w:val="afa"/>
        <w:rFonts w:eastAsia="MS Gothic"/>
        <w:noProof/>
      </w:rPr>
      <w:t>12</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B1D8" w14:textId="77777777" w:rsidR="00436BFD" w:rsidRDefault="00436BFD">
      <w:r>
        <w:separator/>
      </w:r>
    </w:p>
  </w:footnote>
  <w:footnote w:type="continuationSeparator" w:id="0">
    <w:p w14:paraId="4A2E313D" w14:textId="77777777" w:rsidR="00436BFD" w:rsidRDefault="00436BFD">
      <w:r>
        <w:continuationSeparator/>
      </w:r>
    </w:p>
  </w:footnote>
  <w:footnote w:type="continuationNotice" w:id="1">
    <w:p w14:paraId="1F79F64B" w14:textId="77777777" w:rsidR="00436BFD" w:rsidRDefault="00436B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6612" w14:textId="77777777" w:rsidR="00717CB7" w:rsidRDefault="00717CB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D5C3" w14:textId="77777777" w:rsidR="00717CB7" w:rsidRDefault="00717CB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E50F" w14:textId="77777777" w:rsidR="00717CB7" w:rsidRDefault="00717CB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53980"/>
    <w:multiLevelType w:val="multilevel"/>
    <w:tmpl w:val="99F4D080"/>
    <w:numStyleLink w:val="1"/>
  </w:abstractNum>
  <w:abstractNum w:abstractNumId="31"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9"/>
  </w:num>
  <w:num w:numId="4">
    <w:abstractNumId w:val="4"/>
  </w:num>
  <w:num w:numId="5">
    <w:abstractNumId w:val="9"/>
  </w:num>
  <w:num w:numId="6">
    <w:abstractNumId w:val="23"/>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0"/>
  </w:num>
  <w:num w:numId="13">
    <w:abstractNumId w:val="6"/>
  </w:num>
  <w:num w:numId="14">
    <w:abstractNumId w:val="20"/>
  </w:num>
  <w:num w:numId="15">
    <w:abstractNumId w:val="11"/>
  </w:num>
  <w:num w:numId="16">
    <w:abstractNumId w:val="31"/>
  </w:num>
  <w:num w:numId="17">
    <w:abstractNumId w:val="10"/>
  </w:num>
  <w:num w:numId="18">
    <w:abstractNumId w:val="21"/>
  </w:num>
  <w:num w:numId="19">
    <w:abstractNumId w:val="25"/>
  </w:num>
  <w:num w:numId="20">
    <w:abstractNumId w:val="27"/>
  </w:num>
  <w:num w:numId="21">
    <w:abstractNumId w:val="22"/>
  </w:num>
  <w:num w:numId="22">
    <w:abstractNumId w:val="28"/>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6"/>
  </w:num>
  <w:num w:numId="31">
    <w:abstractNumId w:val="19"/>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156A"/>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9"/>
    <w:uiPriority w:val="34"/>
    <w:qFormat/>
    <w:rsid w:val="002D136A"/>
    <w:pPr>
      <w:ind w:leftChars="400" w:left="840"/>
    </w:pPr>
  </w:style>
  <w:style w:type="character" w:customStyle="1" w:styleId="af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a">
    <w:name w:val="Note Heading"/>
    <w:basedOn w:val="a0"/>
    <w:next w:val="a0"/>
    <w:link w:val="affb"/>
    <w:uiPriority w:val="99"/>
    <w:qFormat/>
    <w:rsid w:val="00384D66"/>
    <w:pPr>
      <w:jc w:val="center"/>
    </w:pPr>
    <w:rPr>
      <w:b/>
      <w:color w:val="FF0000"/>
      <w:szCs w:val="21"/>
      <w:lang w:val="en-US"/>
    </w:rPr>
  </w:style>
  <w:style w:type="character" w:customStyle="1" w:styleId="affb">
    <w:name w:val="注释标题 字符"/>
    <w:basedOn w:val="a1"/>
    <w:link w:val="affa"/>
    <w:uiPriority w:val="99"/>
    <w:rsid w:val="00384D66"/>
    <w:rPr>
      <w:rFonts w:ascii="Times New Roman" w:eastAsia="MS Gothic" w:hAnsi="Times New Roman"/>
      <w:b/>
      <w:color w:val="FF0000"/>
      <w:sz w:val="24"/>
      <w:szCs w:val="21"/>
    </w:rPr>
  </w:style>
  <w:style w:type="paragraph" w:styleId="affc">
    <w:name w:val="Closing"/>
    <w:basedOn w:val="a0"/>
    <w:link w:val="affd"/>
    <w:uiPriority w:val="99"/>
    <w:qFormat/>
    <w:rsid w:val="00384D66"/>
    <w:pPr>
      <w:jc w:val="right"/>
    </w:pPr>
    <w:rPr>
      <w:b/>
      <w:color w:val="FF0000"/>
      <w:szCs w:val="21"/>
      <w:lang w:val="en-US"/>
    </w:rPr>
  </w:style>
  <w:style w:type="character" w:customStyle="1" w:styleId="affd">
    <w:name w:val="结束语 字符"/>
    <w:basedOn w:val="a1"/>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e">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uiPriority w:val="99"/>
    <w:rsid w:val="00FA6E98"/>
    <w:rPr>
      <w:rFonts w:ascii="Arial" w:eastAsia="MS Gothic" w:hAnsi="Arial"/>
      <w:sz w:val="24"/>
      <w:lang w:val="en-GB"/>
    </w:rPr>
  </w:style>
  <w:style w:type="character" w:customStyle="1" w:styleId="80">
    <w:name w:val="标题 8 字符"/>
    <w:aliases w:val="Table Heading 字符"/>
    <w:basedOn w:val="a1"/>
    <w:link w:val="8"/>
    <w:uiPriority w:val="99"/>
    <w:rsid w:val="00FA6E98"/>
    <w:rPr>
      <w:rFonts w:ascii="Arial" w:eastAsia="MS Gothic" w:hAnsi="Arial"/>
      <w:i/>
      <w:sz w:val="24"/>
      <w:lang w:val="en-GB"/>
    </w:rPr>
  </w:style>
  <w:style w:type="character" w:customStyle="1" w:styleId="90">
    <w:name w:val="标题 9 字符"/>
    <w:aliases w:val="Figure Heading 字符,FH 字符"/>
    <w:basedOn w:val="a1"/>
    <w:link w:val="9"/>
    <w:uiPriority w:val="99"/>
    <w:rsid w:val="00FA6E98"/>
    <w:rPr>
      <w:rFonts w:ascii="Arial" w:eastAsia="MS Gothic" w:hAnsi="Arial"/>
      <w:b/>
      <w:i/>
      <w:sz w:val="18"/>
      <w:lang w:val="en-GB"/>
    </w:rPr>
  </w:style>
  <w:style w:type="character" w:customStyle="1" w:styleId="a5">
    <w:name w:val="正文文本 字符"/>
    <w:basedOn w:val="a1"/>
    <w:link w:val="a4"/>
    <w:uiPriority w:val="99"/>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semiHidden/>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a4"/>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4EE9722-B7D8-46E5-AEA1-39FE5248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2164</Words>
  <Characters>12339</Characters>
  <Application>Microsoft Office Word</Application>
  <DocSecurity>0</DocSecurity>
  <Lines>102</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Zhihua Shi</cp:lastModifiedBy>
  <cp:revision>3</cp:revision>
  <cp:lastPrinted>2017-08-09T04:40:00Z</cp:lastPrinted>
  <dcterms:created xsi:type="dcterms:W3CDTF">2020-08-13T06:29:00Z</dcterms:created>
  <dcterms:modified xsi:type="dcterms:W3CDTF">2020-08-13T08:26:00Z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