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B799B4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16228A">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4E20D61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16228A">
        <w:rPr>
          <w:rFonts w:ascii="Arial" w:eastAsia="MS Mincho" w:hAnsi="Arial"/>
          <w:b/>
          <w:noProof/>
          <w:lang w:val="en-US" w:eastAsia="x-none"/>
        </w:rPr>
        <w:t>[102-e-NR-UEFeatures-TEI-01]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0C2363F" w14:textId="77777777" w:rsidR="0016228A" w:rsidRPr="00BF18A1" w:rsidRDefault="0016228A" w:rsidP="0016228A">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C36BEE" w14:textId="77777777" w:rsidR="0016228A" w:rsidRPr="0016228A" w:rsidRDefault="0016228A" w:rsidP="0016228A">
      <w:pPr>
        <w:spacing w:before="100" w:beforeAutospacing="1" w:after="100" w:afterAutospacing="1"/>
        <w:rPr>
          <w:rFonts w:eastAsia="MS PGothic"/>
          <w:szCs w:val="24"/>
          <w:lang w:val="en-US"/>
        </w:rPr>
      </w:pPr>
      <w:r w:rsidRPr="0016228A">
        <w:rPr>
          <w:rFonts w:eastAsia="MS PGothic"/>
          <w:szCs w:val="24"/>
          <w:highlight w:val="cyan"/>
          <w:lang w:val="en-US"/>
        </w:rPr>
        <w:t>[102-e-NR-UEFeatures-TEI-01] Email discussion/approval on UE features for NR TEI (17th – 20th August) – Hiroki (DCM)</w:t>
      </w:r>
    </w:p>
    <w:p w14:paraId="1B1056F0" w14:textId="77777777" w:rsidR="0016228A" w:rsidRPr="0016228A" w:rsidRDefault="0016228A" w:rsidP="0016228A">
      <w:pPr>
        <w:numPr>
          <w:ilvl w:val="0"/>
          <w:numId w:val="34"/>
        </w:numPr>
        <w:spacing w:before="100" w:beforeAutospacing="1" w:after="100" w:afterAutospacing="1"/>
        <w:rPr>
          <w:rFonts w:eastAsia="MS PGothic"/>
          <w:szCs w:val="24"/>
          <w:lang w:val="en-US"/>
        </w:rPr>
      </w:pPr>
      <w:r w:rsidRPr="0016228A">
        <w:rPr>
          <w:rFonts w:eastAsia="MS PGothic"/>
          <w:szCs w:val="24"/>
          <w:highlight w:val="cyan"/>
          <w:lang w:val="en-US"/>
        </w:rPr>
        <w:t>Whether to change type of FG14-2 to “per UE” and to apply the DSS bands the UE support or not</w:t>
      </w: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507F878" w14:textId="76182458" w:rsidR="00E5156A" w:rsidRPr="0016228A" w:rsidRDefault="00E5156A" w:rsidP="0016228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6228A">
        <w:rPr>
          <w:rFonts w:ascii="Arial" w:eastAsia="Batang" w:hAnsi="Arial"/>
          <w:sz w:val="32"/>
          <w:szCs w:val="32"/>
          <w:lang w:val="en-US" w:eastAsia="ko-KR"/>
        </w:rPr>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9" w:name="_Toc47739322"/>
            <w:bookmarkStart w:id="10" w:name="_Toc47739567"/>
            <w:bookmarkStart w:id="11" w:name="_Toc47740077"/>
            <w:bookmarkStart w:id="12" w:name="_Toc47740115"/>
            <w:bookmarkStart w:id="13" w:name="_Toc47740976"/>
            <w:bookmarkStart w:id="14" w:name="_Toc47741408"/>
            <w:bookmarkStart w:id="15" w:name="_Toc47744353"/>
            <w:r w:rsidRPr="00E5156A">
              <w:rPr>
                <w:rFonts w:ascii="Arial" w:eastAsia="Yu Mincho" w:hAnsi="Arial"/>
                <w:b/>
                <w:bCs/>
                <w:sz w:val="20"/>
                <w:lang w:eastAsia="zh-CN"/>
              </w:rPr>
              <w:t>FG 14-2 signalled as “per UE” and applies to the DSS bands the UE support</w:t>
            </w:r>
            <w:bookmarkEnd w:id="9"/>
            <w:bookmarkEnd w:id="10"/>
            <w:bookmarkEnd w:id="11"/>
            <w:bookmarkEnd w:id="12"/>
            <w:bookmarkEnd w:id="13"/>
            <w:bookmarkEnd w:id="14"/>
            <w:bookmarkEnd w:id="15"/>
          </w:p>
        </w:tc>
      </w:tr>
    </w:tbl>
    <w:p w14:paraId="7AB7A251" w14:textId="67EABEC1" w:rsidR="00E5156A" w:rsidRDefault="00E5156A" w:rsidP="0072585D">
      <w:pPr>
        <w:spacing w:afterLines="50" w:after="120"/>
        <w:jc w:val="both"/>
        <w:rPr>
          <w:rFonts w:eastAsia="MS Mincho"/>
          <w:sz w:val="22"/>
          <w:lang w:val="en-US"/>
        </w:rPr>
      </w:pPr>
    </w:p>
    <w:p w14:paraId="33A4D3BF" w14:textId="798149E0" w:rsidR="0016228A" w:rsidRPr="0016228A" w:rsidRDefault="0016228A"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2051C1">
        <w:rPr>
          <w:rFonts w:hint="eastAsia"/>
          <w:sz w:val="22"/>
        </w:rPr>
        <w:t xml:space="preserve"> </w:t>
      </w:r>
      <w:r w:rsidR="002051C1">
        <w:rPr>
          <w:sz w:val="22"/>
        </w:rPr>
        <w:t>[5]</w:t>
      </w:r>
      <w:r>
        <w:rPr>
          <w:sz w:val="22"/>
        </w:rPr>
        <w:t>.</w:t>
      </w:r>
    </w:p>
    <w:p w14:paraId="4B072BAB" w14:textId="51A2940E"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w:t>
      </w:r>
    </w:p>
    <w:p w14:paraId="6D232ED6" w14:textId="08DF5DFE"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16228A" w:rsidRDefault="00E5156A" w:rsidP="0072585D">
      <w:pPr>
        <w:spacing w:afterLines="50" w:after="120"/>
        <w:jc w:val="both"/>
        <w:rPr>
          <w:rFonts w:eastAsia="MS Mincho"/>
          <w:sz w:val="22"/>
          <w:lang w:val="en-US"/>
        </w:rPr>
      </w:pPr>
    </w:p>
    <w:p w14:paraId="05F3DF13" w14:textId="33968D8D" w:rsidR="00E5156A" w:rsidRDefault="0016228A"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is provided</w:t>
      </w:r>
      <w:r w:rsidR="002051C1">
        <w:rPr>
          <w:rFonts w:hint="eastAsia"/>
          <w:sz w:val="22"/>
        </w:rPr>
        <w:t xml:space="preserve"> </w:t>
      </w:r>
      <w:r w:rsidR="002051C1">
        <w:rPr>
          <w:sz w:val="22"/>
        </w:rPr>
        <w:t>[5]</w:t>
      </w:r>
      <w:r>
        <w:rPr>
          <w:rFonts w:eastAsia="MS Mincho"/>
          <w:sz w:val="22"/>
          <w:lang w:val="en-US"/>
        </w:rPr>
        <w:t>.</w:t>
      </w:r>
    </w:p>
    <w:tbl>
      <w:tblPr>
        <w:tblStyle w:val="TableGrid"/>
        <w:tblW w:w="0" w:type="auto"/>
        <w:tblLook w:val="04A0" w:firstRow="1" w:lastRow="0" w:firstColumn="1" w:lastColumn="0" w:noHBand="0" w:noVBand="1"/>
      </w:tblPr>
      <w:tblGrid>
        <w:gridCol w:w="1938"/>
        <w:gridCol w:w="7690"/>
      </w:tblGrid>
      <w:tr w:rsidR="0016228A" w14:paraId="7FDCF833" w14:textId="77777777" w:rsidTr="006C3635">
        <w:tc>
          <w:tcPr>
            <w:tcW w:w="1938" w:type="dxa"/>
          </w:tcPr>
          <w:p w14:paraId="2B3A5CF5" w14:textId="77777777" w:rsidR="0016228A" w:rsidRDefault="0016228A" w:rsidP="006C3635">
            <w:pPr>
              <w:spacing w:afterLines="50" w:after="120"/>
              <w:jc w:val="both"/>
              <w:rPr>
                <w:rFonts w:eastAsiaTheme="minorEastAsia"/>
                <w:sz w:val="22"/>
                <w:lang w:val="en-US" w:eastAsia="zh-CN"/>
              </w:rPr>
            </w:pPr>
            <w:r>
              <w:rPr>
                <w:rFonts w:eastAsiaTheme="minorEastAsia"/>
                <w:sz w:val="22"/>
                <w:lang w:val="en-US" w:eastAsia="zh-CN"/>
              </w:rPr>
              <w:t>Apple</w:t>
            </w:r>
          </w:p>
        </w:tc>
        <w:tc>
          <w:tcPr>
            <w:tcW w:w="7690" w:type="dxa"/>
          </w:tcPr>
          <w:p w14:paraId="790CEC95" w14:textId="77777777" w:rsidR="0016228A" w:rsidRDefault="0016228A" w:rsidP="006C3635">
            <w:pPr>
              <w:spacing w:afterLines="50" w:after="120"/>
              <w:jc w:val="both"/>
              <w:rPr>
                <w:rFonts w:eastAsiaTheme="minor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bl>
    <w:p w14:paraId="676BBCE4" w14:textId="462B4495" w:rsidR="0016228A" w:rsidRDefault="0016228A" w:rsidP="0072585D">
      <w:pPr>
        <w:spacing w:afterLines="50" w:after="120"/>
        <w:jc w:val="both"/>
        <w:rPr>
          <w:rFonts w:eastAsia="MS Mincho"/>
          <w:sz w:val="22"/>
          <w:lang w:val="en-US"/>
        </w:rPr>
      </w:pPr>
    </w:p>
    <w:p w14:paraId="6214EB66" w14:textId="77777777" w:rsidR="0016228A" w:rsidRPr="0016228A" w:rsidRDefault="0016228A" w:rsidP="0072585D">
      <w:pPr>
        <w:spacing w:afterLines="50" w:after="120"/>
        <w:jc w:val="both"/>
        <w:rPr>
          <w:rFonts w:eastAsia="MS Mincho"/>
          <w:sz w:val="22"/>
          <w:lang w:val="en-US"/>
        </w:rPr>
      </w:pPr>
    </w:p>
    <w:p w14:paraId="32DB70D8" w14:textId="77777777" w:rsidR="0016228A" w:rsidRDefault="0016228A" w:rsidP="0016228A">
      <w:pPr>
        <w:pStyle w:val="Heading2"/>
        <w:rPr>
          <w:sz w:val="22"/>
        </w:rPr>
      </w:pPr>
      <w:r>
        <w:rPr>
          <w:sz w:val="22"/>
        </w:rPr>
        <w:t>2.1</w:t>
      </w:r>
      <w:r>
        <w:rPr>
          <w:sz w:val="22"/>
        </w:rPr>
        <w:tab/>
        <w:t>Proposal and discussion</w:t>
      </w:r>
    </w:p>
    <w:p w14:paraId="2784CCF7" w14:textId="05ABFCD8" w:rsidR="0016228A" w:rsidRDefault="0016228A" w:rsidP="0016228A">
      <w:pPr>
        <w:spacing w:afterLines="50" w:after="120"/>
        <w:jc w:val="both"/>
        <w:rPr>
          <w:sz w:val="22"/>
        </w:rPr>
      </w:pPr>
      <w:r w:rsidRPr="007843F4">
        <w:rPr>
          <w:sz w:val="22"/>
        </w:rPr>
        <w:t xml:space="preserve">Based on </w:t>
      </w:r>
      <w:r>
        <w:rPr>
          <w:sz w:val="22"/>
        </w:rPr>
        <w:t>the contribution and above input in the preparation phase, following proposal is made. The type of FG14-2 was agreed as “per band” after the extensive discussion in RAN1#101-e meeting. Unless the majority proposes/agrees to change the previous agreement e.g., with some clear issue identified after the agreement was made, it should not be changed.</w:t>
      </w:r>
    </w:p>
    <w:p w14:paraId="2CB7D694" w14:textId="77777777" w:rsidR="0016228A" w:rsidRPr="00DC3653" w:rsidRDefault="0016228A" w:rsidP="0016228A">
      <w:pPr>
        <w:pStyle w:val="Heading3"/>
        <w:rPr>
          <w:b/>
          <w:bCs/>
          <w:sz w:val="22"/>
        </w:rPr>
      </w:pPr>
      <w:r w:rsidRPr="00DC3653">
        <w:rPr>
          <w:b/>
          <w:bCs/>
          <w:sz w:val="22"/>
        </w:rPr>
        <w:t xml:space="preserve">FL proposal </w:t>
      </w:r>
      <w:r>
        <w:rPr>
          <w:b/>
          <w:bCs/>
          <w:sz w:val="22"/>
        </w:rPr>
        <w:t>1</w:t>
      </w:r>
      <w:r w:rsidRPr="00DC3653">
        <w:rPr>
          <w:b/>
          <w:bCs/>
          <w:sz w:val="22"/>
        </w:rPr>
        <w:t>:</w:t>
      </w:r>
    </w:p>
    <w:p w14:paraId="23AFC41C" w14:textId="62C44B81" w:rsidR="0016228A" w:rsidRPr="00DC3653" w:rsidRDefault="0016228A" w:rsidP="0016228A">
      <w:pPr>
        <w:numPr>
          <w:ilvl w:val="0"/>
          <w:numId w:val="35"/>
        </w:numPr>
        <w:spacing w:afterLines="50" w:after="120"/>
        <w:jc w:val="both"/>
        <w:rPr>
          <w:rFonts w:ascii="Arial" w:eastAsia="Batang" w:hAnsi="Arial"/>
          <w:sz w:val="32"/>
          <w:szCs w:val="32"/>
          <w:lang w:eastAsia="ko-KR"/>
        </w:rPr>
      </w:pPr>
      <w:r>
        <w:rPr>
          <w:b/>
          <w:bCs/>
          <w:sz w:val="22"/>
        </w:rPr>
        <w:t>The reporting type of FG14-2 is kept as “per band”</w:t>
      </w:r>
    </w:p>
    <w:p w14:paraId="704D5CE8" w14:textId="77777777" w:rsidR="0016228A" w:rsidRPr="0048286B" w:rsidRDefault="0016228A" w:rsidP="0016228A">
      <w:pPr>
        <w:rPr>
          <w:rFonts w:ascii="Arial" w:eastAsia="MS Mincho" w:hAnsi="Arial"/>
          <w:sz w:val="32"/>
          <w:szCs w:val="32"/>
        </w:rPr>
      </w:pPr>
    </w:p>
    <w:p w14:paraId="62F23547" w14:textId="77777777" w:rsidR="0016228A" w:rsidRPr="00DC3653" w:rsidRDefault="0016228A" w:rsidP="0016228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F2CE85" w14:textId="77777777" w:rsidR="0016228A" w:rsidRPr="00DC3653" w:rsidRDefault="0016228A" w:rsidP="0016228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16228A" w:rsidRPr="00DC3653" w14:paraId="7291FB5D" w14:textId="77777777" w:rsidTr="006C3635">
        <w:tc>
          <w:tcPr>
            <w:tcW w:w="569" w:type="pct"/>
            <w:shd w:val="clear" w:color="auto" w:fill="F2F2F2" w:themeFill="background1" w:themeFillShade="F2"/>
          </w:tcPr>
          <w:p w14:paraId="7DE9831A" w14:textId="77777777" w:rsidR="0016228A" w:rsidRPr="00DC3653" w:rsidRDefault="0016228A"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25784E5" w14:textId="77777777" w:rsidR="0016228A" w:rsidRPr="00DC3653" w:rsidRDefault="0016228A" w:rsidP="006C3635">
            <w:pPr>
              <w:spacing w:afterLines="50" w:after="120"/>
              <w:jc w:val="both"/>
              <w:rPr>
                <w:sz w:val="22"/>
              </w:rPr>
            </w:pPr>
            <w:r w:rsidRPr="00DC3653">
              <w:rPr>
                <w:rFonts w:hint="eastAsia"/>
                <w:sz w:val="22"/>
              </w:rPr>
              <w:t>C</w:t>
            </w:r>
            <w:r w:rsidRPr="00DC3653">
              <w:rPr>
                <w:sz w:val="22"/>
              </w:rPr>
              <w:t>omment</w:t>
            </w:r>
          </w:p>
        </w:tc>
      </w:tr>
      <w:tr w:rsidR="0016228A" w:rsidRPr="00DC3653" w14:paraId="106E4E69" w14:textId="77777777" w:rsidTr="006C3635">
        <w:tc>
          <w:tcPr>
            <w:tcW w:w="569" w:type="pct"/>
          </w:tcPr>
          <w:p w14:paraId="65650523" w14:textId="390C6167" w:rsidR="0016228A" w:rsidRPr="00DC3653" w:rsidRDefault="00010F14" w:rsidP="006C3635">
            <w:pPr>
              <w:spacing w:afterLines="50" w:after="120"/>
              <w:jc w:val="both"/>
              <w:rPr>
                <w:sz w:val="22"/>
              </w:rPr>
            </w:pPr>
            <w:r>
              <w:rPr>
                <w:sz w:val="22"/>
              </w:rPr>
              <w:t>Ericsson</w:t>
            </w:r>
          </w:p>
        </w:tc>
        <w:tc>
          <w:tcPr>
            <w:tcW w:w="4431" w:type="pct"/>
          </w:tcPr>
          <w:p w14:paraId="6F830546" w14:textId="40E6952B" w:rsidR="0016228A" w:rsidRPr="00DC3653" w:rsidRDefault="00010F14" w:rsidP="006C3635">
            <w:pPr>
              <w:spacing w:afterLines="50" w:after="120"/>
              <w:jc w:val="both"/>
              <w:rPr>
                <w:sz w:val="22"/>
              </w:rPr>
            </w:pPr>
            <w:r>
              <w:rPr>
                <w:sz w:val="22"/>
              </w:rPr>
              <w:t>We proposed this feature as “per UE” because it was not clear from last meeting if there’</w:t>
            </w:r>
            <w:r w:rsidR="005D4FE5">
              <w:rPr>
                <w:sz w:val="22"/>
              </w:rPr>
              <w:t>re</w:t>
            </w:r>
            <w:r>
              <w:rPr>
                <w:sz w:val="22"/>
              </w:rPr>
              <w:t xml:space="preserve"> more companies would like to support this feature as “per UE”.</w:t>
            </w:r>
            <w:r w:rsidR="005364B9">
              <w:rPr>
                <w:sz w:val="22"/>
              </w:rPr>
              <w:t xml:space="preserve"> </w:t>
            </w:r>
            <w:r w:rsidR="00F161A5">
              <w:rPr>
                <w:sz w:val="22"/>
              </w:rPr>
              <w:t>In our view, a</w:t>
            </w:r>
            <w:r w:rsidR="005364B9">
              <w:rPr>
                <w:sz w:val="22"/>
              </w:rPr>
              <w:t>t least component 1 can be supported as “per UE”, and component 2 may</w:t>
            </w:r>
            <w:r w:rsidR="00F161A5">
              <w:rPr>
                <w:sz w:val="22"/>
              </w:rPr>
              <w:t xml:space="preserve"> </w:t>
            </w:r>
            <w:r w:rsidR="005364B9">
              <w:rPr>
                <w:sz w:val="22"/>
              </w:rPr>
              <w:t>be as “per Band”.</w:t>
            </w:r>
            <w:r>
              <w:rPr>
                <w:sz w:val="22"/>
              </w:rPr>
              <w:t xml:space="preserve"> </w:t>
            </w:r>
            <w:r w:rsidR="00B95F4D">
              <w:rPr>
                <w:sz w:val="22"/>
              </w:rPr>
              <w:t xml:space="preserve">We would </w:t>
            </w:r>
            <w:proofErr w:type="spellStart"/>
            <w:r w:rsidR="00B95F4D">
              <w:rPr>
                <w:sz w:val="22"/>
              </w:rPr>
              <w:t>appriate</w:t>
            </w:r>
            <w:proofErr w:type="spellEnd"/>
            <w:r w:rsidR="00B95F4D">
              <w:rPr>
                <w:sz w:val="22"/>
              </w:rPr>
              <w:t xml:space="preserve"> more companies sharing your views on this issue.</w:t>
            </w:r>
          </w:p>
        </w:tc>
      </w:tr>
      <w:tr w:rsidR="0016228A" w:rsidRPr="00DC3653" w14:paraId="3364644F" w14:textId="77777777" w:rsidTr="006C3635">
        <w:tc>
          <w:tcPr>
            <w:tcW w:w="569" w:type="pct"/>
          </w:tcPr>
          <w:p w14:paraId="72C2CEE9" w14:textId="449FB305" w:rsidR="0016228A" w:rsidRPr="00F508E9" w:rsidRDefault="00F508E9" w:rsidP="006C3635">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3688A666" w14:textId="4E8B9258" w:rsidR="0016228A" w:rsidRPr="00F508E9" w:rsidRDefault="00F508E9" w:rsidP="006C3635">
            <w:pPr>
              <w:spacing w:afterLines="50" w:after="120"/>
              <w:jc w:val="both"/>
              <w:rPr>
                <w:rFonts w:eastAsia="Malgun Gothic"/>
                <w:sz w:val="22"/>
                <w:lang w:eastAsia="ko-KR"/>
              </w:rPr>
            </w:pPr>
            <w:r>
              <w:rPr>
                <w:rFonts w:eastAsia="Malgun Gothic"/>
                <w:sz w:val="22"/>
                <w:lang w:eastAsia="ko-KR"/>
              </w:rPr>
              <w:t>S</w:t>
            </w:r>
            <w:r>
              <w:rPr>
                <w:rFonts w:eastAsia="Malgun Gothic" w:hint="eastAsia"/>
                <w:sz w:val="22"/>
                <w:lang w:eastAsia="ko-KR"/>
              </w:rPr>
              <w:t xml:space="preserve">upport </w:t>
            </w:r>
            <w:r>
              <w:rPr>
                <w:rFonts w:eastAsia="Malgun Gothic"/>
                <w:sz w:val="22"/>
                <w:lang w:eastAsia="ko-KR"/>
              </w:rPr>
              <w:t xml:space="preserve">FL proposal 1. </w:t>
            </w:r>
          </w:p>
        </w:tc>
      </w:tr>
      <w:tr w:rsidR="0016228A" w:rsidRPr="00DC3653" w14:paraId="6E00B601" w14:textId="77777777" w:rsidTr="006C3635">
        <w:tc>
          <w:tcPr>
            <w:tcW w:w="569" w:type="pct"/>
          </w:tcPr>
          <w:p w14:paraId="2D68E897" w14:textId="1EC08366" w:rsidR="0016228A" w:rsidRPr="00DC3653" w:rsidRDefault="00AE50BE" w:rsidP="006C3635">
            <w:pPr>
              <w:spacing w:afterLines="50" w:after="120"/>
              <w:jc w:val="both"/>
              <w:rPr>
                <w:sz w:val="22"/>
              </w:rPr>
            </w:pPr>
            <w:r>
              <w:rPr>
                <w:sz w:val="22"/>
              </w:rPr>
              <w:t>Apple</w:t>
            </w:r>
          </w:p>
        </w:tc>
        <w:tc>
          <w:tcPr>
            <w:tcW w:w="4431" w:type="pct"/>
          </w:tcPr>
          <w:p w14:paraId="2CAFC40B" w14:textId="55987674" w:rsidR="0016228A" w:rsidRPr="00DC3653" w:rsidRDefault="00AE50BE" w:rsidP="006C3635">
            <w:pPr>
              <w:spacing w:afterLines="50" w:after="120"/>
              <w:jc w:val="both"/>
              <w:rPr>
                <w:sz w:val="22"/>
              </w:rPr>
            </w:pPr>
            <w:r>
              <w:rPr>
                <w:sz w:val="22"/>
              </w:rPr>
              <w:t>Support FL proposal 1. I believe both component 1 and 2 are outcomes of addressing some DSS deployment restrictions raised to 3GPP.</w:t>
            </w:r>
          </w:p>
        </w:tc>
      </w:tr>
      <w:tr w:rsidR="00052AF5" w:rsidRPr="00DC3653" w14:paraId="049F6AC2" w14:textId="77777777" w:rsidTr="006C3635">
        <w:tc>
          <w:tcPr>
            <w:tcW w:w="569" w:type="pct"/>
          </w:tcPr>
          <w:p w14:paraId="673A37B7" w14:textId="0A7419ED" w:rsidR="00052AF5" w:rsidRDefault="00052AF5" w:rsidP="006C3635">
            <w:pPr>
              <w:spacing w:afterLines="50" w:after="120"/>
              <w:jc w:val="both"/>
              <w:rPr>
                <w:sz w:val="22"/>
              </w:rPr>
            </w:pPr>
            <w:r>
              <w:rPr>
                <w:sz w:val="22"/>
              </w:rPr>
              <w:t>Qualcomm</w:t>
            </w:r>
          </w:p>
        </w:tc>
        <w:tc>
          <w:tcPr>
            <w:tcW w:w="4431" w:type="pct"/>
          </w:tcPr>
          <w:p w14:paraId="3F784943" w14:textId="26E69206" w:rsidR="00052AF5" w:rsidRDefault="00052AF5" w:rsidP="006C3635">
            <w:pPr>
              <w:spacing w:afterLines="50" w:after="120"/>
              <w:jc w:val="both"/>
              <w:rPr>
                <w:sz w:val="22"/>
              </w:rPr>
            </w:pPr>
            <w:r>
              <w:rPr>
                <w:sz w:val="22"/>
              </w:rPr>
              <w:t>Support FL proposal 1.</w:t>
            </w:r>
          </w:p>
        </w:tc>
      </w:tr>
    </w:tbl>
    <w:p w14:paraId="2C5346AA" w14:textId="77777777" w:rsidR="0016228A" w:rsidRDefault="0016228A" w:rsidP="0016228A">
      <w:pPr>
        <w:rPr>
          <w:rFonts w:eastAsia="MS Mincho" w:cs="Batang"/>
          <w:sz w:val="22"/>
          <w:szCs w:val="22"/>
          <w:lang w:val="en-US"/>
        </w:rPr>
      </w:pPr>
    </w:p>
    <w:p w14:paraId="11CABCCE" w14:textId="77777777" w:rsidR="0016228A" w:rsidRDefault="0016228A" w:rsidP="0016228A">
      <w:pPr>
        <w:rPr>
          <w:rFonts w:eastAsia="MS Mincho" w:cs="Batang"/>
          <w:sz w:val="22"/>
          <w:szCs w:val="22"/>
          <w:lang w:val="en-US"/>
        </w:rPr>
      </w:pPr>
    </w:p>
    <w:p w14:paraId="29B9E488" w14:textId="77777777" w:rsidR="0016228A" w:rsidRDefault="0016228A" w:rsidP="0016228A">
      <w:pPr>
        <w:rPr>
          <w:rFonts w:eastAsia="MS Mincho" w:cs="Batang"/>
          <w:sz w:val="22"/>
          <w:szCs w:val="22"/>
          <w:lang w:val="en-US"/>
        </w:rPr>
      </w:pPr>
    </w:p>
    <w:p w14:paraId="5B810A00" w14:textId="77777777" w:rsidR="0016228A" w:rsidRPr="0048286B" w:rsidRDefault="0016228A" w:rsidP="0016228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00697E9E" w14:textId="77777777" w:rsidR="0016228A" w:rsidRDefault="0016228A" w:rsidP="0016228A">
      <w:pPr>
        <w:spacing w:afterLines="50" w:after="120"/>
        <w:jc w:val="both"/>
        <w:rPr>
          <w:sz w:val="22"/>
        </w:rPr>
      </w:pPr>
    </w:p>
    <w:p w14:paraId="6A2B13FD" w14:textId="77777777" w:rsidR="0016228A" w:rsidRPr="00DC3653" w:rsidRDefault="0016228A" w:rsidP="0016228A">
      <w:pPr>
        <w:rPr>
          <w:rFonts w:ascii="Arial" w:hAnsi="Arial"/>
          <w:b/>
          <w:bCs/>
          <w:sz w:val="22"/>
        </w:rPr>
      </w:pPr>
      <w:r w:rsidRPr="00DC3653">
        <w:rPr>
          <w:rFonts w:ascii="Arial" w:hAnsi="Arial"/>
          <w:b/>
          <w:bCs/>
          <w:sz w:val="22"/>
        </w:rPr>
        <w:t>FL proposal 1:</w:t>
      </w:r>
    </w:p>
    <w:p w14:paraId="2DD62E44" w14:textId="77777777" w:rsidR="0016228A" w:rsidRPr="00DC3653" w:rsidRDefault="0016228A" w:rsidP="0016228A">
      <w:pPr>
        <w:numPr>
          <w:ilvl w:val="0"/>
          <w:numId w:val="35"/>
        </w:numPr>
        <w:spacing w:afterLines="50" w:after="120"/>
        <w:jc w:val="both"/>
        <w:rPr>
          <w:rFonts w:ascii="Arial" w:eastAsia="Batang" w:hAnsi="Arial"/>
          <w:sz w:val="32"/>
          <w:szCs w:val="32"/>
          <w:lang w:eastAsia="ko-KR"/>
        </w:rPr>
      </w:pPr>
      <w:r>
        <w:rPr>
          <w:b/>
          <w:bCs/>
          <w:sz w:val="22"/>
        </w:rPr>
        <w:t>The reporting type of FG14-2 is kept as “per band”</w:t>
      </w:r>
    </w:p>
    <w:p w14:paraId="744486EE" w14:textId="77777777" w:rsidR="00E5156A" w:rsidRPr="0016228A" w:rsidRDefault="00E5156A" w:rsidP="0072585D">
      <w:pPr>
        <w:spacing w:afterLines="50" w:after="120"/>
        <w:jc w:val="both"/>
        <w:rPr>
          <w:rFonts w:eastAsia="MS Mincho"/>
          <w:sz w:val="22"/>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219BD980"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2F3CCB4" w14:textId="6501B3EE" w:rsidR="002051C1" w:rsidRDefault="002051C1"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 xml:space="preserve">Component </w:t>
            </w:r>
            <w:proofErr w:type="gramStart"/>
            <w:r w:rsidRPr="00690988">
              <w:rPr>
                <w:rFonts w:asciiTheme="majorHAnsi" w:eastAsia="MS Mincho" w:hAnsiTheme="majorHAnsi" w:cstheme="majorHAnsi"/>
                <w:szCs w:val="18"/>
                <w:lang w:eastAsia="ja-JP"/>
              </w:rPr>
              <w:t>1:</w:t>
            </w:r>
            <w:r w:rsidRPr="00690988">
              <w:rPr>
                <w:rFonts w:asciiTheme="majorHAnsi" w:hAnsiTheme="majorHAnsi" w:cstheme="majorHAnsi"/>
                <w:szCs w:val="18"/>
                <w:lang w:eastAsia="ja-JP"/>
              </w:rPr>
              <w:t>{</w:t>
            </w:r>
            <w:proofErr w:type="gramEnd"/>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Two LTE-CRS overlapping rate matching patterns within a part of NR carrier using 15 kHz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 xml:space="preserve">Support of two LTE-CRS overlapping rate matching patterns within a part of NR carrier using 15 kHz SCS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w:t>
            </w:r>
          </w:p>
          <w:p w14:paraId="10DAF654"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 t1r4}</w:t>
            </w:r>
          </w:p>
          <w:p w14:paraId="3B28A7EB"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 t2r2, t2r4}</w:t>
            </w:r>
          </w:p>
          <w:p w14:paraId="21BEAD14"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t2r2}</w:t>
            </w:r>
          </w:p>
          <w:p w14:paraId="2B028F6A"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t2r2, t4r4}</w:t>
            </w:r>
          </w:p>
          <w:p w14:paraId="1C44A35C"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w:t>
            </w:r>
          </w:p>
          <w:p w14:paraId="2C118F36"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 t1r4}</w:t>
            </w:r>
          </w:p>
          <w:p w14:paraId="38AFCB48"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 t2r2, t2r4}</w:t>
            </w:r>
          </w:p>
          <w:p w14:paraId="4B1659A1"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t2r2}</w:t>
            </w:r>
          </w:p>
          <w:p w14:paraId="3379527A"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t2r2, t4r4}</w:t>
            </w:r>
          </w:p>
          <w:p w14:paraId="505DD5C1"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w:t>
            </w:r>
            <w:proofErr w:type="gramStart"/>
            <w:r w:rsidRPr="00690988">
              <w:rPr>
                <w:rFonts w:asciiTheme="majorHAnsi" w:hAnsiTheme="majorHAnsi" w:cstheme="majorHAnsi"/>
                <w:szCs w:val="18"/>
              </w:rPr>
              <w:t>not  supported</w:t>
            </w:r>
            <w:proofErr w:type="gramEnd"/>
            <w:r w:rsidRPr="00690988">
              <w:rPr>
                <w:rFonts w:asciiTheme="majorHAnsi" w:hAnsiTheme="majorHAnsi" w:cstheme="majorHAnsi"/>
                <w:szCs w:val="18"/>
              </w:rPr>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C0D41" w14:textId="77777777" w:rsidR="008C6C41" w:rsidRDefault="008C6C41">
      <w:r>
        <w:separator/>
      </w:r>
    </w:p>
  </w:endnote>
  <w:endnote w:type="continuationSeparator" w:id="0">
    <w:p w14:paraId="29AF704D" w14:textId="77777777" w:rsidR="008C6C41" w:rsidRDefault="008C6C41">
      <w:r>
        <w:continuationSeparator/>
      </w:r>
    </w:p>
  </w:endnote>
  <w:endnote w:type="continuationNotice" w:id="1">
    <w:p w14:paraId="61D2A81D" w14:textId="77777777" w:rsidR="008C6C41" w:rsidRDefault="008C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6D5CD8E"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508E9">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508E9">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2FF1EE3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508E9">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508E9">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C896" w14:textId="77777777" w:rsidR="008C6C41" w:rsidRDefault="008C6C41">
      <w:r>
        <w:separator/>
      </w:r>
    </w:p>
  </w:footnote>
  <w:footnote w:type="continuationSeparator" w:id="0">
    <w:p w14:paraId="680FDF77" w14:textId="77777777" w:rsidR="008C6C41" w:rsidRDefault="008C6C41">
      <w:r>
        <w:continuationSeparator/>
      </w:r>
    </w:p>
  </w:footnote>
  <w:footnote w:type="continuationNotice" w:id="1">
    <w:p w14:paraId="50AFA98E" w14:textId="77777777" w:rsidR="008C6C41" w:rsidRDefault="008C6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3147F"/>
    <w:multiLevelType w:val="multilevel"/>
    <w:tmpl w:val="EEB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D53980"/>
    <w:multiLevelType w:val="multilevel"/>
    <w:tmpl w:val="99F4D080"/>
    <w:numStyleLink w:val="1"/>
  </w:abstractNum>
  <w:abstractNum w:abstractNumId="34"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1"/>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3"/>
  </w:num>
  <w:num w:numId="13">
    <w:abstractNumId w:val="6"/>
  </w:num>
  <w:num w:numId="14">
    <w:abstractNumId w:val="22"/>
  </w:num>
  <w:num w:numId="15">
    <w:abstractNumId w:val="11"/>
  </w:num>
  <w:num w:numId="16">
    <w:abstractNumId w:val="34"/>
  </w:num>
  <w:num w:numId="17">
    <w:abstractNumId w:val="10"/>
  </w:num>
  <w:num w:numId="18">
    <w:abstractNumId w:val="23"/>
  </w:num>
  <w:num w:numId="19">
    <w:abstractNumId w:val="27"/>
  </w:num>
  <w:num w:numId="20">
    <w:abstractNumId w:val="29"/>
  </w:num>
  <w:num w:numId="21">
    <w:abstractNumId w:val="24"/>
  </w:num>
  <w:num w:numId="22">
    <w:abstractNumId w:val="30"/>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8"/>
  </w:num>
  <w:num w:numId="31">
    <w:abstractNumId w:val="19"/>
  </w:num>
  <w:num w:numId="32">
    <w:abstractNumId w:val="15"/>
  </w:num>
  <w:num w:numId="33">
    <w:abstractNumId w:val="21"/>
  </w:num>
  <w:num w:numId="34">
    <w:abstractNumId w:val="32"/>
  </w:num>
  <w:num w:numId="3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F14"/>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AF5"/>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28A"/>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1C1"/>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529"/>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09"/>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B9"/>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4FE5"/>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34"/>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C41"/>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5B5"/>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0BE"/>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5F4D"/>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2D2"/>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D9A"/>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A5"/>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8E9"/>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28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16228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52153">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4369918">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BEB3C-5B31-594B-AC06-B49176A641DA}">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1598</Words>
  <Characters>9113</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4</cp:revision>
  <cp:lastPrinted>2017-08-09T04:40:00Z</cp:lastPrinted>
  <dcterms:created xsi:type="dcterms:W3CDTF">2020-08-17T10:10:00Z</dcterms:created>
  <dcterms:modified xsi:type="dcterms:W3CDTF">2020-08-19T06:06:00Z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