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E319C1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6C122D">
        <w:rPr>
          <w:rFonts w:ascii="Arial" w:eastAsia="MS Mincho" w:hAnsi="Arial"/>
          <w:b/>
          <w:noProof/>
          <w:lang w:val="en-US"/>
        </w:rPr>
        <w:t>15</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0576CC7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Summary on NR UE features for others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C608074" w14:textId="17D3D38E" w:rsidR="00370AD3" w:rsidRPr="003E0E4E" w:rsidRDefault="00370AD3" w:rsidP="00370AD3">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that are not dedicated to a specific Rel-16 work item/TEI</w:t>
      </w:r>
      <w:r w:rsidRPr="003E0E4E">
        <w:rPr>
          <w:rFonts w:eastAsia="MS Mincho"/>
          <w:sz w:val="22"/>
          <w:szCs w:val="22"/>
          <w:lang w:val="en-US"/>
        </w:rPr>
        <w:t>.</w:t>
      </w:r>
    </w:p>
    <w:p w14:paraId="1D2CE5A4" w14:textId="77777777" w:rsidR="00370AD3" w:rsidRDefault="00370AD3" w:rsidP="00370AD3">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5E729606" w14:textId="77777777" w:rsidR="00370AD3" w:rsidRPr="00E15D6E" w:rsidRDefault="00370AD3" w:rsidP="00370AD3">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6CF24F06" w14:textId="31A478B0" w:rsidR="00370AD3" w:rsidRDefault="00370AD3" w:rsidP="00370AD3">
      <w:pPr>
        <w:rPr>
          <w:b/>
          <w:sz w:val="22"/>
          <w:szCs w:val="22"/>
          <w:lang w:val="en-US"/>
        </w:rPr>
      </w:pPr>
      <w:r w:rsidRPr="00C12352">
        <w:rPr>
          <w:b/>
          <w:sz w:val="22"/>
          <w:szCs w:val="22"/>
          <w:lang w:val="en-US"/>
        </w:rPr>
        <w:t xml:space="preserve">Email discussion/approval on </w:t>
      </w:r>
      <w:r w:rsidR="00E03D3C">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72E4BD8" w14:textId="186FE289" w:rsidR="00E03D3C" w:rsidRPr="00E03D3C" w:rsidRDefault="00E03D3C" w:rsidP="00E03D3C">
      <w:pPr>
        <w:pStyle w:val="afc"/>
        <w:numPr>
          <w:ilvl w:val="0"/>
          <w:numId w:val="19"/>
        </w:numPr>
        <w:ind w:leftChars="0"/>
        <w:rPr>
          <w:b/>
          <w:sz w:val="22"/>
          <w:szCs w:val="22"/>
          <w:lang w:val="en-US"/>
        </w:rPr>
      </w:pPr>
      <w:r w:rsidRPr="00E03D3C">
        <w:rPr>
          <w:b/>
          <w:sz w:val="22"/>
          <w:szCs w:val="22"/>
          <w:lang w:val="en-US"/>
        </w:rPr>
        <w:t>Whether/how to define new FGs related to PUCCH group to better support the FR1 + FR1 + FR2 deployment</w:t>
      </w:r>
    </w:p>
    <w:p w14:paraId="511AEFD4" w14:textId="77777777" w:rsidR="00E03D3C" w:rsidRPr="00EB4F19" w:rsidRDefault="00E03D3C" w:rsidP="00E03D3C">
      <w:pPr>
        <w:pStyle w:val="afc"/>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27F381E6" w14:textId="77777777" w:rsidR="00E03D3C" w:rsidRPr="00EB4F19" w:rsidRDefault="00E03D3C" w:rsidP="00E03D3C">
      <w:pPr>
        <w:pStyle w:val="afc"/>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26CE9A22" w14:textId="16204914" w:rsidR="00370AD3" w:rsidRPr="00E03D3C" w:rsidRDefault="00370AD3" w:rsidP="00E03D3C">
      <w:pPr>
        <w:rPr>
          <w:b/>
          <w:sz w:val="22"/>
          <w:szCs w:val="22"/>
          <w:lang w:val="en-US"/>
        </w:rPr>
      </w:pPr>
    </w:p>
    <w:p w14:paraId="5EFBD50E" w14:textId="77777777" w:rsidR="00370AD3" w:rsidRPr="00E03D3C" w:rsidRDefault="00370AD3" w:rsidP="00370AD3">
      <w:pPr>
        <w:rPr>
          <w:b/>
          <w:sz w:val="22"/>
          <w:szCs w:val="22"/>
          <w:lang w:val="en-US"/>
        </w:rPr>
      </w:pPr>
    </w:p>
    <w:p w14:paraId="7E295798" w14:textId="77777777" w:rsidR="00370AD3" w:rsidRDefault="00370AD3" w:rsidP="00370AD3">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41"/>
        <w:gridCol w:w="7687"/>
      </w:tblGrid>
      <w:tr w:rsidR="00370AD3" w14:paraId="0082410A" w14:textId="77777777" w:rsidTr="00CB461D">
        <w:tc>
          <w:tcPr>
            <w:tcW w:w="1941" w:type="dxa"/>
            <w:shd w:val="clear" w:color="auto" w:fill="F2F2F2" w:themeFill="background1" w:themeFillShade="F2"/>
          </w:tcPr>
          <w:p w14:paraId="13125670" w14:textId="77777777" w:rsidR="00370AD3" w:rsidRDefault="00370AD3" w:rsidP="00CB461D">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418AAFAC" w14:textId="77777777" w:rsidR="00370AD3" w:rsidRDefault="00370AD3" w:rsidP="00CB461D">
            <w:pPr>
              <w:spacing w:afterLines="50" w:after="120"/>
              <w:jc w:val="both"/>
              <w:rPr>
                <w:sz w:val="22"/>
                <w:lang w:val="en-US"/>
              </w:rPr>
            </w:pPr>
            <w:r>
              <w:rPr>
                <w:rFonts w:hint="eastAsia"/>
                <w:sz w:val="22"/>
                <w:lang w:val="en-US"/>
              </w:rPr>
              <w:t>C</w:t>
            </w:r>
            <w:r>
              <w:rPr>
                <w:sz w:val="22"/>
                <w:lang w:val="en-US"/>
              </w:rPr>
              <w:t>omment</w:t>
            </w:r>
          </w:p>
        </w:tc>
      </w:tr>
      <w:tr w:rsidR="007759C0" w14:paraId="288396CE" w14:textId="77777777" w:rsidTr="00CB461D">
        <w:tc>
          <w:tcPr>
            <w:tcW w:w="1941" w:type="dxa"/>
          </w:tcPr>
          <w:p w14:paraId="44C82E78" w14:textId="0C643F8D" w:rsidR="007759C0" w:rsidRPr="00CB461D" w:rsidRDefault="00CB461D" w:rsidP="00CB461D">
            <w:pPr>
              <w:spacing w:afterLines="50" w:after="120"/>
              <w:jc w:val="both"/>
              <w:rPr>
                <w:rFonts w:eastAsia="MS Mincho"/>
                <w:sz w:val="22"/>
                <w:lang w:val="en-US"/>
              </w:rPr>
            </w:pPr>
            <w:r w:rsidRPr="00CB461D">
              <w:rPr>
                <w:rFonts w:eastAsia="MS Mincho" w:hint="eastAsia"/>
                <w:sz w:val="22"/>
                <w:lang w:val="en-US"/>
              </w:rPr>
              <w:t>E</w:t>
            </w:r>
            <w:r w:rsidRPr="00CB461D">
              <w:rPr>
                <w:rFonts w:eastAsia="MS Mincho"/>
                <w:sz w:val="22"/>
                <w:lang w:val="en-US"/>
              </w:rPr>
              <w:t>ricsson</w:t>
            </w:r>
          </w:p>
        </w:tc>
        <w:tc>
          <w:tcPr>
            <w:tcW w:w="7687" w:type="dxa"/>
          </w:tcPr>
          <w:p w14:paraId="2185D416" w14:textId="77777777" w:rsidR="00CB461D" w:rsidRPr="00CB461D" w:rsidRDefault="00CB461D" w:rsidP="00CB461D">
            <w:pPr>
              <w:rPr>
                <w:sz w:val="22"/>
                <w:szCs w:val="22"/>
                <w:lang w:val="en-US"/>
              </w:rPr>
            </w:pPr>
            <w:r w:rsidRPr="00CB461D">
              <w:rPr>
                <w:sz w:val="22"/>
                <w:szCs w:val="22"/>
                <w:lang w:val="en-US"/>
              </w:rPr>
              <w:t xml:space="preserve">We are supportive of your proposal to discuss the listed three issues during </w:t>
            </w:r>
          </w:p>
          <w:p w14:paraId="4EAB9BC4" w14:textId="26262124" w:rsidR="007759C0" w:rsidRPr="00CB461D" w:rsidRDefault="00CB461D" w:rsidP="00CB461D">
            <w:pPr>
              <w:rPr>
                <w:sz w:val="22"/>
                <w:szCs w:val="22"/>
                <w:lang w:val="en-US"/>
              </w:rPr>
            </w:pPr>
            <w:r w:rsidRPr="00CB461D">
              <w:rPr>
                <w:sz w:val="22"/>
                <w:szCs w:val="22"/>
                <w:lang w:val="en-US"/>
              </w:rPr>
              <w:t>the email discussion.</w:t>
            </w:r>
          </w:p>
        </w:tc>
      </w:tr>
      <w:tr w:rsidR="00CB461D" w14:paraId="005EC2B7" w14:textId="77777777" w:rsidTr="00CB461D">
        <w:tc>
          <w:tcPr>
            <w:tcW w:w="1941" w:type="dxa"/>
          </w:tcPr>
          <w:p w14:paraId="08A20FF8" w14:textId="71A84D47" w:rsidR="00CB461D" w:rsidRPr="00CB461D" w:rsidRDefault="00CB461D" w:rsidP="00CB461D">
            <w:pPr>
              <w:spacing w:afterLines="50" w:after="120"/>
              <w:jc w:val="both"/>
              <w:rPr>
                <w:rFonts w:eastAsia="Malgun Gothic"/>
                <w:sz w:val="22"/>
                <w:lang w:eastAsia="ko-KR"/>
              </w:rPr>
            </w:pPr>
            <w:r>
              <w:rPr>
                <w:rFonts w:eastAsia="Malgun Gothic" w:hint="eastAsia"/>
                <w:sz w:val="22"/>
                <w:lang w:val="en-US" w:eastAsia="ko-KR"/>
              </w:rPr>
              <w:t>Ap</w:t>
            </w:r>
            <w:r>
              <w:rPr>
                <w:rFonts w:eastAsia="Malgun Gothic"/>
                <w:sz w:val="22"/>
                <w:lang w:val="en-US" w:eastAsia="ko-KR"/>
              </w:rPr>
              <w:t>ple</w:t>
            </w:r>
          </w:p>
        </w:tc>
        <w:tc>
          <w:tcPr>
            <w:tcW w:w="7687" w:type="dxa"/>
          </w:tcPr>
          <w:p w14:paraId="4C4B5092" w14:textId="60A99FD7" w:rsidR="00CB461D" w:rsidRDefault="00CB461D" w:rsidP="00CB461D">
            <w:pPr>
              <w:rPr>
                <w:sz w:val="22"/>
                <w:lang w:val="en-US"/>
              </w:rPr>
            </w:pPr>
            <w:r>
              <w:rPr>
                <w:sz w:val="22"/>
                <w:lang w:val="en-US"/>
              </w:rPr>
              <w:t>We are very supportive of discussing the above three issues</w:t>
            </w:r>
          </w:p>
        </w:tc>
      </w:tr>
      <w:tr w:rsidR="00CB461D" w14:paraId="1DC774D5" w14:textId="77777777" w:rsidTr="00CB461D">
        <w:tc>
          <w:tcPr>
            <w:tcW w:w="1941" w:type="dxa"/>
          </w:tcPr>
          <w:p w14:paraId="2005D129" w14:textId="0BBD4CCD" w:rsidR="00CB461D" w:rsidRPr="00A3721E" w:rsidRDefault="00CB461D" w:rsidP="00CB461D">
            <w:pPr>
              <w:spacing w:afterLines="50" w:after="120"/>
              <w:jc w:val="both"/>
              <w:rPr>
                <w:rFonts w:eastAsia="Malgun Gothic"/>
                <w:sz w:val="22"/>
                <w:lang w:val="en-US" w:eastAsia="ko-KR"/>
              </w:rPr>
            </w:pPr>
            <w:r>
              <w:rPr>
                <w:rFonts w:eastAsia="Malgun Gothic" w:hint="eastAsia"/>
                <w:sz w:val="22"/>
                <w:lang w:val="en-US" w:eastAsia="ko-KR"/>
              </w:rPr>
              <w:t>Sa</w:t>
            </w:r>
            <w:r>
              <w:rPr>
                <w:rFonts w:eastAsia="Malgun Gothic"/>
                <w:sz w:val="22"/>
                <w:lang w:val="en-US" w:eastAsia="ko-KR"/>
              </w:rPr>
              <w:t>msung</w:t>
            </w:r>
          </w:p>
        </w:tc>
        <w:tc>
          <w:tcPr>
            <w:tcW w:w="7687" w:type="dxa"/>
          </w:tcPr>
          <w:p w14:paraId="1A35D209" w14:textId="2DC9D2E2" w:rsidR="00CB461D" w:rsidRPr="007759C0" w:rsidRDefault="00CB461D" w:rsidP="00CB461D">
            <w:pPr>
              <w:spacing w:afterLines="50" w:after="120"/>
              <w:jc w:val="both"/>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CB461D" w14:paraId="0673EEBF" w14:textId="77777777" w:rsidTr="00CB461D">
        <w:tc>
          <w:tcPr>
            <w:tcW w:w="1941" w:type="dxa"/>
          </w:tcPr>
          <w:p w14:paraId="07D9CB23" w14:textId="391B2ABA" w:rsidR="00CB461D" w:rsidRDefault="00CB461D" w:rsidP="00CB461D">
            <w:pPr>
              <w:spacing w:afterLines="50" w:after="120"/>
              <w:jc w:val="both"/>
              <w:rPr>
                <w:sz w:val="22"/>
                <w:lang w:val="en-US"/>
              </w:rPr>
            </w:pPr>
            <w:r>
              <w:rPr>
                <w:sz w:val="22"/>
                <w:lang w:val="en-US"/>
              </w:rPr>
              <w:t>Qualcomm</w:t>
            </w:r>
          </w:p>
        </w:tc>
        <w:tc>
          <w:tcPr>
            <w:tcW w:w="7687" w:type="dxa"/>
          </w:tcPr>
          <w:p w14:paraId="321CFEA7" w14:textId="77777777" w:rsidR="00CB461D" w:rsidRDefault="00CB461D" w:rsidP="00CB461D">
            <w:pPr>
              <w:spacing w:afterLines="50" w:after="120"/>
              <w:jc w:val="both"/>
              <w:rPr>
                <w:sz w:val="22"/>
                <w:lang w:val="en-US"/>
              </w:rPr>
            </w:pPr>
            <w:r>
              <w:rPr>
                <w:sz w:val="22"/>
                <w:lang w:val="en-US"/>
              </w:rPr>
              <w:t xml:space="preserve">We are supportive of discussing all the topics above. </w:t>
            </w:r>
          </w:p>
          <w:p w14:paraId="18796022" w14:textId="26BA37DA" w:rsidR="00CB461D" w:rsidRPr="008845BC" w:rsidRDefault="00CB461D" w:rsidP="00CB461D">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369BA84" w14:textId="77777777" w:rsidR="00CB461D" w:rsidRDefault="00CB461D" w:rsidP="00CB461D">
            <w:pPr>
              <w:pStyle w:val="afc"/>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0A251C58" w14:textId="77777777" w:rsidR="00CB461D" w:rsidRDefault="00CB461D" w:rsidP="00CB461D">
            <w:pPr>
              <w:pStyle w:val="afc"/>
              <w:numPr>
                <w:ilvl w:val="1"/>
                <w:numId w:val="29"/>
              </w:numPr>
              <w:ind w:leftChars="0"/>
            </w:pPr>
            <w:r>
              <w:t>A UE should not be mandated to support the case where cells from two NR PUCCH groups are in the same band, but there is no such capability signalling in Rel.15.</w:t>
            </w:r>
          </w:p>
          <w:p w14:paraId="4952BEF1" w14:textId="2A2A362C" w:rsidR="00CB461D" w:rsidRPr="00F740AD" w:rsidRDefault="00CB461D" w:rsidP="00CB461D">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CB461D" w14:paraId="21E8D9F8" w14:textId="77777777" w:rsidTr="00CB461D">
        <w:tc>
          <w:tcPr>
            <w:tcW w:w="1941" w:type="dxa"/>
          </w:tcPr>
          <w:p w14:paraId="289AC03F" w14:textId="6D44435A" w:rsidR="00CB461D" w:rsidRDefault="00CB461D" w:rsidP="00CB461D">
            <w:pPr>
              <w:spacing w:afterLines="50" w:after="120"/>
              <w:jc w:val="both"/>
              <w:rPr>
                <w:sz w:val="22"/>
                <w:lang w:val="en-US"/>
              </w:rPr>
            </w:pPr>
            <w:r>
              <w:rPr>
                <w:rFonts w:hint="eastAsia"/>
                <w:sz w:val="22"/>
                <w:lang w:val="en-US"/>
              </w:rPr>
              <w:lastRenderedPageBreak/>
              <w:t>I</w:t>
            </w:r>
            <w:r>
              <w:rPr>
                <w:sz w:val="22"/>
                <w:lang w:val="en-US"/>
              </w:rPr>
              <w:t>ntel</w:t>
            </w:r>
          </w:p>
        </w:tc>
        <w:tc>
          <w:tcPr>
            <w:tcW w:w="7687" w:type="dxa"/>
          </w:tcPr>
          <w:p w14:paraId="23ADF4B6" w14:textId="77777777" w:rsidR="00CB461D" w:rsidRPr="00CB461D" w:rsidRDefault="00CB461D" w:rsidP="00CB461D">
            <w:pPr>
              <w:spacing w:afterLines="50" w:after="120"/>
              <w:jc w:val="both"/>
              <w:rPr>
                <w:sz w:val="22"/>
                <w:lang w:val="en-US"/>
              </w:rPr>
            </w:pPr>
            <w:r w:rsidRPr="00CB461D">
              <w:rPr>
                <w:sz w:val="22"/>
                <w:lang w:val="en-US"/>
              </w:rPr>
              <w:t>On the discussion point #1:</w:t>
            </w:r>
          </w:p>
          <w:p w14:paraId="29E25043" w14:textId="5DCB83C1" w:rsidR="00CB461D" w:rsidRPr="00CB461D" w:rsidRDefault="00CB461D" w:rsidP="00CB461D">
            <w:pPr>
              <w:spacing w:afterLines="50" w:after="120"/>
              <w:jc w:val="both"/>
              <w:rPr>
                <w:sz w:val="22"/>
                <w:lang w:val="en-US"/>
              </w:rPr>
            </w:pPr>
          </w:p>
          <w:p w14:paraId="7FFA7A82" w14:textId="638A7CB8" w:rsidR="00CB461D" w:rsidRPr="00CB461D" w:rsidRDefault="00CB461D" w:rsidP="00CB461D">
            <w:pPr>
              <w:spacing w:afterLines="50" w:after="120"/>
              <w:jc w:val="both"/>
              <w:rPr>
                <w:sz w:val="22"/>
                <w:lang w:val="en-US"/>
              </w:rPr>
            </w:pPr>
            <w:r w:rsidRPr="00CB461D">
              <w:rPr>
                <w:sz w:val="22"/>
                <w:lang w:val="en-US"/>
              </w:rPr>
              <w:t>Discussion point #1</w:t>
            </w:r>
          </w:p>
          <w:p w14:paraId="473AD11A" w14:textId="77777777" w:rsidR="00CB461D" w:rsidRPr="00CB461D" w:rsidRDefault="00CB461D" w:rsidP="00CB461D">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461688AF" w14:textId="66C30E17" w:rsidR="00CB461D" w:rsidRPr="00CB461D" w:rsidRDefault="00CB461D" w:rsidP="00CB461D">
            <w:pPr>
              <w:spacing w:afterLines="50" w:after="120"/>
              <w:jc w:val="both"/>
              <w:rPr>
                <w:sz w:val="22"/>
                <w:lang w:val="en-US"/>
              </w:rPr>
            </w:pPr>
          </w:p>
          <w:p w14:paraId="69868095" w14:textId="77777777" w:rsidR="00CB461D" w:rsidRPr="00CB461D" w:rsidRDefault="00CB461D" w:rsidP="00CB461D">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67FFBA41" w14:textId="77777777" w:rsidR="00CB461D" w:rsidRPr="00CB461D" w:rsidRDefault="00CB461D" w:rsidP="00CB461D">
            <w:pPr>
              <w:spacing w:afterLines="50" w:after="120"/>
              <w:jc w:val="both"/>
              <w:rPr>
                <w:sz w:val="22"/>
                <w:lang w:val="en-US"/>
              </w:rPr>
            </w:pPr>
          </w:p>
          <w:p w14:paraId="53CE06D4" w14:textId="58993F8E" w:rsidR="00CB461D" w:rsidRPr="00CB461D" w:rsidRDefault="00CB461D" w:rsidP="00CB461D">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CB461D" w14:paraId="3D70275D" w14:textId="77777777" w:rsidTr="00CB461D">
        <w:tc>
          <w:tcPr>
            <w:tcW w:w="1941" w:type="dxa"/>
          </w:tcPr>
          <w:p w14:paraId="7CFEC898" w14:textId="33D81C9E" w:rsidR="00CB461D" w:rsidRDefault="00CB461D" w:rsidP="00CB461D">
            <w:pPr>
              <w:spacing w:afterLines="50" w:after="120"/>
              <w:jc w:val="both"/>
              <w:rPr>
                <w:sz w:val="22"/>
                <w:lang w:val="en-US"/>
              </w:rPr>
            </w:pPr>
            <w:r>
              <w:rPr>
                <w:rFonts w:hint="eastAsia"/>
                <w:sz w:val="22"/>
                <w:lang w:val="en-US"/>
              </w:rPr>
              <w:t>M</w:t>
            </w:r>
            <w:r>
              <w:rPr>
                <w:sz w:val="22"/>
                <w:lang w:val="en-US"/>
              </w:rPr>
              <w:t>oderator</w:t>
            </w:r>
          </w:p>
        </w:tc>
        <w:tc>
          <w:tcPr>
            <w:tcW w:w="7687" w:type="dxa"/>
          </w:tcPr>
          <w:p w14:paraId="2DA98684" w14:textId="77777777" w:rsidR="00CB461D" w:rsidRDefault="00CB461D" w:rsidP="00CB461D">
            <w:pPr>
              <w:spacing w:afterLines="50" w:after="120"/>
              <w:jc w:val="both"/>
              <w:rPr>
                <w:sz w:val="22"/>
                <w:lang w:val="en-US"/>
              </w:rPr>
            </w:pPr>
            <w:r>
              <w:rPr>
                <w:rFonts w:hint="eastAsia"/>
                <w:sz w:val="22"/>
                <w:lang w:val="en-US"/>
              </w:rPr>
              <w:t>T</w:t>
            </w:r>
            <w:r>
              <w:rPr>
                <w:sz w:val="22"/>
                <w:lang w:val="en-US"/>
              </w:rPr>
              <w:t>hank you very much for the inputs!</w:t>
            </w:r>
          </w:p>
          <w:p w14:paraId="23289C38" w14:textId="77777777" w:rsidR="00CB461D" w:rsidRDefault="00CB461D" w:rsidP="00CB461D">
            <w:pPr>
              <w:spacing w:afterLines="50" w:after="120"/>
              <w:jc w:val="both"/>
              <w:rPr>
                <w:sz w:val="22"/>
                <w:lang w:val="en-US"/>
              </w:rPr>
            </w:pPr>
            <w:r>
              <w:rPr>
                <w:rFonts w:hint="eastAsia"/>
                <w:sz w:val="22"/>
                <w:lang w:val="en-US"/>
              </w:rPr>
              <w:t>R</w:t>
            </w:r>
            <w:r>
              <w:rPr>
                <w:sz w:val="22"/>
                <w:lang w:val="en-US"/>
              </w:rPr>
              <w:t>egarding the discussion point #1, the bullet can be modified as below to include suggested additional sub issues.</w:t>
            </w:r>
          </w:p>
          <w:p w14:paraId="0EB290EE" w14:textId="680063D5" w:rsidR="00CB461D" w:rsidRDefault="00CB461D" w:rsidP="00CB461D">
            <w:pPr>
              <w:pStyle w:val="afc"/>
              <w:numPr>
                <w:ilvl w:val="0"/>
                <w:numId w:val="19"/>
              </w:numPr>
              <w:ind w:leftChars="0"/>
              <w:rPr>
                <w:b/>
                <w:sz w:val="22"/>
                <w:szCs w:val="22"/>
                <w:lang w:val="en-US"/>
              </w:rPr>
            </w:pPr>
            <w:r w:rsidRPr="00E03D3C">
              <w:rPr>
                <w:b/>
                <w:sz w:val="22"/>
                <w:szCs w:val="22"/>
                <w:lang w:val="en-US"/>
              </w:rPr>
              <w:t xml:space="preserve">Whether/how to define new FGs related to PUCCH group </w:t>
            </w:r>
            <w:r>
              <w:rPr>
                <w:b/>
                <w:sz w:val="22"/>
                <w:szCs w:val="22"/>
                <w:lang w:val="en-US"/>
              </w:rPr>
              <w:t xml:space="preserve">based on proposals in R1-2006482 and </w:t>
            </w:r>
            <w:r w:rsidR="000B5C28">
              <w:rPr>
                <w:b/>
                <w:sz w:val="22"/>
                <w:szCs w:val="22"/>
                <w:lang w:val="en-US"/>
              </w:rPr>
              <w:t xml:space="preserve">potentially </w:t>
            </w:r>
            <w:r>
              <w:rPr>
                <w:b/>
                <w:sz w:val="22"/>
                <w:szCs w:val="22"/>
                <w:lang w:val="en-US"/>
              </w:rPr>
              <w:t>following points</w:t>
            </w:r>
          </w:p>
          <w:p w14:paraId="3EC5919B" w14:textId="77777777" w:rsidR="000B5C28" w:rsidRPr="000B5C28" w:rsidRDefault="000B5C28" w:rsidP="000B5C28">
            <w:pPr>
              <w:pStyle w:val="afc"/>
              <w:numPr>
                <w:ilvl w:val="1"/>
                <w:numId w:val="19"/>
              </w:numPr>
              <w:ind w:leftChars="0"/>
              <w:rPr>
                <w:b/>
                <w:sz w:val="22"/>
                <w:szCs w:val="22"/>
                <w:lang w:val="en-US"/>
              </w:rPr>
            </w:pPr>
            <w:r w:rsidRPr="000B5C28">
              <w:rPr>
                <w:b/>
                <w:sz w:val="22"/>
                <w:szCs w:val="22"/>
                <w:lang w:val="en-US"/>
              </w:rPr>
              <w:t>A UE should not be mandated to support the case where cells from different NR PUCCH groups are in the same TAG, but there is no such capability signalling in Rel.15.</w:t>
            </w:r>
          </w:p>
          <w:p w14:paraId="3A6721D3" w14:textId="3C6FB0E4" w:rsidR="000B5C28" w:rsidRPr="00E03D3C" w:rsidRDefault="000B5C28" w:rsidP="000B5C28">
            <w:pPr>
              <w:pStyle w:val="afc"/>
              <w:numPr>
                <w:ilvl w:val="1"/>
                <w:numId w:val="19"/>
              </w:numPr>
              <w:ind w:leftChars="0"/>
              <w:rPr>
                <w:b/>
                <w:sz w:val="22"/>
                <w:szCs w:val="22"/>
                <w:lang w:val="en-US"/>
              </w:rPr>
            </w:pPr>
            <w:r w:rsidRPr="000B5C28">
              <w:rPr>
                <w:b/>
                <w:sz w:val="22"/>
                <w:szCs w:val="22"/>
                <w:lang w:val="en-US"/>
              </w:rPr>
              <w:t>A UE should not be mandated to support the case where cells from two NR PUCCH groups are in the same band, but there is no such capability signalling in Rel.15</w:t>
            </w:r>
          </w:p>
          <w:p w14:paraId="78DE1866" w14:textId="6D0CD591" w:rsidR="00CB461D" w:rsidRDefault="000B5C28" w:rsidP="00CB461D">
            <w:pPr>
              <w:spacing w:afterLines="50" w:after="120"/>
              <w:jc w:val="both"/>
              <w:rPr>
                <w:sz w:val="22"/>
                <w:lang w:val="en-US"/>
              </w:rPr>
            </w:pPr>
            <w:r>
              <w:rPr>
                <w:rFonts w:hint="eastAsia"/>
                <w:sz w:val="22"/>
                <w:lang w:val="en-US"/>
              </w:rPr>
              <w:t>W</w:t>
            </w:r>
            <w:r>
              <w:rPr>
                <w:sz w:val="22"/>
                <w:lang w:val="en-US"/>
              </w:rPr>
              <w:t>hether it should be discussed in AI 7.2.11 or 7.2.12 may be up to Chairman, but I personally think the issue has a capability impact with high probability and hence discussing this in AI 7.2.11 would be better to prioritize this discussion.</w:t>
            </w:r>
          </w:p>
          <w:p w14:paraId="556276B0" w14:textId="094495C9" w:rsidR="000B5C28" w:rsidRPr="00CB461D" w:rsidRDefault="000B5C28" w:rsidP="00CB461D">
            <w:pPr>
              <w:spacing w:afterLines="50" w:after="120"/>
              <w:jc w:val="both"/>
              <w:rPr>
                <w:sz w:val="22"/>
                <w:lang w:val="en-US"/>
              </w:rPr>
            </w:pPr>
            <w:r>
              <w:rPr>
                <w:rFonts w:hint="eastAsia"/>
                <w:sz w:val="22"/>
                <w:lang w:val="en-US"/>
              </w:rPr>
              <w:t>R</w:t>
            </w:r>
            <w:r>
              <w:rPr>
                <w:sz w:val="22"/>
                <w:lang w:val="en-US"/>
              </w:rPr>
              <w:t>egarding the discussion point #3, assuming the explanation from the proponent could address previous comment, I suggest to keep it in the email discussion scope as it is supported by multiple companies.</w:t>
            </w:r>
          </w:p>
        </w:tc>
      </w:tr>
    </w:tbl>
    <w:p w14:paraId="6B4C22EF" w14:textId="3367889F" w:rsidR="002753B9" w:rsidRDefault="002753B9" w:rsidP="002753B9">
      <w:pPr>
        <w:rPr>
          <w:b/>
        </w:rPr>
      </w:pPr>
    </w:p>
    <w:p w14:paraId="25F104F8" w14:textId="07E0BE31" w:rsidR="000B5C28" w:rsidRPr="000B5C28" w:rsidRDefault="000B5C28" w:rsidP="000B5C28">
      <w:pPr>
        <w:pStyle w:val="afc"/>
        <w:numPr>
          <w:ilvl w:val="1"/>
          <w:numId w:val="12"/>
        </w:numPr>
        <w:ind w:leftChars="0"/>
        <w:outlineLvl w:val="1"/>
        <w:rPr>
          <w:b/>
        </w:rPr>
      </w:pPr>
      <w:r w:rsidRPr="000B5C28">
        <w:rPr>
          <w:b/>
        </w:rPr>
        <w:t>Updated FL proposal</w:t>
      </w:r>
    </w:p>
    <w:p w14:paraId="2F526B07" w14:textId="674F9148" w:rsidR="000B5C28" w:rsidRDefault="000B5C28" w:rsidP="000B5C28">
      <w:pPr>
        <w:rPr>
          <w:b/>
        </w:rPr>
      </w:pPr>
    </w:p>
    <w:p w14:paraId="519E16F7" w14:textId="77777777" w:rsidR="000B5C28" w:rsidRDefault="000B5C28" w:rsidP="000B5C28">
      <w:pPr>
        <w:rPr>
          <w:b/>
          <w:sz w:val="22"/>
          <w:szCs w:val="22"/>
          <w:lang w:val="en-US"/>
        </w:rPr>
      </w:pPr>
      <w:r w:rsidRPr="00C12352">
        <w:rPr>
          <w:b/>
          <w:sz w:val="22"/>
          <w:szCs w:val="22"/>
          <w:lang w:val="en-US"/>
        </w:rPr>
        <w:t xml:space="preserve">Email discussion/approval on </w:t>
      </w:r>
      <w:r>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D89898A" w14:textId="77777777" w:rsidR="000B5C28" w:rsidRDefault="000B5C28" w:rsidP="000B5C28">
      <w:pPr>
        <w:pStyle w:val="afc"/>
        <w:numPr>
          <w:ilvl w:val="0"/>
          <w:numId w:val="19"/>
        </w:numPr>
        <w:ind w:leftChars="0"/>
        <w:rPr>
          <w:b/>
          <w:sz w:val="22"/>
          <w:szCs w:val="22"/>
          <w:lang w:val="en-US"/>
        </w:rPr>
      </w:pPr>
      <w:r w:rsidRPr="00E03D3C">
        <w:rPr>
          <w:b/>
          <w:sz w:val="22"/>
          <w:szCs w:val="22"/>
          <w:lang w:val="en-US"/>
        </w:rPr>
        <w:t xml:space="preserve">Whether/how to define new FGs related to PUCCH group </w:t>
      </w:r>
      <w:r>
        <w:rPr>
          <w:b/>
          <w:sz w:val="22"/>
          <w:szCs w:val="22"/>
          <w:lang w:val="en-US"/>
        </w:rPr>
        <w:t>based on proposals in R1-2006482 and potentially following points</w:t>
      </w:r>
    </w:p>
    <w:p w14:paraId="306E5178" w14:textId="77777777" w:rsidR="000B5C28" w:rsidRPr="000B5C28" w:rsidRDefault="000B5C28" w:rsidP="000B5C28">
      <w:pPr>
        <w:pStyle w:val="afc"/>
        <w:numPr>
          <w:ilvl w:val="1"/>
          <w:numId w:val="19"/>
        </w:numPr>
        <w:overflowPunct w:val="0"/>
        <w:autoSpaceDE w:val="0"/>
        <w:autoSpaceDN w:val="0"/>
        <w:adjustRightInd w:val="0"/>
        <w:spacing w:after="180"/>
        <w:ind w:leftChars="0"/>
        <w:textAlignment w:val="baseline"/>
        <w:rPr>
          <w:b/>
          <w:sz w:val="22"/>
          <w:szCs w:val="22"/>
          <w:lang w:val="en-US"/>
        </w:rPr>
      </w:pPr>
      <w:r w:rsidRPr="000B5C28">
        <w:rPr>
          <w:b/>
          <w:sz w:val="22"/>
          <w:szCs w:val="22"/>
          <w:lang w:val="en-US"/>
        </w:rPr>
        <w:t>A UE should not be mandated to support the case where cells from different NR PUCCH groups are in the same TAG, but there is no such capability signalling in Rel.15.</w:t>
      </w:r>
    </w:p>
    <w:p w14:paraId="1338365F" w14:textId="77777777" w:rsidR="000B5C28" w:rsidRPr="00E03D3C" w:rsidRDefault="000B5C28" w:rsidP="000B5C28">
      <w:pPr>
        <w:pStyle w:val="afc"/>
        <w:numPr>
          <w:ilvl w:val="1"/>
          <w:numId w:val="19"/>
        </w:numPr>
        <w:ind w:leftChars="0"/>
        <w:rPr>
          <w:b/>
          <w:sz w:val="22"/>
          <w:szCs w:val="22"/>
          <w:lang w:val="en-US"/>
        </w:rPr>
      </w:pPr>
      <w:r w:rsidRPr="000B5C28">
        <w:rPr>
          <w:b/>
          <w:sz w:val="22"/>
          <w:szCs w:val="22"/>
          <w:lang w:val="en-US"/>
        </w:rPr>
        <w:t>A UE should not be mandated to support the case where cells from two NR PUCCH groups are in the same band, but there is no such capability signalling in Rel.15</w:t>
      </w:r>
    </w:p>
    <w:p w14:paraId="1BE9397E" w14:textId="77777777" w:rsidR="000B5C28" w:rsidRPr="00EB4F19" w:rsidRDefault="000B5C28" w:rsidP="000B5C28">
      <w:pPr>
        <w:pStyle w:val="afc"/>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D4F6080" w14:textId="77777777" w:rsidR="000B5C28" w:rsidRPr="00EB4F19" w:rsidRDefault="000B5C28" w:rsidP="000B5C28">
      <w:pPr>
        <w:pStyle w:val="afc"/>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7285563D" w14:textId="15D5D4F9" w:rsidR="000B5C28" w:rsidRDefault="000B5C28" w:rsidP="000B5C28">
      <w:pPr>
        <w:rPr>
          <w:b/>
          <w:lang w:val="en-US"/>
        </w:rPr>
      </w:pPr>
    </w:p>
    <w:tbl>
      <w:tblPr>
        <w:tblStyle w:val="af9"/>
        <w:tblW w:w="0" w:type="auto"/>
        <w:tblLook w:val="04A0" w:firstRow="1" w:lastRow="0" w:firstColumn="1" w:lastColumn="0" w:noHBand="0" w:noVBand="1"/>
      </w:tblPr>
      <w:tblGrid>
        <w:gridCol w:w="1941"/>
        <w:gridCol w:w="7687"/>
      </w:tblGrid>
      <w:tr w:rsidR="000B5C28" w14:paraId="633154D5" w14:textId="77777777" w:rsidTr="00240868">
        <w:tc>
          <w:tcPr>
            <w:tcW w:w="1941" w:type="dxa"/>
            <w:shd w:val="clear" w:color="auto" w:fill="F2F2F2" w:themeFill="background1" w:themeFillShade="F2"/>
          </w:tcPr>
          <w:p w14:paraId="198272FD" w14:textId="77777777" w:rsidR="000B5C28" w:rsidRDefault="000B5C28" w:rsidP="00240868">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3C82061D" w14:textId="77777777" w:rsidR="000B5C28" w:rsidRDefault="000B5C28" w:rsidP="00240868">
            <w:pPr>
              <w:spacing w:afterLines="50" w:after="120"/>
              <w:jc w:val="both"/>
              <w:rPr>
                <w:sz w:val="22"/>
                <w:lang w:val="en-US"/>
              </w:rPr>
            </w:pPr>
            <w:r>
              <w:rPr>
                <w:rFonts w:hint="eastAsia"/>
                <w:sz w:val="22"/>
                <w:lang w:val="en-US"/>
              </w:rPr>
              <w:t>C</w:t>
            </w:r>
            <w:r>
              <w:rPr>
                <w:sz w:val="22"/>
                <w:lang w:val="en-US"/>
              </w:rPr>
              <w:t>omment</w:t>
            </w:r>
          </w:p>
        </w:tc>
      </w:tr>
      <w:tr w:rsidR="005C3113" w:rsidRPr="00CB461D" w14:paraId="38ABEE1E" w14:textId="77777777" w:rsidTr="00240868">
        <w:tc>
          <w:tcPr>
            <w:tcW w:w="1941" w:type="dxa"/>
          </w:tcPr>
          <w:p w14:paraId="76906876" w14:textId="5D42AA40" w:rsidR="005C3113" w:rsidRPr="00CB461D" w:rsidRDefault="005C3113" w:rsidP="005C3113">
            <w:pPr>
              <w:spacing w:afterLines="50" w:after="120"/>
              <w:jc w:val="both"/>
              <w:rPr>
                <w:rFonts w:eastAsia="MS Mincho"/>
                <w:sz w:val="22"/>
                <w:lang w:val="en-US"/>
              </w:rPr>
            </w:pPr>
            <w:r>
              <w:rPr>
                <w:sz w:val="22"/>
                <w:szCs w:val="22"/>
              </w:rPr>
              <w:t>Huawei, HiSilicon</w:t>
            </w:r>
          </w:p>
        </w:tc>
        <w:tc>
          <w:tcPr>
            <w:tcW w:w="7687" w:type="dxa"/>
          </w:tcPr>
          <w:p w14:paraId="618A302A" w14:textId="1D132CD2" w:rsidR="005C3113" w:rsidRPr="005C3113" w:rsidRDefault="005C3113" w:rsidP="005C3113">
            <w:pPr>
              <w:spacing w:afterLines="50" w:after="120"/>
              <w:jc w:val="both"/>
              <w:rPr>
                <w:rFonts w:eastAsiaTheme="minorEastAsia" w:hint="eastAsia"/>
                <w:sz w:val="22"/>
                <w:szCs w:val="22"/>
                <w:lang w:eastAsia="zh-CN"/>
              </w:rPr>
            </w:pPr>
            <w:r>
              <w:rPr>
                <w:sz w:val="22"/>
                <w:szCs w:val="22"/>
              </w:rPr>
              <w:t xml:space="preserve">Discussion for issues 2.1 and 2.2 is fine while more justification is expected, and we assume these are for Rel-16 only. </w:t>
            </w:r>
          </w:p>
          <w:p w14:paraId="4CA6DE53" w14:textId="7DDA8EAA" w:rsidR="005C3113" w:rsidRPr="00CB461D" w:rsidRDefault="005C3113" w:rsidP="005C3113">
            <w:pPr>
              <w:rPr>
                <w:sz w:val="22"/>
                <w:szCs w:val="22"/>
                <w:lang w:val="en-US"/>
              </w:rPr>
            </w:pPr>
            <w:r>
              <w:rPr>
                <w:sz w:val="22"/>
                <w:szCs w:val="22"/>
              </w:rPr>
              <w:t>As to issue 2.3, it is related on both Rel-15 and Rel-16. We need to clarify the current behavior in Rel-15 first, e.g. based on the current specification</w:t>
            </w:r>
            <w:r w:rsidRPr="005C3113">
              <w:rPr>
                <w:sz w:val="22"/>
                <w:szCs w:val="22"/>
              </w:rPr>
              <w:t>, whether</w:t>
            </w:r>
            <w:r>
              <w:rPr>
                <w:sz w:val="22"/>
                <w:szCs w:val="22"/>
              </w:rPr>
              <w:t xml:space="preserve"> “partial cancellation” is supported or not; and if the conclusion is it is supported, </w:t>
            </w:r>
            <w:bookmarkStart w:id="9" w:name="_GoBack"/>
            <w:bookmarkEnd w:id="9"/>
            <w:r>
              <w:rPr>
                <w:sz w:val="22"/>
                <w:szCs w:val="22"/>
              </w:rPr>
              <w:t>it seems the proposal to have a feature group for it is necessary. Based on the conclusion for Rel-15, we can further discuss what to do for Rel-16.    </w:t>
            </w:r>
          </w:p>
        </w:tc>
      </w:tr>
      <w:tr w:rsidR="000B5C28" w14:paraId="28ED867E" w14:textId="77777777" w:rsidTr="00240868">
        <w:tc>
          <w:tcPr>
            <w:tcW w:w="1941" w:type="dxa"/>
          </w:tcPr>
          <w:p w14:paraId="36DAD82E" w14:textId="67925C29" w:rsidR="000B5C28" w:rsidRPr="00CB461D" w:rsidRDefault="000B5C28" w:rsidP="00240868">
            <w:pPr>
              <w:spacing w:afterLines="50" w:after="120"/>
              <w:jc w:val="both"/>
              <w:rPr>
                <w:rFonts w:eastAsia="Malgun Gothic"/>
                <w:sz w:val="22"/>
                <w:lang w:eastAsia="ko-KR"/>
              </w:rPr>
            </w:pPr>
          </w:p>
        </w:tc>
        <w:tc>
          <w:tcPr>
            <w:tcW w:w="7687" w:type="dxa"/>
          </w:tcPr>
          <w:p w14:paraId="04A42A0A" w14:textId="798B1430" w:rsidR="000B5C28" w:rsidRDefault="000B5C28" w:rsidP="00240868">
            <w:pPr>
              <w:rPr>
                <w:sz w:val="22"/>
                <w:lang w:val="en-US"/>
              </w:rPr>
            </w:pPr>
          </w:p>
        </w:tc>
      </w:tr>
    </w:tbl>
    <w:p w14:paraId="4758174B" w14:textId="77777777" w:rsidR="000B5C28" w:rsidRPr="000B5C28" w:rsidRDefault="000B5C28" w:rsidP="000B5C28">
      <w:pPr>
        <w:rPr>
          <w:b/>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A83B9C8" w:rsidR="00A00F29" w:rsidRDefault="001D78ED"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370AD3">
        <w:rPr>
          <w:rFonts w:ascii="MS Mincho" w:eastAsia="MS Mincho" w:hAnsi="MS Mincho"/>
          <w:sz w:val="32"/>
          <w:szCs w:val="32"/>
          <w:lang w:val="en-US"/>
        </w:rPr>
        <w:t xml:space="preserve"> </w:t>
      </w:r>
      <w:r w:rsidR="00370AD3" w:rsidRPr="00DA383B">
        <w:rPr>
          <w:rFonts w:ascii="Arial" w:eastAsia="Batang" w:hAnsi="Arial"/>
          <w:sz w:val="32"/>
          <w:szCs w:val="32"/>
          <w:lang w:val="en-US" w:eastAsia="ko-KR"/>
        </w:rPr>
        <w:t>that are not dedicated to a specific Rel-16 work item/TEI</w:t>
      </w:r>
    </w:p>
    <w:p w14:paraId="61416C8C" w14:textId="5DFCC68C" w:rsidR="00C643D7" w:rsidRPr="005101A3" w:rsidRDefault="00370AD3" w:rsidP="001A79D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FGs related to </w:t>
      </w:r>
      <w:r w:rsidRPr="00370AD3">
        <w:rPr>
          <w:rFonts w:ascii="Arial" w:eastAsia="MS Mincho" w:hAnsi="Arial"/>
          <w:sz w:val="28"/>
          <w:szCs w:val="32"/>
          <w:lang w:val="en-US"/>
        </w:rPr>
        <w:t>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af9"/>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of NR PUCCH-SCell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PUCCH-SCell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MS Mincho"/>
                <w:sz w:val="22"/>
                <w:lang w:val="en-US"/>
              </w:rPr>
            </w:pPr>
          </w:p>
        </w:tc>
      </w:tr>
    </w:tbl>
    <w:p w14:paraId="488EC86A" w14:textId="120FBF35" w:rsidR="00370AD3" w:rsidRDefault="00370AD3" w:rsidP="0072585D">
      <w:pPr>
        <w:spacing w:afterLines="50" w:after="120"/>
        <w:jc w:val="both"/>
        <w:rPr>
          <w:rFonts w:eastAsia="MS Mincho"/>
          <w:sz w:val="22"/>
          <w:lang w:val="en-US"/>
        </w:rPr>
      </w:pP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7777777" w:rsidR="00EB4F19" w:rsidRPr="00EB4F19" w:rsidRDefault="00EB4F19" w:rsidP="0072585D">
      <w:pPr>
        <w:spacing w:afterLines="50" w:after="120"/>
        <w:jc w:val="both"/>
        <w:rPr>
          <w:rFonts w:eastAsia="MS Mincho"/>
          <w:sz w:val="22"/>
          <w:lang w:val="en-US"/>
        </w:rPr>
      </w:pPr>
    </w:p>
    <w:p w14:paraId="6CB002DC" w14:textId="4118B718" w:rsidR="00370AD3" w:rsidRPr="005101A3" w:rsidRDefault="00370AD3" w:rsidP="00370AD3">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r w:rsidR="00EB4F19">
        <w:rPr>
          <w:rFonts w:ascii="Arial" w:eastAsia="MS Mincho" w:hAnsi="Arial"/>
          <w:sz w:val="28"/>
          <w:szCs w:val="32"/>
          <w:lang w:val="en-US"/>
        </w:rPr>
        <w:t xml:space="preserve"> </w:t>
      </w:r>
      <w:r w:rsidR="00EB4F19" w:rsidRPr="00EB4F19">
        <w:rPr>
          <w:rFonts w:ascii="Arial" w:eastAsia="MS Mincho" w:hAnsi="Arial"/>
          <w:sz w:val="28"/>
          <w:szCs w:val="32"/>
          <w:lang w:val="en-US"/>
        </w:rPr>
        <w:t>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r w:rsidRPr="000E3724">
              <w:rPr>
                <w:i/>
              </w:rPr>
              <w:t>zeroSlotOffsetAperiodicSRS</w:t>
            </w:r>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af9"/>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1D75340A" w:rsidR="00370AD3" w:rsidRDefault="00370AD3" w:rsidP="0072585D">
      <w:pPr>
        <w:spacing w:afterLines="50" w:after="120"/>
        <w:jc w:val="both"/>
        <w:rPr>
          <w:rFonts w:eastAsia="MS Mincho"/>
          <w:sz w:val="22"/>
          <w:lang w:val="en-US"/>
        </w:rPr>
      </w:pP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7A118936" w:rsidR="00EB4F19" w:rsidRPr="007F2522" w:rsidRDefault="00EB4F19" w:rsidP="0072585D">
      <w:pPr>
        <w:spacing w:afterLines="50" w:after="120"/>
        <w:jc w:val="both"/>
        <w:rPr>
          <w:rFonts w:eastAsia="MS Mincho"/>
          <w:sz w:val="22"/>
          <w:lang w:val="en-US"/>
        </w:rPr>
      </w:pPr>
    </w:p>
    <w:p w14:paraId="14D2CE7C" w14:textId="105C17EF" w:rsidR="00EB4F19" w:rsidRPr="005101A3" w:rsidRDefault="00EB4F19" w:rsidP="00EB4F19">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w:t>
      </w:r>
      <w:r w:rsidR="00E03D3C" w:rsidRPr="00E03D3C">
        <w:rPr>
          <w:rFonts w:ascii="Arial" w:eastAsia="MS Mincho" w:hAnsi="Arial"/>
          <w:sz w:val="28"/>
          <w:szCs w:val="32"/>
          <w:lang w:val="en-US"/>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af9"/>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lastRenderedPageBreak/>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zh-CN"/>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zh-CN"/>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zh-CN"/>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behavior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Optional with capability signaling</w:t>
                  </w:r>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zh-CN"/>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zh-CN"/>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zh-CN"/>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6363EA47" w:rsidR="00EB4F19" w:rsidRDefault="00EB4F19" w:rsidP="0072585D">
      <w:pPr>
        <w:spacing w:afterLines="50" w:after="120"/>
        <w:jc w:val="both"/>
        <w:rPr>
          <w:rFonts w:eastAsia="MS Mincho"/>
          <w:sz w:val="22"/>
          <w:lang w:val="en-US"/>
        </w:rPr>
      </w:pP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0B1F9451" w14:textId="77777777" w:rsidR="00E03D3C" w:rsidRPr="00E03D3C" w:rsidRDefault="00E03D3C" w:rsidP="0072585D">
      <w:pPr>
        <w:spacing w:afterLines="50" w:after="120"/>
        <w:jc w:val="both"/>
        <w:rPr>
          <w:rFonts w:eastAsia="MS Mincho"/>
          <w:sz w:val="22"/>
          <w:lang w:val="en-US"/>
        </w:rPr>
      </w:pPr>
    </w:p>
    <w:p w14:paraId="3DE14A2C" w14:textId="77777777" w:rsidR="00370AD3" w:rsidRPr="00A34DC2" w:rsidRDefault="00370AD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2770E29D" w:rsidR="00370AD3" w:rsidRDefault="00370AD3" w:rsidP="0087488B">
      <w:pPr>
        <w:spacing w:afterLines="50" w:after="120"/>
        <w:jc w:val="both"/>
        <w:rPr>
          <w:rFonts w:eastAsia="MS Mincho"/>
          <w:sz w:val="22"/>
        </w:rPr>
      </w:pPr>
      <w:r>
        <w:rPr>
          <w:rFonts w:eastAsia="MS Mincho" w:hint="eastAsia"/>
          <w:sz w:val="22"/>
        </w:rPr>
        <w:lastRenderedPageBreak/>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宋体"/>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宋体"/>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AE5F" w14:textId="77777777" w:rsidR="00794DA8" w:rsidRDefault="00794DA8">
      <w:r>
        <w:separator/>
      </w:r>
    </w:p>
  </w:endnote>
  <w:endnote w:type="continuationSeparator" w:id="0">
    <w:p w14:paraId="2850DBE2" w14:textId="77777777" w:rsidR="00794DA8" w:rsidRDefault="00794DA8">
      <w:r>
        <w:continuationSeparator/>
      </w:r>
    </w:p>
  </w:endnote>
  <w:endnote w:type="continuationNotice" w:id="1">
    <w:p w14:paraId="283F2012" w14:textId="77777777" w:rsidR="00794DA8" w:rsidRDefault="00794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A73BE91" w:rsidR="00CB461D" w:rsidRPr="00000924" w:rsidRDefault="00CB461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C3113">
      <w:rPr>
        <w:rStyle w:val="af1"/>
        <w:rFonts w:eastAsia="MS Gothic"/>
        <w:noProof/>
      </w:rPr>
      <w:t>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C3113">
      <w:rPr>
        <w:rStyle w:val="af1"/>
        <w:rFonts w:eastAsia="MS Gothic"/>
        <w:noProof/>
      </w:rPr>
      <w:t>13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3E33F5A2" w:rsidR="00CB461D" w:rsidRPr="00000924" w:rsidRDefault="00CB461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C3113">
      <w:rPr>
        <w:rStyle w:val="af1"/>
        <w:rFonts w:eastAsia="MS Gothic"/>
        <w:noProof/>
      </w:rPr>
      <w:t>13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C3113">
      <w:rPr>
        <w:rStyle w:val="af1"/>
        <w:rFonts w:eastAsia="MS Gothic"/>
        <w:noProof/>
      </w:rPr>
      <w:t>13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8B38" w14:textId="77777777" w:rsidR="00794DA8" w:rsidRDefault="00794DA8">
      <w:r>
        <w:separator/>
      </w:r>
    </w:p>
  </w:footnote>
  <w:footnote w:type="continuationSeparator" w:id="0">
    <w:p w14:paraId="57712884" w14:textId="77777777" w:rsidR="00794DA8" w:rsidRDefault="00794DA8">
      <w:r>
        <w:continuationSeparator/>
      </w:r>
    </w:p>
  </w:footnote>
  <w:footnote w:type="continuationNotice" w:id="1">
    <w:p w14:paraId="5C627358" w14:textId="77777777" w:rsidR="00794DA8" w:rsidRDefault="00794D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53980"/>
    <w:multiLevelType w:val="multilevel"/>
    <w:tmpl w:val="99F4D080"/>
    <w:numStyleLink w:val="1"/>
  </w:abstractNum>
  <w:abstractNum w:abstractNumId="27"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25"/>
  </w:num>
  <w:num w:numId="4">
    <w:abstractNumId w:val="3"/>
  </w:num>
  <w:num w:numId="5">
    <w:abstractNumId w:val="5"/>
  </w:num>
  <w:num w:numId="6">
    <w:abstractNumId w:val="17"/>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26"/>
  </w:num>
  <w:num w:numId="13">
    <w:abstractNumId w:val="4"/>
  </w:num>
  <w:num w:numId="14">
    <w:abstractNumId w:val="15"/>
  </w:num>
  <w:num w:numId="15">
    <w:abstractNumId w:val="7"/>
  </w:num>
  <w:num w:numId="16">
    <w:abstractNumId w:val="27"/>
  </w:num>
  <w:num w:numId="17">
    <w:abstractNumId w:val="6"/>
  </w:num>
  <w:num w:numId="18">
    <w:abstractNumId w:val="16"/>
  </w:num>
  <w:num w:numId="19">
    <w:abstractNumId w:val="19"/>
  </w:num>
  <w:num w:numId="20">
    <w:abstractNumId w:val="24"/>
  </w:num>
  <w:num w:numId="21">
    <w:abstractNumId w:val="12"/>
  </w:num>
  <w:num w:numId="22">
    <w:abstractNumId w:val="9"/>
  </w:num>
  <w:num w:numId="23">
    <w:abstractNumId w:val="2"/>
  </w:num>
  <w:num w:numId="24">
    <w:abstractNumId w:val="22"/>
  </w:num>
  <w:num w:numId="25">
    <w:abstractNumId w:val="10"/>
  </w:num>
  <w:num w:numId="26">
    <w:abstractNumId w:val="14"/>
  </w:num>
  <w:num w:numId="27">
    <w:abstractNumId w:val="20"/>
  </w:num>
  <w:num w:numId="28">
    <w:abstractNumId w:val="21"/>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5C28"/>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7EBFB7E-150C-4E73-ADEA-01F2D33C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3725</Words>
  <Characters>21234</Characters>
  <Application>Microsoft Office Word</Application>
  <DocSecurity>0</DocSecurity>
  <Lines>176</Lines>
  <Paragraphs>49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2020-08-14T08:31:00Z</dcterms:created>
  <dcterms:modified xsi:type="dcterms:W3CDTF">2020-08-14T08:31:00Z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