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9"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lastRenderedPageBreak/>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 xml:space="preserve">for the CSI-RS but it is also up to </w:t>
            </w:r>
            <w:proofErr w:type="spellStart"/>
            <w:r>
              <w:rPr>
                <w:kern w:val="2"/>
                <w:lang w:val="en-GB" w:eastAsia="zh-CN"/>
              </w:rPr>
              <w:t>gNB’s</w:t>
            </w:r>
            <w:proofErr w:type="spellEnd"/>
            <w:r>
              <w:rPr>
                <w:kern w:val="2"/>
                <w:lang w:val="en-GB" w:eastAsia="zh-CN"/>
              </w:rPr>
              <w:t xml:space="preserve">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w:t>
            </w:r>
            <w:proofErr w:type="spellStart"/>
            <w:r>
              <w:rPr>
                <w:kern w:val="2"/>
                <w:lang w:val="en-GB" w:eastAsia="zh-CN"/>
              </w:rPr>
              <w:t>vivo’s</w:t>
            </w:r>
            <w:proofErr w:type="spellEnd"/>
            <w:r>
              <w:rPr>
                <w:kern w:val="2"/>
                <w:lang w:val="en-GB" w:eastAsia="zh-CN"/>
              </w:rPr>
              <w:t xml:space="preserve"> comments, we think that the CSI-RS can be configured with QCL-</w:t>
            </w:r>
            <w:proofErr w:type="spellStart"/>
            <w:r>
              <w:rPr>
                <w:kern w:val="2"/>
                <w:lang w:val="en-GB" w:eastAsia="zh-CN"/>
              </w:rPr>
              <w:t>TypeA</w:t>
            </w:r>
            <w:proofErr w:type="spellEnd"/>
            <w:r>
              <w:rPr>
                <w:kern w:val="2"/>
                <w:lang w:val="en-GB" w:eastAsia="zh-CN"/>
              </w:rPr>
              <w:t>/B/C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hint="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w:t>
            </w:r>
            <w:bookmarkStart w:id="0" w:name="_GoBack"/>
            <w:bookmarkEnd w:id="0"/>
            <w:r>
              <w:rPr>
                <w:kern w:val="2"/>
                <w:lang w:val="en-GB" w:eastAsia="zh-CN"/>
              </w:rPr>
              <w:t xml:space="preserve">.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0"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 xml:space="preserve">or P1 CSI-RS without QCL indication, and for SSB without QCL indication, UE is expected to try different Rx beams without assuming that gNB is transmitting with the same </w:t>
            </w:r>
            <w:proofErr w:type="spellStart"/>
            <w:r w:rsidRPr="00CE0C34">
              <w:rPr>
                <w:kern w:val="2"/>
                <w:lang w:val="en-GB" w:eastAsia="zh-CN"/>
              </w:rPr>
              <w:t>Tx</w:t>
            </w:r>
            <w:proofErr w:type="spellEnd"/>
            <w:r w:rsidRPr="00CE0C34">
              <w:rPr>
                <w:kern w:val="2"/>
                <w:lang w:val="en-GB" w:eastAsia="zh-CN"/>
              </w:rPr>
              <w:t xml:space="preserve">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lastRenderedPageBreak/>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 xml:space="preserve">RAN1 specified UE behaviour </w:t>
            </w:r>
            <w:proofErr w:type="spellStart"/>
            <w:r w:rsidRPr="00B322FF">
              <w:rPr>
                <w:rFonts w:eastAsia="Malgun Gothic"/>
                <w:kern w:val="2"/>
                <w:lang w:val="en-GB" w:eastAsia="ko-KR"/>
              </w:rPr>
              <w:t>expection</w:t>
            </w:r>
            <w:proofErr w:type="spellEnd"/>
            <w:r w:rsidRPr="00B322FF">
              <w:rPr>
                <w:rFonts w:eastAsia="Malgun Gothic"/>
                <w:kern w:val="2"/>
                <w:lang w:val="en-GB" w:eastAsia="ko-KR"/>
              </w:rPr>
              <w:t xml:space="preserve"> for CORESET0 such that, the QCL-TypeD reference of CORESET0 should be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an SS/PBCH block. For CORESETs other than CORESET0, there is no such restriction so far which implies that UE can expect a CSI-RS </w:t>
            </w:r>
            <w:proofErr w:type="spellStart"/>
            <w:r w:rsidRPr="00B322FF">
              <w:rPr>
                <w:rFonts w:eastAsia="Malgun Gothic"/>
                <w:kern w:val="2"/>
                <w:lang w:val="en-GB" w:eastAsia="ko-KR"/>
              </w:rPr>
              <w:t>QCL’ed</w:t>
            </w:r>
            <w:proofErr w:type="spellEnd"/>
            <w:r w:rsidRPr="00B322FF">
              <w:rPr>
                <w:rFonts w:eastAsia="Malgun Gothic"/>
                <w:kern w:val="2"/>
                <w:lang w:val="en-GB" w:eastAsia="ko-KR"/>
              </w:rPr>
              <w:t xml:space="preserve">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bl>
    <w:p w14:paraId="4D71C02C" w14:textId="77777777" w:rsidR="00CE0C34" w:rsidRPr="00816BF1"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 xml:space="preserve">Huawei, </w:t>
            </w:r>
            <w:proofErr w:type="spellStart"/>
            <w:r>
              <w:rPr>
                <w:kern w:val="2"/>
                <w:lang w:val="en-GB" w:eastAsia="zh-CN"/>
              </w:rPr>
              <w:t>HiSilicon</w:t>
            </w:r>
            <w:proofErr w:type="spellEnd"/>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1"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lastRenderedPageBreak/>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E1F7F" w14:textId="77777777" w:rsidR="004D30F9" w:rsidRDefault="004D30F9">
      <w:r>
        <w:separator/>
      </w:r>
    </w:p>
  </w:endnote>
  <w:endnote w:type="continuationSeparator" w:id="0">
    <w:p w14:paraId="38B7F2BD" w14:textId="77777777" w:rsidR="004D30F9" w:rsidRDefault="004D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9B0C0" w14:textId="77777777" w:rsidR="004D30F9" w:rsidRDefault="004D30F9">
      <w:r>
        <w:separator/>
      </w:r>
    </w:p>
  </w:footnote>
  <w:footnote w:type="continuationSeparator" w:id="0">
    <w:p w14:paraId="25F64BBD" w14:textId="77777777" w:rsidR="004D30F9" w:rsidRDefault="004D3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
    <w:name w:val="Grid Table 4 Accent 5"/>
    <w:basedOn w:val="TableNormal"/>
    <w:uiPriority w:val="49"/>
    <w:rsid w:val="00DE73B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
    <w:name w:val="Grid Table 5 Dark Accent 1"/>
    <w:basedOn w:val="TableNormal"/>
    <w:uiPriority w:val="50"/>
    <w:rsid w:val="00124C6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
    <w:name w:val="Grid Table 1 Light"/>
    <w:basedOn w:val="TableNormal"/>
    <w:uiPriority w:val="46"/>
    <w:rsid w:val="00124C6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
    <w:name w:val="Grid Table 4 Accent 5"/>
    <w:basedOn w:val="TableNormal"/>
    <w:uiPriority w:val="49"/>
    <w:rsid w:val="00DE73B3"/>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
    <w:name w:val="Grid Table 5 Dark Accent 1"/>
    <w:basedOn w:val="TableNormal"/>
    <w:uiPriority w:val="50"/>
    <w:rsid w:val="00124C6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
    <w:name w:val="Grid Table 1 Light"/>
    <w:basedOn w:val="TableNormal"/>
    <w:uiPriority w:val="46"/>
    <w:rsid w:val="00124C67"/>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2-e/Docs/R1-2006939.zip" TargetMode="External"/><Relationship Id="rId5" Type="http://schemas.openxmlformats.org/officeDocument/2006/relationships/settings" Target="settings.xml"/><Relationship Id="rId10" Type="http://schemas.openxmlformats.org/officeDocument/2006/relationships/hyperlink" Target="https://www.3gpp.org/ftp/tsg_ran/WG1_RL1/TSGR1_102-e/Docs/R1-2006939.zip" TargetMode="External"/><Relationship Id="rId4" Type="http://schemas.microsoft.com/office/2007/relationships/stylesWithEffects" Target="stylesWithEffect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1E359-5741-400C-8713-68059ECC1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1334</Words>
  <Characters>7606</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CATT</cp:lastModifiedBy>
  <cp:revision>6</cp:revision>
  <cp:lastPrinted>2007-06-18T22:08:00Z</cp:lastPrinted>
  <dcterms:created xsi:type="dcterms:W3CDTF">2020-08-18T11:15:00Z</dcterms:created>
  <dcterms:modified xsi:type="dcterms:W3CDTF">2020-08-18T11:16:00Z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ies>
</file>