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86AC" w14:textId="77777777" w:rsidR="00725900" w:rsidRDefault="00725900" w:rsidP="00CB4FBC">
      <w:pPr>
        <w:tabs>
          <w:tab w:val="left" w:pos="1985"/>
        </w:tabs>
        <w:spacing w:after="120"/>
        <w:rPr>
          <w:rFonts w:ascii="Arial" w:hAnsi="Arial" w:cs="Arial"/>
          <w:b/>
          <w:bCs/>
          <w:sz w:val="28"/>
        </w:rPr>
      </w:pPr>
    </w:p>
    <w:p w14:paraId="387056A6" w14:textId="0FCDFBB2"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 xml:space="preserve">RAN1 received </w:t>
      </w:r>
      <w:proofErr w:type="gramStart"/>
      <w:r>
        <w:rPr>
          <w:lang w:val="en-US"/>
        </w:rPr>
        <w:t>an</w:t>
      </w:r>
      <w:proofErr w:type="gramEnd"/>
      <w:r>
        <w:rPr>
          <w:lang w:val="en-US"/>
        </w:rPr>
        <w:t xml:space="preserve">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10152"/>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 xml:space="preserve">TCI state codepoints are mapped when the number of codepoints in the TCI field of DCI format 1_2 is less than the maximum number of codepoints in the TCI field of DCI format 1_1 </w:t>
            </w:r>
            <w:proofErr w:type="gramStart"/>
            <w:r w:rsidRPr="00973E43">
              <w:rPr>
                <w:rFonts w:ascii="Arial" w:eastAsia="Batang" w:hAnsi="Arial" w:cs="Arial"/>
                <w:sz w:val="20"/>
                <w:szCs w:val="20"/>
              </w:rPr>
              <w:t>taking into account</w:t>
            </w:r>
            <w:proofErr w:type="gramEnd"/>
            <w:r w:rsidRPr="00973E43">
              <w:rPr>
                <w:rFonts w:ascii="Arial" w:eastAsia="Batang" w:hAnsi="Arial" w:cs="Arial"/>
                <w:sz w:val="20"/>
                <w:szCs w:val="20"/>
              </w:rPr>
              <w:t xml:space="preserve">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0483832"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MediaTek</w:t>
      </w:r>
      <w:r w:rsidR="009A6D04">
        <w:rPr>
          <w:u w:val="single"/>
          <w:lang w:val="en-US" w:eastAsia="ko-KR"/>
        </w:rPr>
        <w:t>, Nokia</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w:t>
            </w:r>
            <w:r>
              <w:rPr>
                <w:lang w:val="en-US" w:eastAsia="ko-KR"/>
              </w:rPr>
              <w:lastRenderedPageBreak/>
              <w:t xml:space="preserve">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lastRenderedPageBreak/>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DengXian" w:hint="eastAsia"/>
                <w:lang w:val="en-US" w:eastAsia="zh-CN"/>
              </w:rPr>
              <w:t>W</w:t>
            </w:r>
            <w:r>
              <w:rPr>
                <w:rFonts w:eastAsia="DengXian"/>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DengXian"/>
                <w:lang w:val="en-US" w:eastAsia="zh-CN"/>
              </w:rPr>
            </w:pPr>
            <w:r>
              <w:rPr>
                <w:rFonts w:eastAsia="DengXian"/>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DengXian"/>
                <w:lang w:val="en-US" w:eastAsia="zh-CN"/>
              </w:rPr>
            </w:pPr>
            <w:r w:rsidRPr="0063419D">
              <w:rPr>
                <w:rFonts w:eastAsia="DengXian" w:hint="eastAsia"/>
                <w:lang w:val="en-US" w:eastAsia="zh-CN"/>
              </w:rPr>
              <w:t>We share similar views as Huawei and ZTE.  Note that in RAN2</w:t>
            </w:r>
            <w:r w:rsidRPr="0063419D">
              <w:rPr>
                <w:rFonts w:eastAsia="DengXian" w:hint="eastAsia"/>
                <w:lang w:val="en-US" w:eastAsia="zh-CN"/>
              </w:rPr>
              <w:t>’</w:t>
            </w:r>
            <w:r w:rsidRPr="0063419D">
              <w:rPr>
                <w:rFonts w:eastAsia="DengXian"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DengXian"/>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DengXian"/>
                <w:lang w:val="en-US" w:eastAsia="zh-CN"/>
              </w:rPr>
            </w:pPr>
            <w:r w:rsidRPr="0063419D">
              <w:rPr>
                <w:rFonts w:eastAsia="DengXian"/>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DengXian"/>
                <w:lang w:val="en-US" w:eastAsia="zh-CN"/>
              </w:rPr>
            </w:pPr>
          </w:p>
          <w:p w14:paraId="56C56B3B" w14:textId="6C27EC15" w:rsidR="0063419D" w:rsidRDefault="0063419D" w:rsidP="003F72E7">
            <w:pPr>
              <w:pStyle w:val="0Maintext"/>
              <w:spacing w:after="60" w:afterAutospacing="0"/>
              <w:ind w:firstLine="0"/>
              <w:rPr>
                <w:rFonts w:eastAsia="DengXian"/>
                <w:lang w:val="en-US" w:eastAsia="zh-CN"/>
              </w:rPr>
            </w:pPr>
            <w:r w:rsidRPr="0063419D">
              <w:rPr>
                <w:rFonts w:eastAsia="DengXian"/>
                <w:lang w:val="en-US" w:eastAsia="zh-CN"/>
              </w:rPr>
              <w:t xml:space="preserve">Note that 38.321 does not say anything about the case when the number of codepoints in the TCI field of DCI format 1_2 is less than the maximum number of codepoints in the TCI field of DCI format 1_1.  </w:t>
            </w:r>
            <w:proofErr w:type="gramStart"/>
            <w:r w:rsidRPr="0063419D">
              <w:rPr>
                <w:rFonts w:eastAsia="DengXian"/>
                <w:lang w:val="en-US" w:eastAsia="zh-CN"/>
              </w:rPr>
              <w:t>So</w:t>
            </w:r>
            <w:proofErr w:type="gramEnd"/>
            <w:r w:rsidRPr="0063419D">
              <w:rPr>
                <w:rFonts w:eastAsia="DengXian"/>
                <w:lang w:val="en-US" w:eastAsia="zh-CN"/>
              </w:rPr>
              <w:t xml:space="preserve">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DengXian"/>
                <w:lang w:val="en-US" w:eastAsia="zh-CN"/>
              </w:rPr>
            </w:pPr>
            <w:r>
              <w:rPr>
                <w:rFonts w:eastAsia="DengXian"/>
                <w:lang w:val="en-US" w:eastAsia="zh-CN"/>
              </w:rPr>
              <w:t xml:space="preserve">We also share the same views as Huawei, ZTE, </w:t>
            </w:r>
            <w:r w:rsidR="00806B69" w:rsidRPr="00806B69">
              <w:rPr>
                <w:rFonts w:eastAsia="DengXian"/>
                <w:lang w:val="en-US" w:eastAsia="zh-CN"/>
              </w:rPr>
              <w:t>FUTUREWEI</w:t>
            </w:r>
            <w:r w:rsidR="00806B69">
              <w:rPr>
                <w:rFonts w:eastAsia="DengXian"/>
                <w:lang w:val="en-US" w:eastAsia="zh-CN"/>
              </w:rPr>
              <w:t>,</w:t>
            </w:r>
            <w:r w:rsidR="00806B69" w:rsidRPr="00806B69">
              <w:rPr>
                <w:rFonts w:eastAsia="DengXian"/>
                <w:lang w:val="en-US" w:eastAsia="zh-CN"/>
              </w:rPr>
              <w:t xml:space="preserve"> </w:t>
            </w:r>
            <w:r>
              <w:rPr>
                <w:rFonts w:eastAsia="DengXian"/>
                <w:lang w:val="en-US" w:eastAsia="zh-CN"/>
              </w:rPr>
              <w:t>and Ericsson. As RAN2 recommended, it is better to specify the clear mapping rule for DCI format 1_2 in RAN1 spec.</w:t>
            </w:r>
          </w:p>
        </w:tc>
      </w:tr>
      <w:tr w:rsidR="005D6A5E" w14:paraId="4C8E00A5" w14:textId="77777777" w:rsidTr="00B97EBB">
        <w:tc>
          <w:tcPr>
            <w:tcW w:w="1696" w:type="dxa"/>
          </w:tcPr>
          <w:p w14:paraId="0B636F7D" w14:textId="70A28210" w:rsidR="005D6A5E" w:rsidRDefault="005D6A5E" w:rsidP="003F72E7">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00B8CC9B" w14:textId="7EBB8577" w:rsidR="005D6A5E" w:rsidRDefault="005D6A5E" w:rsidP="002A5DE8">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0FC3286" w14:textId="77777777" w:rsidTr="00B97EBB">
        <w:tc>
          <w:tcPr>
            <w:tcW w:w="1696" w:type="dxa"/>
          </w:tcPr>
          <w:p w14:paraId="0A32A761" w14:textId="1DBAD47A" w:rsidR="001C1C9C" w:rsidRDefault="001C1C9C" w:rsidP="003F72E7">
            <w:pPr>
              <w:pStyle w:val="0Maintext"/>
              <w:spacing w:after="60" w:afterAutospacing="0"/>
              <w:ind w:firstLine="0"/>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8230" w:type="dxa"/>
          </w:tcPr>
          <w:p w14:paraId="544BF4D3" w14:textId="1858599C" w:rsidR="001C1C9C" w:rsidRDefault="001C1C9C" w:rsidP="002A5DE8">
            <w:pPr>
              <w:pStyle w:val="0Maintext"/>
              <w:spacing w:after="60" w:afterAutospacing="0"/>
              <w:ind w:firstLine="0"/>
              <w:rPr>
                <w:rFonts w:eastAsia="DengXian"/>
                <w:lang w:val="en-US" w:eastAsia="zh-CN"/>
              </w:rPr>
            </w:pPr>
            <w:r>
              <w:rPr>
                <w:rFonts w:eastAsia="DengXian" w:hint="eastAsia"/>
                <w:lang w:val="en-US" w:eastAsia="zh-CN"/>
              </w:rPr>
              <w:t xml:space="preserve">Share the same view with Huawei, ZTE, </w:t>
            </w:r>
            <w:r w:rsidRPr="00806B69">
              <w:rPr>
                <w:rFonts w:eastAsia="DengXian"/>
                <w:lang w:val="en-US" w:eastAsia="zh-CN"/>
              </w:rPr>
              <w:t>FUTUREWEI</w:t>
            </w:r>
            <w:r>
              <w:rPr>
                <w:rFonts w:eastAsia="DengXian"/>
                <w:lang w:val="en-US" w:eastAsia="zh-CN"/>
              </w:rPr>
              <w:t>,</w:t>
            </w:r>
            <w:r w:rsidRPr="00806B69">
              <w:rPr>
                <w:rFonts w:eastAsia="DengXian"/>
                <w:lang w:val="en-US" w:eastAsia="zh-CN"/>
              </w:rPr>
              <w:t xml:space="preserve"> </w:t>
            </w:r>
            <w:r>
              <w:rPr>
                <w:rFonts w:eastAsia="DengXian"/>
                <w:lang w:val="en-US" w:eastAsia="zh-CN"/>
              </w:rPr>
              <w:t>Ericsson, and MTK. We prefer to specify this mapping rule in RAN1 spec.</w:t>
            </w:r>
          </w:p>
        </w:tc>
      </w:tr>
      <w:tr w:rsidR="00876C62" w14:paraId="49C7BD16" w14:textId="77777777" w:rsidTr="00B97EBB">
        <w:tc>
          <w:tcPr>
            <w:tcW w:w="1696" w:type="dxa"/>
          </w:tcPr>
          <w:p w14:paraId="64C2D3B5" w14:textId="2952729C" w:rsidR="00876C62" w:rsidRDefault="00876C62" w:rsidP="003F72E7">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2140B0B4" w14:textId="7B5B74C5" w:rsidR="00876C62" w:rsidRDefault="008C53E8" w:rsidP="002A5DE8">
            <w:pPr>
              <w:pStyle w:val="0Maintext"/>
              <w:spacing w:after="60" w:afterAutospacing="0"/>
              <w:ind w:firstLine="0"/>
              <w:rPr>
                <w:rFonts w:eastAsia="DengXian"/>
                <w:lang w:val="en-US" w:eastAsia="zh-CN"/>
              </w:rPr>
            </w:pPr>
            <w:r>
              <w:rPr>
                <w:rFonts w:eastAsia="DengXian" w:hint="eastAsia"/>
                <w:lang w:val="en-US" w:eastAsia="zh-CN"/>
              </w:rPr>
              <w:t>We prefer to clarify in RAN1 spec.</w:t>
            </w:r>
          </w:p>
        </w:tc>
      </w:tr>
      <w:tr w:rsidR="00725900" w14:paraId="4418B11C" w14:textId="77777777" w:rsidTr="00B97EBB">
        <w:tc>
          <w:tcPr>
            <w:tcW w:w="1696" w:type="dxa"/>
          </w:tcPr>
          <w:p w14:paraId="4134A043" w14:textId="0BD17A9D" w:rsidR="00725900" w:rsidRPr="00725900" w:rsidRDefault="00725900" w:rsidP="003F72E7">
            <w:pPr>
              <w:pStyle w:val="0Maintext"/>
              <w:spacing w:after="60" w:afterAutospacing="0"/>
              <w:ind w:firstLine="0"/>
              <w:rPr>
                <w:rFonts w:eastAsia="Yu Mincho"/>
                <w:lang w:val="en-US" w:eastAsia="ja-JP"/>
              </w:rPr>
            </w:pPr>
            <w:r>
              <w:rPr>
                <w:rFonts w:eastAsia="Yu Mincho" w:hint="eastAsia"/>
                <w:lang w:val="en-US" w:eastAsia="ja-JP"/>
              </w:rPr>
              <w:t>DOCOMO</w:t>
            </w:r>
          </w:p>
        </w:tc>
        <w:tc>
          <w:tcPr>
            <w:tcW w:w="8230" w:type="dxa"/>
          </w:tcPr>
          <w:p w14:paraId="1AF50049" w14:textId="2A35092F" w:rsidR="00725900" w:rsidRPr="00725900" w:rsidRDefault="00725900" w:rsidP="00725900">
            <w:pPr>
              <w:pStyle w:val="0Maintext"/>
              <w:spacing w:after="60"/>
              <w:ind w:firstLine="0"/>
              <w:rPr>
                <w:rFonts w:eastAsia="DengXian"/>
                <w:lang w:val="en-US" w:eastAsia="zh-CN"/>
              </w:rPr>
            </w:pPr>
            <w:r w:rsidRPr="00725900">
              <w:rPr>
                <w:rFonts w:eastAsia="DengXian"/>
                <w:lang w:val="en-US" w:eastAsia="zh-CN"/>
              </w:rPr>
              <w:t xml:space="preserve">We prefer to clarify it in RAN1 spec. </w:t>
            </w:r>
          </w:p>
        </w:tc>
      </w:tr>
      <w:tr w:rsidR="00002417" w14:paraId="1E843F3D" w14:textId="77777777" w:rsidTr="00B97EBB">
        <w:tc>
          <w:tcPr>
            <w:tcW w:w="1696" w:type="dxa"/>
          </w:tcPr>
          <w:p w14:paraId="2DF9EAE3" w14:textId="527AC4D3" w:rsidR="00002417" w:rsidRDefault="00002417" w:rsidP="003F72E7">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67B4CF5E" w14:textId="4ADDBF4C" w:rsidR="00002417" w:rsidRPr="00725900" w:rsidRDefault="00002417" w:rsidP="00725900">
            <w:pPr>
              <w:pStyle w:val="0Maintext"/>
              <w:spacing w:after="60"/>
              <w:ind w:firstLine="0"/>
              <w:rPr>
                <w:rFonts w:eastAsia="DengXian"/>
                <w:lang w:val="en-US" w:eastAsia="zh-CN"/>
              </w:rPr>
            </w:pPr>
            <w:r>
              <w:rPr>
                <w:rFonts w:eastAsia="DengXian"/>
                <w:lang w:val="en-US" w:eastAsia="zh-CN"/>
              </w:rPr>
              <w:t xml:space="preserve">Support the FL proposal. </w:t>
            </w:r>
          </w:p>
        </w:tc>
      </w:tr>
      <w:tr w:rsidR="009A6D04" w14:paraId="11844AAB" w14:textId="77777777" w:rsidTr="00B97EBB">
        <w:tc>
          <w:tcPr>
            <w:tcW w:w="1696" w:type="dxa"/>
          </w:tcPr>
          <w:p w14:paraId="6B437E1D" w14:textId="11775B4E" w:rsidR="009A6D04" w:rsidRDefault="009A6D04" w:rsidP="003F72E7">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174A1E97" w14:textId="181AFF8F" w:rsidR="009A6D04" w:rsidRDefault="009A6D04" w:rsidP="00725900">
            <w:pPr>
              <w:pStyle w:val="0Maintext"/>
              <w:spacing w:after="60"/>
              <w:ind w:firstLine="0"/>
              <w:rPr>
                <w:rFonts w:eastAsia="DengXian"/>
                <w:lang w:val="en-US" w:eastAsia="zh-CN"/>
              </w:rPr>
            </w:pPr>
            <w:r>
              <w:rPr>
                <w:rFonts w:eastAsia="DengXian"/>
                <w:lang w:val="en-US" w:eastAsia="zh-CN"/>
              </w:rPr>
              <w:t xml:space="preserve">RAN1 </w:t>
            </w:r>
            <w:r w:rsidR="003A099E">
              <w:rPr>
                <w:rFonts w:eastAsia="DengXian"/>
                <w:lang w:val="en-US" w:eastAsia="zh-CN"/>
              </w:rPr>
              <w:t>specification would be good.</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10152"/>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lastRenderedPageBreak/>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w:t>
            </w:r>
            <w:proofErr w:type="spellStart"/>
            <w:r>
              <w:t>gNB</w:t>
            </w:r>
            <w:proofErr w:type="spellEnd"/>
            <w:r>
              <w:t xml:space="preserve"> still </w:t>
            </w:r>
            <w:proofErr w:type="gramStart"/>
            <w:r>
              <w:t>has to</w:t>
            </w:r>
            <w:proofErr w:type="gramEnd"/>
            <w:r>
              <w:t xml:space="preserve">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DengXian"/>
                <w:lang w:val="en-US" w:eastAsia="zh-CN"/>
              </w:rPr>
            </w:pPr>
            <w:r>
              <w:rPr>
                <w:rFonts w:eastAsia="DengXian"/>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4A44303E" w14:textId="77777777" w:rsidTr="007E5239">
        <w:tc>
          <w:tcPr>
            <w:tcW w:w="1696" w:type="dxa"/>
          </w:tcPr>
          <w:p w14:paraId="16876D58" w14:textId="62F2A2CE"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647A7E17" w14:textId="115CAACE"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8344159" w14:textId="77777777" w:rsidTr="007E5239">
        <w:tc>
          <w:tcPr>
            <w:tcW w:w="1696" w:type="dxa"/>
          </w:tcPr>
          <w:p w14:paraId="66029701" w14:textId="186FB123" w:rsidR="001C1C9C" w:rsidRDefault="001C1C9C" w:rsidP="005D6A5E">
            <w:pPr>
              <w:pStyle w:val="0Maintext"/>
              <w:spacing w:after="60" w:afterAutospacing="0"/>
              <w:ind w:firstLine="0"/>
              <w:rPr>
                <w:rFonts w:eastAsia="DengXian"/>
                <w:lang w:val="en-US" w:eastAsia="zh-CN"/>
              </w:rPr>
            </w:pPr>
            <w:proofErr w:type="spellStart"/>
            <w:r>
              <w:rPr>
                <w:rFonts w:eastAsia="DengXian" w:hint="eastAsia"/>
                <w:lang w:val="en-US" w:eastAsia="zh-CN"/>
              </w:rPr>
              <w:t>Spreadtrum</w:t>
            </w:r>
            <w:proofErr w:type="spellEnd"/>
          </w:p>
        </w:tc>
        <w:tc>
          <w:tcPr>
            <w:tcW w:w="8230" w:type="dxa"/>
          </w:tcPr>
          <w:p w14:paraId="0C67E120" w14:textId="03098F8F"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3A61E6" w14:paraId="24FC920D" w14:textId="77777777" w:rsidTr="007E5239">
        <w:tc>
          <w:tcPr>
            <w:tcW w:w="1696" w:type="dxa"/>
          </w:tcPr>
          <w:p w14:paraId="307B4E86" w14:textId="3CD0FBBB"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058045A6" w14:textId="5805F929"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725900" w14:paraId="2346D6EC" w14:textId="77777777" w:rsidTr="007E5239">
        <w:tc>
          <w:tcPr>
            <w:tcW w:w="1696" w:type="dxa"/>
          </w:tcPr>
          <w:p w14:paraId="72487070" w14:textId="6EAA43FF" w:rsidR="00725900" w:rsidRPr="00725900" w:rsidRDefault="00725900" w:rsidP="005D6A5E">
            <w:pPr>
              <w:pStyle w:val="0Maintext"/>
              <w:spacing w:after="60" w:afterAutospacing="0"/>
              <w:ind w:firstLine="0"/>
              <w:rPr>
                <w:rFonts w:eastAsia="Yu Mincho"/>
                <w:lang w:val="en-US" w:eastAsia="ja-JP"/>
              </w:rPr>
            </w:pPr>
            <w:r>
              <w:rPr>
                <w:rFonts w:eastAsia="Yu Mincho" w:hint="eastAsia"/>
                <w:lang w:val="en-US" w:eastAsia="ja-JP"/>
              </w:rPr>
              <w:t>DOCOMO</w:t>
            </w:r>
          </w:p>
        </w:tc>
        <w:tc>
          <w:tcPr>
            <w:tcW w:w="8230" w:type="dxa"/>
          </w:tcPr>
          <w:p w14:paraId="600E6508" w14:textId="715B62B3" w:rsidR="00725900" w:rsidRDefault="00725900"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002417" w14:paraId="2F28C72C" w14:textId="77777777" w:rsidTr="007E5239">
        <w:tc>
          <w:tcPr>
            <w:tcW w:w="1696" w:type="dxa"/>
          </w:tcPr>
          <w:p w14:paraId="4AF0ACF5" w14:textId="4A6DA752" w:rsidR="00002417" w:rsidRDefault="00002417" w:rsidP="005D6A5E">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0E27FD30" w14:textId="6BB8C170" w:rsidR="00002417" w:rsidRDefault="00002417" w:rsidP="005D6A5E">
            <w:pPr>
              <w:pStyle w:val="0Maintext"/>
              <w:spacing w:after="60" w:afterAutospacing="0"/>
              <w:ind w:firstLine="0"/>
              <w:rPr>
                <w:rFonts w:eastAsia="DengXian"/>
                <w:lang w:val="en-US" w:eastAsia="zh-CN"/>
              </w:rPr>
            </w:pPr>
            <w:r>
              <w:rPr>
                <w:rFonts w:eastAsia="DengXian"/>
                <w:lang w:val="en-US" w:eastAsia="zh-CN"/>
              </w:rPr>
              <w:t>Support the FL proposal.</w:t>
            </w:r>
          </w:p>
        </w:tc>
      </w:tr>
      <w:tr w:rsidR="003A099E" w14:paraId="50D20E07" w14:textId="77777777" w:rsidTr="007E5239">
        <w:tc>
          <w:tcPr>
            <w:tcW w:w="1696" w:type="dxa"/>
          </w:tcPr>
          <w:p w14:paraId="1FD7C8B0" w14:textId="6E3DB4D1" w:rsidR="003A099E" w:rsidRDefault="003A099E" w:rsidP="005D6A5E">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343ADA36" w14:textId="76B3A179" w:rsidR="003A099E" w:rsidRDefault="003A099E" w:rsidP="005D6A5E">
            <w:pPr>
              <w:pStyle w:val="0Maintext"/>
              <w:spacing w:after="60" w:afterAutospacing="0"/>
              <w:ind w:firstLine="0"/>
              <w:rPr>
                <w:rFonts w:eastAsia="DengXian"/>
                <w:lang w:val="en-US" w:eastAsia="zh-CN"/>
              </w:rPr>
            </w:pPr>
            <w:r>
              <w:rPr>
                <w:rFonts w:eastAsia="DengXian"/>
                <w:lang w:val="en-US" w:eastAsia="zh-CN"/>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10152"/>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w:t>
      </w:r>
      <w:proofErr w:type="spellStart"/>
      <w:r>
        <w:rPr>
          <w:u w:val="single"/>
          <w:lang w:val="en-US" w:eastAsia="ko-KR"/>
        </w:rPr>
        <w:t>MotM</w:t>
      </w:r>
      <w:proofErr w:type="spellEnd"/>
      <w:r>
        <w:rPr>
          <w:u w:val="single"/>
          <w:lang w:val="en-US" w:eastAsia="ko-KR"/>
        </w:rPr>
        <w:t>,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 xml:space="preserve">‘yes’ claim that RAN1 haven’t excluded this MAC-CE for SUL. While the companies saying ‘no’ claim that </w:t>
      </w:r>
      <w:proofErr w:type="spellStart"/>
      <w:r>
        <w:rPr>
          <w:lang w:val="en-US" w:eastAsia="ko-KR"/>
        </w:rPr>
        <w:t>gNB</w:t>
      </w:r>
      <w:proofErr w:type="spellEnd"/>
      <w:r>
        <w:rPr>
          <w:lang w:val="en-US" w:eastAsia="ko-KR"/>
        </w:rPr>
        <w:t xml:space="preserve">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lastRenderedPageBreak/>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 xml:space="preserve">Spatial relation is only applicable for FR2 band. </w:t>
            </w:r>
            <w:proofErr w:type="gramStart"/>
            <w:r>
              <w:rPr>
                <w:lang w:val="en-US" w:eastAsia="ko-KR"/>
              </w:rPr>
              <w:t>So</w:t>
            </w:r>
            <w:proofErr w:type="gramEnd"/>
            <w:r>
              <w:rPr>
                <w:lang w:val="en-US" w:eastAsia="ko-KR"/>
              </w:rPr>
              <w:t xml:space="preserve">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TableGri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DengXian"/>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DengXian"/>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DengXian"/>
                <w:lang w:val="en-US" w:eastAsia="zh-CN"/>
              </w:rPr>
            </w:pPr>
            <w:r>
              <w:rPr>
                <w:rFonts w:eastAsia="DengXian"/>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1AFCF30B" w14:textId="77777777" w:rsidTr="007E5239">
        <w:tc>
          <w:tcPr>
            <w:tcW w:w="1696" w:type="dxa"/>
          </w:tcPr>
          <w:p w14:paraId="26272246" w14:textId="47B0728D"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465A8DC1" w14:textId="572775EB"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3E10F483" w14:textId="77777777" w:rsidTr="007E5239">
        <w:tc>
          <w:tcPr>
            <w:tcW w:w="1696" w:type="dxa"/>
          </w:tcPr>
          <w:p w14:paraId="25B2A1C0" w14:textId="47A29F3B" w:rsidR="001C1C9C" w:rsidRDefault="001C1C9C" w:rsidP="005D6A5E">
            <w:pPr>
              <w:pStyle w:val="0Maintext"/>
              <w:spacing w:after="60" w:afterAutospacing="0"/>
              <w:ind w:firstLine="0"/>
              <w:rPr>
                <w:rFonts w:eastAsia="DengXian"/>
                <w:lang w:val="en-US" w:eastAsia="zh-CN"/>
              </w:rPr>
            </w:pPr>
            <w:proofErr w:type="spellStart"/>
            <w:r>
              <w:rPr>
                <w:rFonts w:eastAsia="DengXian" w:hint="eastAsia"/>
                <w:lang w:val="en-US" w:eastAsia="zh-CN"/>
              </w:rPr>
              <w:t>Spreadtrum</w:t>
            </w:r>
            <w:proofErr w:type="spellEnd"/>
          </w:p>
        </w:tc>
        <w:tc>
          <w:tcPr>
            <w:tcW w:w="8230" w:type="dxa"/>
          </w:tcPr>
          <w:p w14:paraId="50F40FDA" w14:textId="153AEE20" w:rsidR="001C1C9C" w:rsidRDefault="001C1C9C" w:rsidP="005D6A5E">
            <w:pPr>
              <w:pStyle w:val="0Maintext"/>
              <w:spacing w:after="60" w:afterAutospacing="0"/>
              <w:ind w:firstLine="0"/>
              <w:rPr>
                <w:rFonts w:eastAsia="DengXian"/>
                <w:lang w:val="en-US" w:eastAsia="zh-CN"/>
              </w:rPr>
            </w:pPr>
            <w:r>
              <w:rPr>
                <w:rFonts w:eastAsia="DengXian"/>
                <w:lang w:val="en-US" w:eastAsia="zh-CN"/>
              </w:rPr>
              <w:t>Support the FL proposal. At present, RAN1 has not excluded its applicability to SUL.</w:t>
            </w:r>
          </w:p>
        </w:tc>
      </w:tr>
      <w:tr w:rsidR="003A61E6" w14:paraId="4EE37CD4" w14:textId="77777777" w:rsidTr="007E5239">
        <w:tc>
          <w:tcPr>
            <w:tcW w:w="1696" w:type="dxa"/>
          </w:tcPr>
          <w:p w14:paraId="6D43DB8D" w14:textId="5CFA18F0"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5F4AAD34" w14:textId="49ABB072" w:rsidR="003A61E6" w:rsidRDefault="003A61E6" w:rsidP="00A37F99">
            <w:pPr>
              <w:pStyle w:val="0Maintext"/>
              <w:spacing w:after="60" w:afterAutospacing="0"/>
              <w:ind w:firstLine="0"/>
              <w:rPr>
                <w:rFonts w:eastAsia="DengXian"/>
                <w:lang w:val="en-US" w:eastAsia="zh-CN"/>
              </w:rPr>
            </w:pPr>
            <w:r>
              <w:rPr>
                <w:rFonts w:eastAsia="DengXian" w:hint="eastAsia"/>
                <w:lang w:val="en-US" w:eastAsia="zh-CN"/>
              </w:rPr>
              <w:t xml:space="preserve">Share the same view as Apple, Intel, ZTE. </w:t>
            </w:r>
            <w:r>
              <w:rPr>
                <w:rFonts w:eastAsia="DengXian"/>
                <w:lang w:val="en-US" w:eastAsia="zh-CN"/>
              </w:rPr>
              <w:t>All the SUL band</w:t>
            </w:r>
            <w:r w:rsidR="00876C62">
              <w:rPr>
                <w:rFonts w:eastAsia="DengXian"/>
                <w:lang w:val="en-US" w:eastAsia="zh-CN"/>
              </w:rPr>
              <w:t>s</w:t>
            </w:r>
            <w:r>
              <w:rPr>
                <w:rFonts w:eastAsia="DengXian"/>
                <w:lang w:val="en-US" w:eastAsia="zh-CN"/>
              </w:rPr>
              <w:t xml:space="preserve"> in frequency range 1, and spatial relations are not applicable </w:t>
            </w:r>
            <w:r w:rsidR="00A37F99">
              <w:rPr>
                <w:rFonts w:eastAsia="DengXian"/>
                <w:lang w:val="en-US" w:eastAsia="zh-CN"/>
              </w:rPr>
              <w:t>for</w:t>
            </w:r>
            <w:r>
              <w:rPr>
                <w:rFonts w:eastAsia="DengXian"/>
                <w:lang w:val="en-US" w:eastAsia="zh-CN"/>
              </w:rPr>
              <w:t xml:space="preserve"> frequency range 1</w:t>
            </w:r>
          </w:p>
        </w:tc>
      </w:tr>
      <w:tr w:rsidR="00725900" w14:paraId="587D9CE7" w14:textId="77777777" w:rsidTr="007E5239">
        <w:tc>
          <w:tcPr>
            <w:tcW w:w="1696" w:type="dxa"/>
          </w:tcPr>
          <w:p w14:paraId="7401C3CE" w14:textId="32703379" w:rsidR="00725900" w:rsidRPr="00725900" w:rsidRDefault="00725900" w:rsidP="005D6A5E">
            <w:pPr>
              <w:pStyle w:val="0Maintext"/>
              <w:spacing w:after="60" w:afterAutospacing="0"/>
              <w:ind w:firstLine="0"/>
              <w:rPr>
                <w:rFonts w:eastAsia="Yu Mincho"/>
                <w:lang w:val="en-US" w:eastAsia="ja-JP"/>
              </w:rPr>
            </w:pPr>
            <w:r>
              <w:rPr>
                <w:rFonts w:eastAsia="Yu Mincho" w:hint="eastAsia"/>
                <w:lang w:val="en-US" w:eastAsia="ja-JP"/>
              </w:rPr>
              <w:t>DOCOM</w:t>
            </w:r>
            <w:r>
              <w:rPr>
                <w:rFonts w:eastAsia="Yu Mincho"/>
                <w:lang w:val="en-US" w:eastAsia="ja-JP"/>
              </w:rPr>
              <w:t>O</w:t>
            </w:r>
          </w:p>
        </w:tc>
        <w:tc>
          <w:tcPr>
            <w:tcW w:w="8230" w:type="dxa"/>
          </w:tcPr>
          <w:p w14:paraId="02C19BAB" w14:textId="58651748" w:rsidR="00725900" w:rsidRDefault="00725900" w:rsidP="00A51970">
            <w:pPr>
              <w:pStyle w:val="0Maintext"/>
              <w:spacing w:after="60" w:afterAutospacing="0"/>
              <w:ind w:firstLine="0"/>
              <w:rPr>
                <w:rFonts w:eastAsia="DengXian"/>
                <w:lang w:val="en-US" w:eastAsia="zh-CN"/>
              </w:rPr>
            </w:pPr>
            <w:r w:rsidRPr="00725900">
              <w:rPr>
                <w:rFonts w:eastAsia="DengXian"/>
                <w:lang w:val="en-US" w:eastAsia="zh-CN"/>
              </w:rPr>
              <w:t xml:space="preserve">Support the FL proposal. There is no need to </w:t>
            </w:r>
            <w:r w:rsidR="00A51970">
              <w:rPr>
                <w:rFonts w:eastAsia="DengXian"/>
                <w:lang w:val="en-US" w:eastAsia="zh-CN"/>
              </w:rPr>
              <w:t>preclude</w:t>
            </w:r>
            <w:r w:rsidRPr="00725900">
              <w:rPr>
                <w:rFonts w:eastAsia="DengXian"/>
                <w:lang w:val="en-US" w:eastAsia="zh-CN"/>
              </w:rPr>
              <w:t xml:space="preserve"> SUL from RAN1 perspective.</w:t>
            </w:r>
          </w:p>
        </w:tc>
      </w:tr>
      <w:tr w:rsidR="00002417" w14:paraId="5B517C85" w14:textId="77777777" w:rsidTr="007E5239">
        <w:tc>
          <w:tcPr>
            <w:tcW w:w="1696" w:type="dxa"/>
          </w:tcPr>
          <w:p w14:paraId="6872E90E" w14:textId="6022EAC8" w:rsidR="00002417" w:rsidRDefault="00002417" w:rsidP="005D6A5E">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1B63B633" w14:textId="35CBDD6F" w:rsidR="00002417" w:rsidRPr="00725900" w:rsidRDefault="00002417" w:rsidP="00B45F29">
            <w:pPr>
              <w:pStyle w:val="0Maintext"/>
              <w:spacing w:after="60" w:afterAutospacing="0"/>
              <w:ind w:firstLine="0"/>
              <w:rPr>
                <w:rFonts w:eastAsia="DengXian"/>
                <w:lang w:val="en-US" w:eastAsia="zh-CN"/>
              </w:rPr>
            </w:pPr>
            <w:r>
              <w:rPr>
                <w:rFonts w:eastAsia="DengXian"/>
                <w:lang w:val="en-US" w:eastAsia="zh-CN"/>
              </w:rPr>
              <w:t xml:space="preserve">Support the FL proposal. RAN1 agreement doesn’t differentiate the carrier type (NUL vs. SUL). To exclude SUL would need </w:t>
            </w:r>
            <w:r w:rsidR="001101AB">
              <w:rPr>
                <w:rFonts w:eastAsia="DengXian"/>
                <w:lang w:val="en-US" w:eastAsia="zh-CN"/>
              </w:rPr>
              <w:t xml:space="preserve">new </w:t>
            </w:r>
            <w:r>
              <w:rPr>
                <w:rFonts w:eastAsia="DengXian"/>
                <w:lang w:val="en-US" w:eastAsia="zh-CN"/>
              </w:rPr>
              <w:t xml:space="preserve">RAN1 agreement. </w:t>
            </w:r>
          </w:p>
        </w:tc>
      </w:tr>
      <w:tr w:rsidR="006065EE" w14:paraId="5F0337B0" w14:textId="77777777" w:rsidTr="007E5239">
        <w:tc>
          <w:tcPr>
            <w:tcW w:w="1696" w:type="dxa"/>
          </w:tcPr>
          <w:p w14:paraId="427B4B10" w14:textId="1E29F848" w:rsidR="006065EE" w:rsidRDefault="006065EE" w:rsidP="005D6A5E">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0EFB6FF8" w14:textId="2CA7CCDF" w:rsidR="006065EE" w:rsidRDefault="006065EE" w:rsidP="00B45F29">
            <w:pPr>
              <w:pStyle w:val="0Maintext"/>
              <w:spacing w:after="60" w:afterAutospacing="0"/>
              <w:ind w:firstLine="0"/>
              <w:rPr>
                <w:rFonts w:eastAsia="DengXian"/>
                <w:lang w:val="en-US" w:eastAsia="zh-CN"/>
              </w:rPr>
            </w:pPr>
            <w:r>
              <w:rPr>
                <w:rFonts w:eastAsia="DengXian"/>
                <w:lang w:val="en-US" w:eastAsia="zh-CN"/>
              </w:rPr>
              <w:t>We do not see the applicability of spatial relation in FR1, hence even if there is no explicit agreement on SUL, the issue is not applicable!</w:t>
            </w:r>
            <w:bookmarkStart w:id="2" w:name="_GoBack"/>
            <w:bookmarkEnd w:id="2"/>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BFC9F" w14:textId="77777777" w:rsidR="00DA1E2A" w:rsidRDefault="00DA1E2A" w:rsidP="00FE429F">
      <w:r>
        <w:separator/>
      </w:r>
    </w:p>
  </w:endnote>
  <w:endnote w:type="continuationSeparator" w:id="0">
    <w:p w14:paraId="69CFC1EE" w14:textId="77777777" w:rsidR="00DA1E2A" w:rsidRDefault="00DA1E2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6AD7B" w14:textId="77777777" w:rsidR="00DA1E2A" w:rsidRDefault="00DA1E2A" w:rsidP="00FE429F">
      <w:r>
        <w:separator/>
      </w:r>
    </w:p>
  </w:footnote>
  <w:footnote w:type="continuationSeparator" w:id="0">
    <w:p w14:paraId="4A857489" w14:textId="77777777" w:rsidR="00DA1E2A" w:rsidRDefault="00DA1E2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0398"/>
    <w:rsid w:val="000019EC"/>
    <w:rsid w:val="00002417"/>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1AB"/>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1C9C"/>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019"/>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345"/>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18EF"/>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099E"/>
    <w:rsid w:val="003A1078"/>
    <w:rsid w:val="003A34A6"/>
    <w:rsid w:val="003A5744"/>
    <w:rsid w:val="003A61E6"/>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166B"/>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6A5E"/>
    <w:rsid w:val="005D710A"/>
    <w:rsid w:val="005E2000"/>
    <w:rsid w:val="005E48C9"/>
    <w:rsid w:val="005F0150"/>
    <w:rsid w:val="005F0FA6"/>
    <w:rsid w:val="005F7693"/>
    <w:rsid w:val="005F7EA1"/>
    <w:rsid w:val="00602101"/>
    <w:rsid w:val="00604A58"/>
    <w:rsid w:val="006050B4"/>
    <w:rsid w:val="0060641C"/>
    <w:rsid w:val="006065EE"/>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900"/>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76C62"/>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3E8"/>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D04"/>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9"/>
    <w:rsid w:val="00A37F9D"/>
    <w:rsid w:val="00A40E16"/>
    <w:rsid w:val="00A41A7F"/>
    <w:rsid w:val="00A43C67"/>
    <w:rsid w:val="00A46E19"/>
    <w:rsid w:val="00A47CDF"/>
    <w:rsid w:val="00A50EA6"/>
    <w:rsid w:val="00A51756"/>
    <w:rsid w:val="00A51970"/>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45F29"/>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0D9C"/>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1E2A"/>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9BF46B-2788-4761-8D76-264BCDEA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60261825">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C4229-E895-4E79-ACA0-20C9CBE8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1284</Words>
  <Characters>7320</Characters>
  <Application>Microsoft Office Word</Application>
  <DocSecurity>0</DocSecurity>
  <Lines>61</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cp:lastModifiedBy>
  <cp:revision>6</cp:revision>
  <dcterms:created xsi:type="dcterms:W3CDTF">2020-08-18T10:33:00Z</dcterms:created>
  <dcterms:modified xsi:type="dcterms:W3CDTF">2020-08-18T14:46:00Z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