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afb"/>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265FC9E0"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等线" w:hint="eastAsia"/>
                <w:lang w:val="en-US" w:eastAsia="zh-CN"/>
              </w:rPr>
              <w:t>W</w:t>
            </w:r>
            <w:r>
              <w:rPr>
                <w:rFonts w:eastAsia="等线"/>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等线"/>
                <w:lang w:val="en-US" w:eastAsia="zh-CN"/>
              </w:rPr>
            </w:pPr>
            <w:r>
              <w:rPr>
                <w:rFonts w:eastAsia="等线"/>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等线"/>
                <w:lang w:val="en-US" w:eastAsia="zh-CN"/>
              </w:rPr>
            </w:pPr>
            <w:r w:rsidRPr="0063419D">
              <w:rPr>
                <w:rFonts w:eastAsia="等线" w:hint="eastAsia"/>
                <w:lang w:val="en-US" w:eastAsia="zh-CN"/>
              </w:rPr>
              <w:t>We share similar views as Huawei and ZTE.  Note that in RAN2</w:t>
            </w:r>
            <w:r w:rsidRPr="0063419D">
              <w:rPr>
                <w:rFonts w:eastAsia="等线" w:hint="eastAsia"/>
                <w:lang w:val="en-US" w:eastAsia="zh-CN"/>
              </w:rPr>
              <w:t>’</w:t>
            </w:r>
            <w:r w:rsidRPr="0063419D">
              <w:rPr>
                <w:rFonts w:eastAsia="等线"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等线"/>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等线"/>
                <w:lang w:val="en-US" w:eastAsia="zh-CN"/>
              </w:rPr>
            </w:pPr>
            <w:r w:rsidRPr="0063419D">
              <w:rPr>
                <w:rFonts w:eastAsia="等线"/>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等线"/>
                <w:lang w:val="en-US" w:eastAsia="zh-CN"/>
              </w:rPr>
            </w:pPr>
          </w:p>
          <w:p w14:paraId="56C56B3B" w14:textId="6C27EC15" w:rsidR="0063419D" w:rsidRDefault="0063419D" w:rsidP="003F72E7">
            <w:pPr>
              <w:pStyle w:val="0Maintext"/>
              <w:spacing w:after="60" w:afterAutospacing="0"/>
              <w:ind w:firstLine="0"/>
              <w:rPr>
                <w:rFonts w:eastAsia="等线"/>
                <w:lang w:val="en-US" w:eastAsia="zh-CN"/>
              </w:rPr>
            </w:pPr>
            <w:r w:rsidRPr="0063419D">
              <w:rPr>
                <w:rFonts w:eastAsia="等线"/>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等线"/>
                <w:lang w:val="en-US" w:eastAsia="zh-CN"/>
              </w:rPr>
            </w:pPr>
            <w:r>
              <w:rPr>
                <w:rFonts w:eastAsia="等线"/>
                <w:lang w:val="en-US" w:eastAsia="zh-CN"/>
              </w:rPr>
              <w:t xml:space="preserve">We also share the same views as Huawei, ZTE, </w:t>
            </w:r>
            <w:r w:rsidR="00806B69" w:rsidRPr="00806B69">
              <w:rPr>
                <w:rFonts w:eastAsia="等线"/>
                <w:lang w:val="en-US" w:eastAsia="zh-CN"/>
              </w:rPr>
              <w:t>FUTUREWEI</w:t>
            </w:r>
            <w:r w:rsidR="00806B69">
              <w:rPr>
                <w:rFonts w:eastAsia="等线"/>
                <w:lang w:val="en-US" w:eastAsia="zh-CN"/>
              </w:rPr>
              <w:t>,</w:t>
            </w:r>
            <w:r w:rsidR="00806B69" w:rsidRPr="00806B69">
              <w:rPr>
                <w:rFonts w:eastAsia="等线"/>
                <w:lang w:val="en-US" w:eastAsia="zh-CN"/>
              </w:rPr>
              <w:t xml:space="preserve"> </w:t>
            </w:r>
            <w:r>
              <w:rPr>
                <w:rFonts w:eastAsia="等线"/>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preadtrum</w:t>
            </w:r>
          </w:p>
        </w:tc>
        <w:tc>
          <w:tcPr>
            <w:tcW w:w="8230" w:type="dxa"/>
          </w:tcPr>
          <w:p w14:paraId="544BF4D3" w14:textId="1858599C" w:rsidR="001C1C9C" w:rsidRDefault="001C1C9C" w:rsidP="002A5DE8">
            <w:pPr>
              <w:pStyle w:val="0Maintext"/>
              <w:spacing w:after="60" w:afterAutospacing="0"/>
              <w:ind w:firstLine="0"/>
              <w:rPr>
                <w:rFonts w:eastAsia="等线" w:hint="eastAsia"/>
                <w:lang w:val="en-US" w:eastAsia="zh-CN"/>
              </w:rPr>
            </w:pPr>
            <w:r>
              <w:rPr>
                <w:rFonts w:eastAsia="等线" w:hint="eastAsia"/>
                <w:lang w:val="en-US" w:eastAsia="zh-CN"/>
              </w:rPr>
              <w:t xml:space="preserve">Share the same view with Huawei, ZTE, </w:t>
            </w:r>
            <w:r w:rsidRPr="00806B69">
              <w:rPr>
                <w:rFonts w:eastAsia="等线"/>
                <w:lang w:val="en-US" w:eastAsia="zh-CN"/>
              </w:rPr>
              <w:t>FUTUREWEI</w:t>
            </w:r>
            <w:r>
              <w:rPr>
                <w:rFonts w:eastAsia="等线"/>
                <w:lang w:val="en-US" w:eastAsia="zh-CN"/>
              </w:rPr>
              <w:t>,</w:t>
            </w:r>
            <w:r w:rsidRPr="00806B69">
              <w:rPr>
                <w:rFonts w:eastAsia="等线"/>
                <w:lang w:val="en-US" w:eastAsia="zh-CN"/>
              </w:rPr>
              <w:t xml:space="preserve"> </w:t>
            </w:r>
            <w:r>
              <w:rPr>
                <w:rFonts w:eastAsia="等线"/>
                <w:lang w:val="en-US" w:eastAsia="zh-CN"/>
              </w:rPr>
              <w:t>Ericsson</w:t>
            </w:r>
            <w:r>
              <w:rPr>
                <w:rFonts w:eastAsia="等线"/>
                <w:lang w:val="en-US" w:eastAsia="zh-CN"/>
              </w:rPr>
              <w:t>, and MTK. We prefer to specify this mapping rule in RAN1 spec.</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lastRenderedPageBreak/>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等线"/>
                <w:lang w:val="en-US" w:eastAsia="zh-CN"/>
              </w:rPr>
            </w:pPr>
            <w:r>
              <w:rPr>
                <w:rFonts w:eastAsia="等线"/>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等线"/>
                <w:lang w:val="en-US" w:eastAsia="zh-CN"/>
              </w:rPr>
            </w:pPr>
            <w:r>
              <w:rPr>
                <w:rFonts w:eastAsia="等线"/>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等线"/>
                <w:lang w:val="en-US" w:eastAsia="zh-CN"/>
              </w:rPr>
            </w:pPr>
            <w:r>
              <w:rPr>
                <w:rFonts w:eastAsia="等线" w:hint="eastAsia"/>
                <w:lang w:val="en-US" w:eastAsia="zh-CN"/>
              </w:rPr>
              <w:t>Spreadtrum</w:t>
            </w:r>
          </w:p>
        </w:tc>
        <w:tc>
          <w:tcPr>
            <w:tcW w:w="8230" w:type="dxa"/>
          </w:tcPr>
          <w:p w14:paraId="0C67E120" w14:textId="03098F8F" w:rsidR="001C1C9C" w:rsidRDefault="001C1C9C" w:rsidP="005D6A5E">
            <w:pPr>
              <w:pStyle w:val="0Maintext"/>
              <w:spacing w:after="60" w:afterAutospacing="0"/>
              <w:ind w:firstLine="0"/>
              <w:rPr>
                <w:rFonts w:eastAsia="等线" w:hint="eastAsia"/>
                <w:lang w:val="en-US" w:eastAsia="zh-CN"/>
              </w:rPr>
            </w:pPr>
            <w:r>
              <w:rPr>
                <w:rFonts w:eastAsia="等线" w:hint="eastAsia"/>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等线"/>
                <w:lang w:val="en-US" w:eastAsia="zh-CN"/>
              </w:rPr>
            </w:pPr>
            <w:r>
              <w:rPr>
                <w:rFonts w:eastAsia="等线" w:hint="eastAsia"/>
                <w:lang w:val="en-US" w:eastAsia="zh-CN"/>
              </w:rPr>
              <w:t>T</w:t>
            </w:r>
            <w:r>
              <w:rPr>
                <w:rFonts w:eastAsia="等线"/>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lastRenderedPageBreak/>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等线"/>
                <w:lang w:val="en-US" w:eastAsia="zh-CN"/>
              </w:rPr>
            </w:pPr>
            <w:r>
              <w:rPr>
                <w:rFonts w:eastAsia="等线"/>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a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等线"/>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等线"/>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等线"/>
                <w:lang w:val="en-US" w:eastAsia="zh-CN"/>
              </w:rPr>
            </w:pPr>
            <w:r>
              <w:rPr>
                <w:rFonts w:eastAsia="等线"/>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等线"/>
                <w:lang w:val="en-US" w:eastAsia="zh-CN"/>
              </w:rPr>
            </w:pPr>
            <w:r>
              <w:rPr>
                <w:rFonts w:eastAsia="等线"/>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等线"/>
                <w:lang w:val="en-US" w:eastAsia="zh-CN"/>
              </w:rPr>
            </w:pPr>
            <w:r>
              <w:rPr>
                <w:rFonts w:eastAsia="等线" w:hint="eastAsia"/>
                <w:lang w:val="en-US" w:eastAsia="zh-CN"/>
              </w:rPr>
              <w:t>Spreadtrum</w:t>
            </w:r>
          </w:p>
        </w:tc>
        <w:tc>
          <w:tcPr>
            <w:tcW w:w="8230" w:type="dxa"/>
          </w:tcPr>
          <w:p w14:paraId="50F40FDA" w14:textId="153AEE20" w:rsidR="001C1C9C" w:rsidRDefault="001C1C9C" w:rsidP="005D6A5E">
            <w:pPr>
              <w:pStyle w:val="0Maintext"/>
              <w:spacing w:after="60" w:afterAutospacing="0"/>
              <w:ind w:firstLine="0"/>
              <w:rPr>
                <w:rFonts w:eastAsia="等线" w:hint="eastAsia"/>
                <w:lang w:val="en-US" w:eastAsia="zh-CN"/>
              </w:rPr>
            </w:pPr>
            <w:r>
              <w:rPr>
                <w:rFonts w:eastAsia="等线"/>
                <w:lang w:val="en-US" w:eastAsia="zh-CN"/>
              </w:rPr>
              <w:t>Support the FL proposal</w:t>
            </w:r>
            <w:r>
              <w:rPr>
                <w:rFonts w:eastAsia="等线"/>
                <w:lang w:val="en-US" w:eastAsia="zh-CN"/>
              </w:rPr>
              <w:t>. At present, RAN1 has not excluded its applicability to SUL.</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2"/>
        <w:rPr>
          <w:sz w:val="28"/>
        </w:rPr>
      </w:pPr>
      <w:r w:rsidRPr="00824275">
        <w:rPr>
          <w:sz w:val="28"/>
        </w:rPr>
        <w:t>References</w:t>
      </w:r>
      <w:bookmarkStart w:id="2" w:name="_GoBack"/>
      <w:bookmarkEnd w:id="2"/>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004D" w14:textId="77777777" w:rsidR="00216019" w:rsidRDefault="00216019" w:rsidP="00FE429F">
      <w:r>
        <w:separator/>
      </w:r>
    </w:p>
  </w:endnote>
  <w:endnote w:type="continuationSeparator" w:id="0">
    <w:p w14:paraId="0E301653" w14:textId="77777777" w:rsidR="00216019" w:rsidRDefault="0021601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7AE5" w14:textId="77777777" w:rsidR="00216019" w:rsidRDefault="00216019" w:rsidP="00FE429F">
      <w:r>
        <w:separator/>
      </w:r>
    </w:p>
  </w:footnote>
  <w:footnote w:type="continuationSeparator" w:id="0">
    <w:p w14:paraId="722C6129" w14:textId="77777777" w:rsidR="00216019" w:rsidRDefault="0021601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0"/>
    <w:link w:val="a5"/>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批注主题 字符"/>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宋体" w:hAnsi="Segoe UI" w:cs="Segoe UI"/>
      <w:sz w:val="18"/>
      <w:szCs w:val="18"/>
      <w:lang w:eastAsia="en-US"/>
    </w:rPr>
  </w:style>
  <w:style w:type="character" w:customStyle="1" w:styleId="ac">
    <w:name w:val="批注框文本 字符"/>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0"/>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2"/>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rsid w:val="00FE429F"/>
    <w:rPr>
      <w:sz w:val="18"/>
      <w:szCs w:val="18"/>
    </w:rPr>
  </w:style>
  <w:style w:type="paragraph" w:styleId="af3">
    <w:name w:val="footer"/>
    <w:basedOn w:val="a0"/>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1"/>
    <w:link w:val="af3"/>
    <w:uiPriority w:val="99"/>
    <w:rsid w:val="00FE429F"/>
    <w:rPr>
      <w:sz w:val="18"/>
      <w:szCs w:val="18"/>
    </w:rPr>
  </w:style>
  <w:style w:type="character" w:customStyle="1" w:styleId="a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标题 2 字符"/>
    <w:aliases w:val="Head2A 字符,2 字符,H2 字符,UNDERRUBRIK 1-2 字符,DO NOT USE_h2 字符,h2 字符,h21 字符,H2 Char 字符,h2 Char 字符"/>
    <w:basedOn w:val="a1"/>
    <w:link w:val="2"/>
    <w:rsid w:val="004B62FA"/>
    <w:rPr>
      <w:rFonts w:ascii="Times New Roman" w:eastAsia="Malgun Gothic" w:hAnsi="Times New Roman" w:cs="Times New Roman"/>
      <w:sz w:val="32"/>
      <w:szCs w:val="32"/>
      <w:lang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4B62FA"/>
    <w:rPr>
      <w:rFonts w:ascii="Times New Roman" w:eastAsia="Malgun Gothic" w:hAnsi="Times New Roman" w:cs="Times New Roman"/>
      <w:sz w:val="24"/>
      <w:szCs w:val="24"/>
      <w:lang w:eastAsia="zh-CN"/>
    </w:rPr>
  </w:style>
  <w:style w:type="character" w:customStyle="1" w:styleId="60">
    <w:name w:val="标题 6 字符"/>
    <w:basedOn w:val="a1"/>
    <w:link w:val="6"/>
    <w:rsid w:val="004B62FA"/>
    <w:rPr>
      <w:rFonts w:ascii="Times New Roman" w:eastAsia="Times New Roman" w:hAnsi="Times New Roman" w:cs="Arial"/>
      <w:sz w:val="24"/>
      <w:szCs w:val="24"/>
      <w:lang w:eastAsia="zh-CN"/>
    </w:rPr>
  </w:style>
  <w:style w:type="character" w:customStyle="1" w:styleId="70">
    <w:name w:val="标题 7 字符"/>
    <w:basedOn w:val="a1"/>
    <w:link w:val="7"/>
    <w:rsid w:val="004B62FA"/>
    <w:rPr>
      <w:rFonts w:ascii="Times New Roman" w:eastAsia="Times New Roman" w:hAnsi="Times New Roman" w:cs="Arial"/>
      <w:sz w:val="24"/>
      <w:szCs w:val="24"/>
      <w:lang w:eastAsia="zh-CN"/>
    </w:rPr>
  </w:style>
  <w:style w:type="character" w:customStyle="1" w:styleId="80">
    <w:name w:val="标题 8 字符"/>
    <w:basedOn w:val="a1"/>
    <w:link w:val="8"/>
    <w:rsid w:val="004B62FA"/>
    <w:rPr>
      <w:rFonts w:ascii="Times New Roman" w:eastAsia="Times New Roman" w:hAnsi="Times New Roman" w:cs="Arial"/>
      <w:sz w:val="24"/>
      <w:szCs w:val="24"/>
      <w:lang w:eastAsia="zh-CN"/>
    </w:rPr>
  </w:style>
  <w:style w:type="character" w:customStyle="1" w:styleId="90">
    <w:name w:val="标题 9 字符"/>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8">
    <w:name w:val="Body Text"/>
    <w:basedOn w:val="a0"/>
    <w:link w:val="af9"/>
    <w:uiPriority w:val="99"/>
    <w:unhideWhenUsed/>
    <w:rsid w:val="00014BAC"/>
    <w:pPr>
      <w:spacing w:after="120"/>
    </w:pPr>
    <w:rPr>
      <w:rFonts w:eastAsia="Times New Roman"/>
      <w:lang w:eastAsia="zh-CN"/>
    </w:rPr>
  </w:style>
  <w:style w:type="character" w:customStyle="1" w:styleId="af9">
    <w:name w:val="正文文本 字符"/>
    <w:basedOn w:val="a1"/>
    <w:link w:val="af8"/>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宋体"/>
      <w:sz w:val="20"/>
      <w:szCs w:val="16"/>
      <w:lang w:eastAsia="en-US"/>
    </w:rPr>
  </w:style>
  <w:style w:type="character" w:styleId="afb">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1EBCA6-4B4C-47C6-8027-4BB56073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1160</Words>
  <Characters>6614</Characters>
  <Application>Microsoft Office Word</Application>
  <DocSecurity>0</DocSecurity>
  <Lines>55</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Hualei Wang</cp:lastModifiedBy>
  <cp:revision>6</cp:revision>
  <dcterms:created xsi:type="dcterms:W3CDTF">2020-08-17T17:18:00Z</dcterms:created>
  <dcterms:modified xsi:type="dcterms:W3CDTF">2020-08-18T03:18:00Z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