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w:t>
      </w:r>
      <w:r w:rsidR="00464218">
        <w:rPr>
          <w:rFonts w:ascii="Arial" w:eastAsia="Times New Roman" w:hAnsi="Arial" w:cs="Arial"/>
          <w:b/>
          <w:bCs/>
          <w:noProof/>
          <w:szCs w:val="18"/>
          <w:lang w:eastAsia="zh-CN"/>
        </w:rPr>
        <w:t xml:space="preserve">Ad Hoc </w:t>
      </w:r>
      <w:r>
        <w:rPr>
          <w:rFonts w:ascii="Arial" w:eastAsia="Times New Roman" w:hAnsi="Arial" w:cs="Arial"/>
          <w:b/>
          <w:bCs/>
          <w:noProof/>
          <w:szCs w:val="18"/>
          <w:lang w:eastAsia="zh-CN"/>
        </w:rPr>
        <w:t xml:space="preserve">Meeting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195FCE">
        <w:rPr>
          <w:rFonts w:ascii="Arial" w:eastAsia="Times New Roman" w:hAnsi="Arial" w:cs="Arial"/>
          <w:b/>
          <w:bCs/>
          <w:noProof/>
          <w:szCs w:val="18"/>
          <w:lang w:eastAsia="zh-CN"/>
        </w:rPr>
        <w:t>1130</w:t>
      </w:r>
    </w:p>
    <w:p w:rsidR="00B04133" w:rsidRPr="00A81A0C" w:rsidRDefault="00464218"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Pari</w:t>
      </w:r>
      <w:r w:rsidR="000F1467">
        <w:rPr>
          <w:rFonts w:ascii="Arial" w:eastAsia="Times New Roman" w:hAnsi="Arial" w:cs="Arial"/>
          <w:b/>
          <w:bCs/>
          <w:noProof/>
          <w:szCs w:val="18"/>
          <w:lang w:eastAsia="zh-CN"/>
        </w:rPr>
        <w:t>s</w:t>
      </w:r>
      <w:r w:rsidR="00B04133"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Franc</w:t>
      </w:r>
      <w:r w:rsidR="000F1467">
        <w:rPr>
          <w:rFonts w:ascii="Arial" w:eastAsia="Times New Roman" w:hAnsi="Arial" w:cs="Arial"/>
          <w:b/>
          <w:bCs/>
          <w:noProof/>
          <w:szCs w:val="18"/>
          <w:lang w:eastAsia="zh-CN"/>
        </w:rPr>
        <w:t xml:space="preserve">e, </w:t>
      </w:r>
      <w:r>
        <w:rPr>
          <w:rFonts w:ascii="Arial" w:eastAsia="Times New Roman" w:hAnsi="Arial" w:cs="Arial"/>
          <w:b/>
          <w:bCs/>
          <w:noProof/>
          <w:szCs w:val="18"/>
          <w:lang w:eastAsia="zh-CN"/>
        </w:rPr>
        <w:t>24</w:t>
      </w:r>
      <w:r w:rsidR="00B04133" w:rsidRPr="00A81A0C">
        <w:rPr>
          <w:rFonts w:ascii="Arial" w:eastAsia="Times New Roman" w:hAnsi="Arial" w:cs="Arial"/>
          <w:b/>
          <w:bCs/>
          <w:noProof/>
          <w:szCs w:val="18"/>
          <w:vertAlign w:val="superscript"/>
          <w:lang w:eastAsia="zh-CN"/>
        </w:rPr>
        <w:t>th</w:t>
      </w:r>
      <w:r w:rsidR="000F1467">
        <w:rPr>
          <w:rFonts w:ascii="Arial" w:eastAsia="Times New Roman" w:hAnsi="Arial" w:cs="Arial"/>
          <w:b/>
          <w:bCs/>
          <w:noProof/>
          <w:szCs w:val="18"/>
          <w:lang w:eastAsia="zh-CN"/>
        </w:rPr>
        <w:t xml:space="preserve"> – </w:t>
      </w:r>
      <w:r>
        <w:rPr>
          <w:rFonts w:ascii="Arial" w:eastAsia="Times New Roman" w:hAnsi="Arial" w:cs="Arial"/>
          <w:b/>
          <w:bCs/>
          <w:noProof/>
          <w:szCs w:val="18"/>
          <w:lang w:eastAsia="zh-CN"/>
        </w:rPr>
        <w:t>26</w:t>
      </w:r>
      <w:r w:rsidR="00B04133">
        <w:rPr>
          <w:rFonts w:ascii="Arial" w:eastAsia="Times New Roman" w:hAnsi="Arial" w:cs="Arial"/>
          <w:b/>
          <w:bCs/>
          <w:noProof/>
          <w:szCs w:val="18"/>
          <w:vertAlign w:val="superscript"/>
          <w:lang w:eastAsia="zh-CN"/>
        </w:rPr>
        <w:t>t</w:t>
      </w:r>
      <w:r>
        <w:rPr>
          <w:rFonts w:ascii="Arial" w:eastAsia="Times New Roman" w:hAnsi="Arial" w:cs="Arial"/>
          <w:b/>
          <w:bCs/>
          <w:noProof/>
          <w:szCs w:val="18"/>
          <w:vertAlign w:val="superscript"/>
          <w:lang w:eastAsia="zh-CN"/>
        </w:rPr>
        <w:t>h</w:t>
      </w:r>
      <w:r w:rsidR="00B04133"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March</w:t>
      </w:r>
      <w:r w:rsidR="00B04133" w:rsidRPr="004F7D4C">
        <w:rPr>
          <w:rFonts w:ascii="Arial" w:eastAsia="Times New Roman" w:hAnsi="Arial" w:cs="Arial"/>
          <w:b/>
          <w:bCs/>
          <w:noProof/>
          <w:szCs w:val="18"/>
          <w:lang w:eastAsia="zh-CN"/>
        </w:rPr>
        <w:t xml:space="preserve"> 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D81B16">
        <w:rPr>
          <w:sz w:val="20"/>
          <w:lang w:val="en-US"/>
        </w:rPr>
        <w:t>Discussion on LBT Protocols</w:t>
      </w:r>
    </w:p>
    <w:p w:rsidR="00B04133" w:rsidRPr="002D72B0" w:rsidRDefault="00B04133" w:rsidP="00B04133">
      <w:pPr>
        <w:pStyle w:val="TdocHeader2"/>
        <w:rPr>
          <w:sz w:val="20"/>
          <w:lang w:val="en-US"/>
        </w:rPr>
      </w:pPr>
      <w:bookmarkStart w:id="3" w:name="_GoBack"/>
      <w:bookmarkEnd w:id="3"/>
      <w:r w:rsidRPr="002D72B0">
        <w:rPr>
          <w:sz w:val="20"/>
          <w:lang w:val="en-US"/>
        </w:rPr>
        <w:t>Agenda Item:</w:t>
      </w:r>
      <w:r w:rsidRPr="002D72B0">
        <w:rPr>
          <w:sz w:val="20"/>
          <w:lang w:val="en-US"/>
        </w:rPr>
        <w:tab/>
      </w:r>
      <w:r w:rsidR="00464218">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6B3131" w:rsidRPr="00B04133" w:rsidRDefault="006B3131" w:rsidP="006C654F">
      <w:pPr>
        <w:pStyle w:val="BodyText"/>
      </w:pPr>
      <w:r>
        <w:t>In this contribution,</w:t>
      </w:r>
      <w:r w:rsidR="00CE1142">
        <w:t xml:space="preserve"> we </w:t>
      </w:r>
      <w:r w:rsidR="00DA33E6">
        <w:t>present network performance disparity issues</w:t>
      </w:r>
      <w:r w:rsidR="00CE1142">
        <w:t xml:space="preserve"> in the scenarios where </w:t>
      </w:r>
      <w:r w:rsidR="00BE654F">
        <w:t>one network has substantially</w:t>
      </w:r>
      <w:r w:rsidR="00BE654F" w:rsidRPr="00BE654F">
        <w:t xml:space="preserve"> few</w:t>
      </w:r>
      <w:r w:rsidR="00C43477">
        <w:t>er</w:t>
      </w:r>
      <w:r w:rsidR="00BE654F" w:rsidRPr="00BE654F">
        <w:t xml:space="preserve"> nodes contending for channel access </w:t>
      </w:r>
      <w:r w:rsidR="00C43477">
        <w:t>compared to</w:t>
      </w:r>
      <w:r w:rsidR="00C43477" w:rsidRPr="00BE654F">
        <w:t xml:space="preserve"> </w:t>
      </w:r>
      <w:r w:rsidR="00BE654F" w:rsidRPr="00BE654F">
        <w:t>a co-channel Wi-Fi network with more nodes contending for channel access.</w:t>
      </w:r>
      <w:r w:rsidR="00BE654F">
        <w:t xml:space="preserve"> These scenarios are relevant to the designs for DL-only LAA (where only the eNBs contend for the channel) as well as DL+UL LAA (w</w:t>
      </w:r>
      <w:r w:rsidR="00C43477">
        <w:t>ith a</w:t>
      </w:r>
      <w:r w:rsidR="00BE654F">
        <w:t xml:space="preserve"> few scheduled UEs contending for UL transmissions). </w:t>
      </w:r>
      <w:r w:rsidR="00DA33E6">
        <w:t>We further discuss possible LBT algorithm solutions to address the observed issues.</w:t>
      </w:r>
    </w:p>
    <w:p w:rsidR="00EC3378" w:rsidRPr="00355C18" w:rsidRDefault="0009414C" w:rsidP="00355C18">
      <w:pPr>
        <w:pStyle w:val="Heading1"/>
      </w:pPr>
      <w:r>
        <w:t>Effects of number of contending nodes on channel access sharing</w:t>
      </w:r>
    </w:p>
    <w:p w:rsidR="00D2102F" w:rsidRDefault="006C654F" w:rsidP="006C654F">
      <w:pPr>
        <w:pStyle w:val="BodyText"/>
      </w:pPr>
      <w:r>
        <w:t xml:space="preserve">In </w:t>
      </w:r>
      <w:r>
        <w:fldChar w:fldCharType="begin"/>
      </w:r>
      <w:r>
        <w:instrText xml:space="preserve"> REF _Ref414270283 \h </w:instrText>
      </w:r>
      <w:r>
        <w:fldChar w:fldCharType="separate"/>
      </w:r>
      <w:r w:rsidR="001A3332">
        <w:t xml:space="preserve">Figure </w:t>
      </w:r>
      <w:r w:rsidR="001A3332">
        <w:rPr>
          <w:noProof/>
        </w:rPr>
        <w:t>1</w:t>
      </w:r>
      <w:r>
        <w:fldChar w:fldCharType="end"/>
      </w:r>
      <w:r>
        <w:t xml:space="preserve"> and </w:t>
      </w:r>
      <w:r>
        <w:fldChar w:fldCharType="begin"/>
      </w:r>
      <w:r>
        <w:instrText xml:space="preserve"> REF _Ref414362752 \h </w:instrText>
      </w:r>
      <w:r>
        <w:fldChar w:fldCharType="separate"/>
      </w:r>
      <w:r w:rsidR="001A3332">
        <w:t xml:space="preserve">Figure </w:t>
      </w:r>
      <w:r w:rsidR="001A3332">
        <w:rPr>
          <w:noProof/>
        </w:rPr>
        <w:t>2</w:t>
      </w:r>
      <w:r>
        <w:fldChar w:fldCharType="end"/>
      </w:r>
      <w:r>
        <w:t>, we provide the coexistence evaluation results of the indoor scenario with FTP traffic:</w:t>
      </w:r>
    </w:p>
    <w:p w:rsidR="003B03BB" w:rsidRDefault="00195FCE" w:rsidP="003B03BB">
      <w:pPr>
        <w:pStyle w:val="BodyText"/>
        <w:numPr>
          <w:ilvl w:val="0"/>
          <w:numId w:val="17"/>
        </w:numPr>
      </w:pPr>
      <w:r>
        <w:t>Baseline case: Ope</w:t>
      </w:r>
      <w:r w:rsidR="003B03BB">
        <w:t>r</w:t>
      </w:r>
      <w:r>
        <w:t>a</w:t>
      </w:r>
      <w:r w:rsidR="003B03BB">
        <w:t>tor A Wi-Fi network has only DL traffic and Operator B Wi-Fi network has DL and UL traffic.</w:t>
      </w:r>
    </w:p>
    <w:p w:rsidR="003B03BB" w:rsidRDefault="003B03BB" w:rsidP="003B03BB">
      <w:pPr>
        <w:pStyle w:val="BodyText"/>
        <w:numPr>
          <w:ilvl w:val="0"/>
          <w:numId w:val="17"/>
        </w:numPr>
      </w:pPr>
      <w:r>
        <w:t xml:space="preserve">LAA coexistence case: Operator </w:t>
      </w:r>
      <w:proofErr w:type="gramStart"/>
      <w:r>
        <w:t>A</w:t>
      </w:r>
      <w:proofErr w:type="gramEnd"/>
      <w:r>
        <w:t xml:space="preserve"> network is changed to a LAA network.</w:t>
      </w:r>
    </w:p>
    <w:p w:rsidR="00514E39" w:rsidRDefault="00514E39" w:rsidP="00514E39">
      <w:pPr>
        <w:pStyle w:val="BodyText"/>
      </w:pPr>
      <w:r>
        <w:t xml:space="preserve">Considering first the test results for the baseline case with two Wi-Fi networks, we can observe that </w:t>
      </w:r>
    </w:p>
    <w:p w:rsidR="00514E39" w:rsidRDefault="00514E39" w:rsidP="00514E39">
      <w:pPr>
        <w:pStyle w:val="BodyText"/>
        <w:numPr>
          <w:ilvl w:val="0"/>
          <w:numId w:val="18"/>
        </w:numPr>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5F4573" w:rsidRDefault="005F4573" w:rsidP="005F4573">
      <w:pPr>
        <w:pStyle w:val="BodyText"/>
        <w:numPr>
          <w:ilvl w:val="0"/>
          <w:numId w:val="18"/>
        </w:numPr>
      </w:pPr>
      <w:r>
        <w:t xml:space="preserve">It can be further observed that, as one of </w:t>
      </w:r>
      <w:r w:rsidR="005904E1">
        <w:t xml:space="preserve">the </w:t>
      </w:r>
      <w:r>
        <w:t>Wi-Fi network</w:t>
      </w:r>
      <w:r w:rsidR="005904E1">
        <w:t>s</w:t>
      </w:r>
      <w:r>
        <w:t xml:space="preserve"> attempts to serve more and more UL traffic, the </w:t>
      </w:r>
      <w:r w:rsidR="00C43477">
        <w:t xml:space="preserve">performance of the </w:t>
      </w:r>
      <w:r>
        <w:t xml:space="preserve">other Wi-Fi network becomes more and more severely </w:t>
      </w:r>
      <w:r w:rsidR="00C43477">
        <w:t>degraded</w:t>
      </w:r>
      <w:r>
        <w:t>, which can be clearly observed in the “bending back” of the served traffic for Operator A network.</w:t>
      </w:r>
      <w:r w:rsidR="00C43477">
        <w:t xml:space="preserve"> This degradation increases as the traffic</w:t>
      </w:r>
      <w:r w:rsidR="005904E1">
        <w:t xml:space="preserve"> split shifts towards increased UL traffic in the Wi-Fi network with bidirectional traffic.</w:t>
      </w:r>
    </w:p>
    <w:p w:rsidR="005F4573" w:rsidRDefault="005F4573" w:rsidP="005F4573">
      <w:pPr>
        <w:pStyle w:val="BodyText"/>
      </w:pPr>
      <w:r>
        <w:t xml:space="preserve">For the LAA network, we first evaluate the performance of the LBT algorithm with a freeze period of 11 OS as described in </w:t>
      </w:r>
      <w:r>
        <w:fldChar w:fldCharType="begin"/>
      </w:r>
      <w:r>
        <w:instrText xml:space="preserve"> REF _Ref414364316 \r \h </w:instrText>
      </w:r>
      <w:r>
        <w:fldChar w:fldCharType="separate"/>
      </w:r>
      <w:r w:rsidR="001A3332">
        <w:t>[2]</w:t>
      </w:r>
      <w:r>
        <w:fldChar w:fldCharType="end"/>
      </w:r>
      <w:r>
        <w:t>. For these evaluation</w:t>
      </w:r>
      <w:r w:rsidR="00C43477">
        <w:t>s</w:t>
      </w:r>
      <w:r>
        <w:t xml:space="preserve">, licensed band PCell is not used for DL traffic in the LAA network. As in the baseline case, we can observe that </w:t>
      </w:r>
    </w:p>
    <w:p w:rsidR="005F4573" w:rsidRDefault="005F4573" w:rsidP="005F4573">
      <w:pPr>
        <w:pStyle w:val="BodyText"/>
        <w:numPr>
          <w:ilvl w:val="0"/>
          <w:numId w:val="18"/>
        </w:numPr>
      </w:pPr>
      <w:r>
        <w:t xml:space="preserve">The Wi-Fi network with both DL and UL traffic manages to achieve higher served traffic than the LAA network when the offered loads to both networks are identical. </w:t>
      </w:r>
    </w:p>
    <w:p w:rsidR="005F4573" w:rsidRDefault="005F4573" w:rsidP="005F4573">
      <w:pPr>
        <w:pStyle w:val="BodyText"/>
        <w:numPr>
          <w:ilvl w:val="0"/>
          <w:numId w:val="18"/>
        </w:numPr>
      </w:pPr>
      <w:r>
        <w:t>As the Wi-Fi network attempts to serve more and more UL traffic, the LAA network performance becomes more and more severely depressed.</w:t>
      </w:r>
    </w:p>
    <w:p w:rsidR="005F4573" w:rsidRDefault="005F4573" w:rsidP="005F4573">
      <w:pPr>
        <w:pStyle w:val="BodyText"/>
        <w:numPr>
          <w:ilvl w:val="0"/>
          <w:numId w:val="18"/>
        </w:numPr>
      </w:pPr>
      <w:r>
        <w:t>The disparity of served traffic between the two networks is even more prominent in the LAA</w:t>
      </w:r>
      <w:r w:rsidR="00983A32">
        <w:rPr>
          <w:rFonts w:ascii="Cambria Math" w:hAnsi="Cambria Math"/>
        </w:rPr>
        <w:t>−</w:t>
      </w:r>
      <w:r>
        <w:t xml:space="preserve">Wi-Fi coexistence case than in the </w:t>
      </w:r>
      <w:r w:rsidRPr="00AE1A59">
        <w:t>Wi-Fi</w:t>
      </w:r>
      <w:r w:rsidR="00983A32">
        <w:rPr>
          <w:rFonts w:ascii="Cambria Math" w:hAnsi="Cambria Math"/>
        </w:rPr>
        <w:t>−</w:t>
      </w:r>
      <w:r w:rsidRPr="00AE1A59">
        <w:t xml:space="preserve">Wi-Fi </w:t>
      </w:r>
      <w:r>
        <w:t xml:space="preserve">baseline </w:t>
      </w:r>
      <w:r w:rsidRPr="00AE1A59">
        <w:t>case</w:t>
      </w:r>
      <w:r>
        <w:t xml:space="preserve">. This is shown in the much sharper “bending back” of the served traffic for Operator </w:t>
      </w:r>
      <w:proofErr w:type="gramStart"/>
      <w:r>
        <w:t>A</w:t>
      </w:r>
      <w:proofErr w:type="gramEnd"/>
      <w:r>
        <w:t xml:space="preserve"> LAA network.</w:t>
      </w:r>
    </w:p>
    <w:p w:rsidR="005F4573" w:rsidRDefault="005F4573" w:rsidP="005F4573">
      <w:pPr>
        <w:pStyle w:val="BodyText"/>
      </w:pPr>
      <w:r>
        <w:t xml:space="preserve">We </w:t>
      </w:r>
      <w:r w:rsidR="00C77034">
        <w:t>can arrive at</w:t>
      </w:r>
      <w:r>
        <w:t xml:space="preserve"> the following observation from these evaluation results:</w:t>
      </w:r>
    </w:p>
    <w:p w:rsidR="005F4573" w:rsidRPr="006C0719" w:rsidRDefault="005F4573" w:rsidP="005F4573">
      <w:pPr>
        <w:pStyle w:val="BodyText"/>
        <w:rPr>
          <w:b/>
        </w:rPr>
      </w:pPr>
      <w:r w:rsidRPr="006C0719">
        <w:rPr>
          <w:b/>
        </w:rPr>
        <w:t>Observation</w:t>
      </w:r>
      <w:r w:rsidR="00195FCE">
        <w:rPr>
          <w:b/>
        </w:rPr>
        <w:t>:</w:t>
      </w:r>
      <w:r w:rsidRPr="006C0719">
        <w:rPr>
          <w:b/>
        </w:rPr>
        <w:t xml:space="preserve"> A network with few nodes contending for channel access is found to be able to serve much lower traffic than </w:t>
      </w:r>
      <w:r w:rsidR="00665317">
        <w:rPr>
          <w:b/>
        </w:rPr>
        <w:t>a co-channel</w:t>
      </w:r>
      <w:r w:rsidRPr="006C0719">
        <w:rPr>
          <w:b/>
        </w:rPr>
        <w:t xml:space="preserve"> Wi-Fi network with more nodes contending for </w:t>
      </w:r>
      <w:r w:rsidRPr="006C0719">
        <w:rPr>
          <w:b/>
        </w:rPr>
        <w:lastRenderedPageBreak/>
        <w:t>channel access</w:t>
      </w:r>
      <w:r w:rsidR="006D1CA2">
        <w:rPr>
          <w:b/>
        </w:rPr>
        <w:t xml:space="preserve"> even with identical offered loads for both networks</w:t>
      </w:r>
      <w:r w:rsidRPr="006C0719">
        <w:rPr>
          <w:b/>
        </w:rPr>
        <w:t>. The disparity in served traffic increases with the difference between the numbers of nodes contending for channel access in the two networks.</w:t>
      </w:r>
    </w:p>
    <w:p w:rsidR="005304DD" w:rsidRDefault="005304DD" w:rsidP="005304DD">
      <w:pPr>
        <w:keepNext/>
        <w:spacing w:before="240" w:after="0"/>
        <w:jc w:val="center"/>
      </w:pPr>
      <w:r w:rsidRPr="0009414C">
        <w:rPr>
          <w:noProof/>
        </w:rPr>
        <w:drawing>
          <wp:inline distT="0" distB="0" distL="0" distR="0" wp14:anchorId="2A19572B" wp14:editId="2931E826">
            <wp:extent cx="4267200" cy="320040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a:effectLst/>
                    <a:extLst/>
                  </pic:spPr>
                </pic:pic>
              </a:graphicData>
            </a:graphic>
          </wp:inline>
        </w:drawing>
      </w:r>
    </w:p>
    <w:p w:rsidR="005304DD" w:rsidRDefault="005304DD" w:rsidP="005304DD">
      <w:pPr>
        <w:pStyle w:val="Caption"/>
      </w:pPr>
      <w:bookmarkStart w:id="5" w:name="_Ref414270283"/>
      <w:r>
        <w:t xml:space="preserve">Figure </w:t>
      </w:r>
      <w:r>
        <w:fldChar w:fldCharType="begin"/>
      </w:r>
      <w:r>
        <w:instrText xml:space="preserve"> SEQ Figure \* ARABIC </w:instrText>
      </w:r>
      <w:r>
        <w:fldChar w:fldCharType="separate"/>
      </w:r>
      <w:r w:rsidR="001A3332">
        <w:rPr>
          <w:noProof/>
        </w:rPr>
        <w:t>1</w:t>
      </w:r>
      <w:r>
        <w:fldChar w:fldCharType="end"/>
      </w:r>
      <w:bookmarkEnd w:id="5"/>
      <w:r>
        <w:t xml:space="preserve">: DL user throughputs of the indoor test scenario with FTP traffic. Each network has 4 eNBs/APs and 20 UEs. Operator A network has only DL traffic and Operator B network has DL and UL traffic with 80/20 split. For LAA, licensed band PCell is not used for DL traffic in this test and a freeze period of 11 OS is applied in the LAA LBT algorithm </w:t>
      </w:r>
      <w:r>
        <w:fldChar w:fldCharType="begin"/>
      </w:r>
      <w:r>
        <w:instrText xml:space="preserve"> REF _Ref414364316 \r \h </w:instrText>
      </w:r>
      <w:r>
        <w:fldChar w:fldCharType="separate"/>
      </w:r>
      <w:r w:rsidR="001A3332">
        <w:t>[2]</w:t>
      </w:r>
      <w:r>
        <w:fldChar w:fldCharType="end"/>
      </w:r>
      <w:r>
        <w:t>.</w:t>
      </w:r>
    </w:p>
    <w:p w:rsidR="0009414C" w:rsidRDefault="0009414C" w:rsidP="00415650">
      <w:pPr>
        <w:keepNext/>
        <w:spacing w:before="240" w:after="0"/>
        <w:jc w:val="center"/>
      </w:pPr>
      <w:r w:rsidRPr="0009414C">
        <w:rPr>
          <w:noProof/>
        </w:rPr>
        <w:drawing>
          <wp:inline distT="0" distB="0" distL="0" distR="0" wp14:anchorId="7AA3BBA0" wp14:editId="7661EC0F">
            <wp:extent cx="4267200" cy="3200400"/>
            <wp:effectExtent l="0" t="0" r="0" b="0"/>
            <wp:docPr id="15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a:effectLst/>
                    <a:extLst/>
                  </pic:spPr>
                </pic:pic>
              </a:graphicData>
            </a:graphic>
          </wp:inline>
        </w:drawing>
      </w:r>
    </w:p>
    <w:p w:rsidR="0009414C" w:rsidRDefault="0009414C" w:rsidP="0009414C">
      <w:pPr>
        <w:pStyle w:val="Caption"/>
      </w:pPr>
      <w:bookmarkStart w:id="6" w:name="_Ref414362752"/>
      <w:r>
        <w:t xml:space="preserve">Figure </w:t>
      </w:r>
      <w:r>
        <w:fldChar w:fldCharType="begin"/>
      </w:r>
      <w:r>
        <w:instrText xml:space="preserve"> SEQ Figure \* ARABIC </w:instrText>
      </w:r>
      <w:r>
        <w:fldChar w:fldCharType="separate"/>
      </w:r>
      <w:r w:rsidR="001A3332">
        <w:rPr>
          <w:noProof/>
        </w:rPr>
        <w:t>2</w:t>
      </w:r>
      <w:r>
        <w:fldChar w:fldCharType="end"/>
      </w:r>
      <w:bookmarkEnd w:id="6"/>
      <w:r>
        <w:t>: DL user throughputs of the indoor test scenario</w:t>
      </w:r>
      <w:r w:rsidRPr="0009414C">
        <w:t xml:space="preserve"> </w:t>
      </w:r>
      <w:r>
        <w:t>with FTP traffic. Each network has 4 eNBs/APs and 20 UEs. Operator A network has only DL traffic and Operator B network has DL and UL traffic with 50/50 split.</w:t>
      </w:r>
      <w:r w:rsidR="00415650">
        <w:t xml:space="preserve"> For LAA, licensed band PCell is not used for DL traffic in this test</w:t>
      </w:r>
      <w:r w:rsidR="001D1B0A" w:rsidRPr="001D1B0A">
        <w:t xml:space="preserve"> </w:t>
      </w:r>
      <w:r w:rsidR="001D1B0A">
        <w:t xml:space="preserve">and a freeze period of 11 OS is applied in the LAA LBT algorithm </w:t>
      </w:r>
      <w:r w:rsidR="001D1B0A">
        <w:fldChar w:fldCharType="begin"/>
      </w:r>
      <w:r w:rsidR="001D1B0A">
        <w:instrText xml:space="preserve"> REF _Ref414364316 \r \h </w:instrText>
      </w:r>
      <w:r w:rsidR="001D1B0A">
        <w:fldChar w:fldCharType="separate"/>
      </w:r>
      <w:r w:rsidR="001A3332">
        <w:t>[2]</w:t>
      </w:r>
      <w:r w:rsidR="001D1B0A">
        <w:fldChar w:fldCharType="end"/>
      </w:r>
      <w:r w:rsidR="00415650">
        <w:t>.</w:t>
      </w:r>
    </w:p>
    <w:p w:rsidR="00D7735D" w:rsidRPr="00355C18" w:rsidRDefault="00D7735D" w:rsidP="00D7735D">
      <w:pPr>
        <w:pStyle w:val="Heading1"/>
      </w:pPr>
      <w:r>
        <w:lastRenderedPageBreak/>
        <w:t xml:space="preserve">Adaptive LBT algorithm with </w:t>
      </w:r>
      <w:r w:rsidR="00114EAF">
        <w:t>adjustable</w:t>
      </w:r>
      <w:r>
        <w:t xml:space="preserve"> freeze period</w:t>
      </w:r>
      <w:r w:rsidR="00114EAF">
        <w:t>s</w:t>
      </w:r>
      <w:r w:rsidR="00220147">
        <w:t xml:space="preserve"> </w:t>
      </w:r>
    </w:p>
    <w:p w:rsidR="00D23F71" w:rsidRDefault="005F4573" w:rsidP="0076693D">
      <w:pPr>
        <w:pStyle w:val="BodyText"/>
      </w:pPr>
      <w:r>
        <w:t xml:space="preserve">As discussed in </w:t>
      </w:r>
      <w:r>
        <w:fldChar w:fldCharType="begin"/>
      </w:r>
      <w:r>
        <w:instrText xml:space="preserve"> REF _Ref414366748 \r \h </w:instrText>
      </w:r>
      <w:r>
        <w:fldChar w:fldCharType="separate"/>
      </w:r>
      <w:r w:rsidR="001A3332">
        <w:t>[3]</w:t>
      </w:r>
      <w:r>
        <w:fldChar w:fldCharType="end"/>
      </w:r>
      <w:r>
        <w:t xml:space="preserve"> and </w:t>
      </w:r>
      <w:r>
        <w:fldChar w:fldCharType="begin"/>
      </w:r>
      <w:r>
        <w:instrText xml:space="preserve"> REF _Ref414366755 \r \h </w:instrText>
      </w:r>
      <w:r>
        <w:fldChar w:fldCharType="separate"/>
      </w:r>
      <w:r w:rsidR="001A3332">
        <w:t>[4]</w:t>
      </w:r>
      <w:r>
        <w:fldChar w:fldCharType="end"/>
      </w:r>
      <w:r>
        <w:t xml:space="preserve">, UL transmissions in LTE and hence LAA are controlled and scheduled by the eNB. Since cross-carrier scheduling from the PCell is not a scalable solution considering large number of UEs and LAA SCells, viability of self-scheduling solutions is a very important design objective for LAA. </w:t>
      </w:r>
      <w:r w:rsidR="00D17136">
        <w:t xml:space="preserve">Note further that the number of UL transmissions scheduled to occur in the same subframe is not expected to be a large number. Therefore, a reliable LBT algorithm that can address the above identical disparity in traffic serving is needed for both DL and UL. </w:t>
      </w:r>
      <w:r>
        <w:t>In the following, we discuss how the LBT algorithm with freeze period</w:t>
      </w:r>
      <w:r w:rsidR="005904E1">
        <w:t>s</w:t>
      </w:r>
      <w:r>
        <w:t xml:space="preserve"> can address the issues discussed in Section 2.</w:t>
      </w:r>
      <w:r w:rsidR="001E750D">
        <w:t xml:space="preserve"> </w:t>
      </w:r>
    </w:p>
    <w:p w:rsidR="005F4573" w:rsidRDefault="00114EAF" w:rsidP="0076693D">
      <w:pPr>
        <w:pStyle w:val="BodyText"/>
      </w:pPr>
      <w:r>
        <w:t xml:space="preserve">For a quick summary of the algorithm proposed in </w:t>
      </w:r>
      <w:r>
        <w:fldChar w:fldCharType="begin"/>
      </w:r>
      <w:r>
        <w:instrText xml:space="preserve"> REF _Ref414364316 \r \h </w:instrText>
      </w:r>
      <w:r>
        <w:fldChar w:fldCharType="separate"/>
      </w:r>
      <w:r w:rsidR="001A3332">
        <w:t>[2]</w:t>
      </w:r>
      <w:r>
        <w:fldChar w:fldCharType="end"/>
      </w:r>
      <w:r>
        <w:t xml:space="preserve">, the </w:t>
      </w:r>
      <w:r w:rsidR="00D17136">
        <w:t>device</w:t>
      </w:r>
      <w:r>
        <w:t xml:space="preserve"> performs the extended CCA within a window of 3 OS and leaves 11 OS of freeze period for others to access the channel in the default setting</w:t>
      </w:r>
      <w:r w:rsidR="00B02C06">
        <w:t xml:space="preserve"> as shown in </w:t>
      </w:r>
      <w:r w:rsidR="00B02C06">
        <w:fldChar w:fldCharType="begin"/>
      </w:r>
      <w:r w:rsidR="00B02C06">
        <w:instrText xml:space="preserve"> REF _Ref414368889 \h </w:instrText>
      </w:r>
      <w:r w:rsidR="00B02C06">
        <w:fldChar w:fldCharType="separate"/>
      </w:r>
      <w:r w:rsidR="00B02C06">
        <w:t xml:space="preserve">Figure </w:t>
      </w:r>
      <w:r w:rsidR="00B02C06">
        <w:rPr>
          <w:noProof/>
        </w:rPr>
        <w:t>3</w:t>
      </w:r>
      <w:r w:rsidR="00B02C06">
        <w:fldChar w:fldCharType="end"/>
      </w:r>
      <w:r>
        <w:t xml:space="preserve">. </w:t>
      </w:r>
      <w:r w:rsidR="00D437FB">
        <w:t xml:space="preserve">That is, if the random backoff counter does not reach zero within the CCA window, the </w:t>
      </w:r>
      <w:r w:rsidR="00D17136">
        <w:t>device</w:t>
      </w:r>
      <w:r w:rsidR="00D437FB">
        <w:t xml:space="preserve"> </w:t>
      </w:r>
      <w:r w:rsidR="005904E1">
        <w:t xml:space="preserve">voluntarily </w:t>
      </w:r>
      <w:r w:rsidR="00D437FB">
        <w:t xml:space="preserve">performs an additional backoff of 11 OS (786 </w:t>
      </w:r>
      <w:r w:rsidR="00D437FB">
        <w:rPr>
          <w:rFonts w:ascii="Cambria Math" w:hAnsi="Cambria Math"/>
        </w:rPr>
        <w:t>μ</w:t>
      </w:r>
      <w:r w:rsidR="00D437FB">
        <w:t xml:space="preserve">s </w:t>
      </w:r>
      <w:r w:rsidR="00D437FB">
        <w:rPr>
          <w:rFonts w:ascii="Cambria Math" w:hAnsi="Cambria Math"/>
        </w:rPr>
        <w:t>~</w:t>
      </w:r>
      <w:r w:rsidR="00D437FB">
        <w:t xml:space="preserve"> 87 Wi-Fi slots). This is an LBT algorithm that can provide more accommodating coexistence environment than LBT algorithm</w:t>
      </w:r>
      <w:r w:rsidR="002D1146">
        <w:t>s</w:t>
      </w:r>
      <w:r w:rsidR="00D437FB">
        <w:t xml:space="preserve"> with variable </w:t>
      </w:r>
      <w:r w:rsidR="002D1146">
        <w:t xml:space="preserve">size of </w:t>
      </w:r>
      <w:r w:rsidR="00D437FB">
        <w:t xml:space="preserve">random backoff </w:t>
      </w:r>
      <w:r w:rsidR="002D1146">
        <w:t xml:space="preserve">contention </w:t>
      </w:r>
      <w:r w:rsidR="00D437FB">
        <w:t>window.</w:t>
      </w:r>
      <w:r w:rsidR="00B02C06">
        <w:t xml:space="preserve"> However, when </w:t>
      </w:r>
      <w:r w:rsidR="001A3332">
        <w:t xml:space="preserve">the eNB is starved of channel access, the CCA </w:t>
      </w:r>
      <w:r w:rsidR="001E750D">
        <w:t xml:space="preserve">window can be </w:t>
      </w:r>
      <w:r w:rsidR="00B02C06">
        <w:t xml:space="preserve">also </w:t>
      </w:r>
      <w:r w:rsidR="001E750D">
        <w:t>increased to allow the eNB more opportunities to gain channel access.</w:t>
      </w:r>
      <w:r w:rsidR="005904E1">
        <w:t xml:space="preserve"> This can potentially alleviate the channel access starvation previously observed for DL-only LAA in </w:t>
      </w:r>
      <w:r w:rsidR="005904E1">
        <w:fldChar w:fldCharType="begin"/>
      </w:r>
      <w:r w:rsidR="005904E1">
        <w:instrText xml:space="preserve"> REF _Ref414362752 \h </w:instrText>
      </w:r>
      <w:r w:rsidR="005904E1">
        <w:fldChar w:fldCharType="separate"/>
      </w:r>
      <w:r w:rsidR="005904E1">
        <w:t xml:space="preserve">Figure </w:t>
      </w:r>
      <w:r w:rsidR="005904E1">
        <w:rPr>
          <w:noProof/>
        </w:rPr>
        <w:t>2</w:t>
      </w:r>
      <w:r w:rsidR="005904E1">
        <w:fldChar w:fldCharType="end"/>
      </w:r>
      <w:r w:rsidR="005904E1">
        <w:t>.</w:t>
      </w:r>
    </w:p>
    <w:p w:rsidR="002C032F" w:rsidRDefault="001A3332" w:rsidP="00A7147D">
      <w:pPr>
        <w:pStyle w:val="BodyText"/>
        <w:spacing w:before="360"/>
      </w:pPr>
      <w:r w:rsidRPr="001A3332">
        <w:rPr>
          <w:noProof/>
          <w:lang w:val="en-US" w:eastAsia="en-US"/>
        </w:rPr>
        <w:drawing>
          <wp:inline distT="0" distB="0" distL="0" distR="0" wp14:anchorId="5BFE59FE" wp14:editId="47CF4050">
            <wp:extent cx="5715000" cy="2291419"/>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12764" r="17024"/>
                    <a:stretch/>
                  </pic:blipFill>
                  <pic:spPr bwMode="auto">
                    <a:xfrm>
                      <a:off x="0" y="0"/>
                      <a:ext cx="5715000" cy="2291419"/>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114EAF" w:rsidRDefault="00114EAF" w:rsidP="00114EAF">
      <w:pPr>
        <w:pStyle w:val="Caption"/>
      </w:pPr>
      <w:bookmarkStart w:id="7" w:name="_Ref414368889"/>
      <w:r>
        <w:t xml:space="preserve">Figure </w:t>
      </w:r>
      <w:r>
        <w:fldChar w:fldCharType="begin"/>
      </w:r>
      <w:r>
        <w:instrText xml:space="preserve"> SEQ Figure \* ARABIC </w:instrText>
      </w:r>
      <w:r>
        <w:fldChar w:fldCharType="separate"/>
      </w:r>
      <w:r w:rsidR="001A3332">
        <w:rPr>
          <w:noProof/>
        </w:rPr>
        <w:t>3</w:t>
      </w:r>
      <w:r>
        <w:fldChar w:fldCharType="end"/>
      </w:r>
      <w:bookmarkEnd w:id="7"/>
      <w:r>
        <w:t xml:space="preserve">: LBT algorithm with adjustable freeze periods </w:t>
      </w:r>
      <w:r>
        <w:fldChar w:fldCharType="begin"/>
      </w:r>
      <w:r>
        <w:instrText xml:space="preserve"> REF _Ref414364316 \r \h </w:instrText>
      </w:r>
      <w:r>
        <w:fldChar w:fldCharType="separate"/>
      </w:r>
      <w:r w:rsidR="001A3332">
        <w:t>[2]</w:t>
      </w:r>
      <w:r>
        <w:fldChar w:fldCharType="end"/>
      </w:r>
      <w:r>
        <w:t>. In the default setting, the eNB performs the extended CCA within a window of 3 OS and leaves 11 OS of freeze period for others to access the channel. The freeze periods can be adjusted down when the eNB is starved of channel access.</w:t>
      </w:r>
    </w:p>
    <w:p w:rsidR="001D1B0A" w:rsidRDefault="001D1B0A" w:rsidP="0076693D">
      <w:pPr>
        <w:pStyle w:val="BodyText"/>
      </w:pPr>
    </w:p>
    <w:p w:rsidR="001D1B0A" w:rsidRDefault="001D1B0A" w:rsidP="001D1B0A">
      <w:pPr>
        <w:keepNext/>
        <w:spacing w:before="240" w:after="0"/>
        <w:jc w:val="center"/>
      </w:pPr>
    </w:p>
    <w:p w:rsidR="001572E9" w:rsidRPr="001572E9" w:rsidRDefault="001572E9" w:rsidP="001572E9">
      <w:pPr>
        <w:pStyle w:val="Heading1"/>
      </w:pPr>
      <w:r>
        <w:t>Conclusions</w:t>
      </w:r>
    </w:p>
    <w:p w:rsidR="001572E9" w:rsidRDefault="001B746F" w:rsidP="0076693D">
      <w:pPr>
        <w:pStyle w:val="BodyText"/>
      </w:pPr>
      <w:r w:rsidRPr="00B04133">
        <w:rPr>
          <w:noProof/>
        </w:rPr>
        <w:t>In this contribution,</w:t>
      </w:r>
      <w:r w:rsidR="00BE654F">
        <w:t xml:space="preserve"> we presented coexistence evaluation results in scenarios where the numbers of nodes contending for channel access in the co-channel networks are quite different. These scenarios are relevant to the designs for DL-only LAA (where only the eNBs contend for the channel) as well as DL+UL LAA (where few scheduled UEs contend for UL transmissions). From these evaluation results, we observed that </w:t>
      </w:r>
    </w:p>
    <w:p w:rsidR="00BE654F" w:rsidRPr="006C0719" w:rsidRDefault="00BE654F" w:rsidP="00BE654F">
      <w:pPr>
        <w:pStyle w:val="BodyText"/>
        <w:rPr>
          <w:b/>
        </w:rPr>
      </w:pPr>
      <w:r w:rsidRPr="006C0719">
        <w:rPr>
          <w:b/>
        </w:rPr>
        <w:t>Observation</w:t>
      </w:r>
      <w:r w:rsidR="00195FCE">
        <w:rPr>
          <w:b/>
        </w:rPr>
        <w:t>:</w:t>
      </w:r>
      <w:r w:rsidRPr="006C0719">
        <w:rPr>
          <w:b/>
        </w:rPr>
        <w:t xml:space="preserve"> A network with few nodes contending for channel access is found to be able to serve much lower traffic than </w:t>
      </w:r>
      <w:r>
        <w:rPr>
          <w:b/>
        </w:rPr>
        <w:t>a co-channel</w:t>
      </w:r>
      <w:r w:rsidRPr="006C0719">
        <w:rPr>
          <w:b/>
        </w:rPr>
        <w:t xml:space="preserve"> Wi-Fi network with more nodes contending for </w:t>
      </w:r>
      <w:r w:rsidRPr="006C0719">
        <w:rPr>
          <w:b/>
        </w:rPr>
        <w:lastRenderedPageBreak/>
        <w:t>channel access</w:t>
      </w:r>
      <w:r w:rsidR="006D1CA2">
        <w:rPr>
          <w:b/>
        </w:rPr>
        <w:t xml:space="preserve"> even with identical offered loads for both networks</w:t>
      </w:r>
      <w:r w:rsidRPr="006C0719">
        <w:rPr>
          <w:b/>
        </w:rPr>
        <w:t>. The disparity in served traffic increases with the difference between the numbers of nodes contending for channel access in the two networks.</w:t>
      </w:r>
    </w:p>
    <w:p w:rsidR="00736BA4" w:rsidRDefault="005E7E6E" w:rsidP="0076693D">
      <w:pPr>
        <w:pStyle w:val="BodyText"/>
      </w:pPr>
      <w:r>
        <w:t xml:space="preserve">We further provide evaluation results showing the </w:t>
      </w:r>
      <w:r w:rsidRPr="005E7E6E">
        <w:t>LBT with adjustable freeze period algorithm</w:t>
      </w:r>
      <w:r>
        <w:t xml:space="preserve"> described in </w:t>
      </w:r>
      <w:r>
        <w:fldChar w:fldCharType="begin"/>
      </w:r>
      <w:r>
        <w:instrText xml:space="preserve"> REF _Ref414364316 \r \h </w:instrText>
      </w:r>
      <w:r>
        <w:fldChar w:fldCharType="separate"/>
      </w:r>
      <w:r>
        <w:t>[2]</w:t>
      </w:r>
      <w:r>
        <w:fldChar w:fldCharType="end"/>
      </w:r>
      <w:r>
        <w:t xml:space="preserve"> can address such network performance disparity issues.</w:t>
      </w:r>
      <w:r w:rsidR="00886944">
        <w:t xml:space="preserve"> Therefore, we propose</w:t>
      </w:r>
    </w:p>
    <w:p w:rsidR="00736BA4" w:rsidRPr="005E7E6E" w:rsidRDefault="00736BA4" w:rsidP="0076693D">
      <w:pPr>
        <w:pStyle w:val="BodyText"/>
        <w:rPr>
          <w:b/>
        </w:rPr>
      </w:pPr>
      <w:r w:rsidRPr="005E7E6E">
        <w:rPr>
          <w:b/>
        </w:rPr>
        <w:t>Proposal</w:t>
      </w:r>
      <w:r w:rsidR="00195FCE">
        <w:rPr>
          <w:b/>
        </w:rPr>
        <w:t>:</w:t>
      </w:r>
      <w:r w:rsidRPr="005E7E6E">
        <w:rPr>
          <w:b/>
        </w:rPr>
        <w:t xml:space="preserve"> </w:t>
      </w:r>
      <w:r w:rsidR="005E7E6E">
        <w:rPr>
          <w:b/>
        </w:rPr>
        <w:t>Consider</w:t>
      </w:r>
      <w:r w:rsidR="005E7E6E" w:rsidRPr="005E7E6E">
        <w:rPr>
          <w:b/>
        </w:rPr>
        <w:t xml:space="preserve"> </w:t>
      </w:r>
      <w:r w:rsidRPr="005E7E6E">
        <w:rPr>
          <w:b/>
        </w:rPr>
        <w:t xml:space="preserve">the </w:t>
      </w:r>
      <w:r w:rsidR="005E7E6E" w:rsidRPr="005E7E6E">
        <w:rPr>
          <w:b/>
        </w:rPr>
        <w:t>LBT with adjustable freeze period algorithm</w:t>
      </w:r>
      <w:r w:rsidR="00886944">
        <w:rPr>
          <w:b/>
        </w:rPr>
        <w:t xml:space="preserve"> (R1-151131)</w:t>
      </w:r>
      <w:r w:rsidR="005E7E6E" w:rsidRPr="005E7E6E">
        <w:rPr>
          <w:b/>
        </w:rPr>
        <w:t xml:space="preserve"> for LAA SCell channel access.</w:t>
      </w:r>
    </w:p>
    <w:p w:rsidR="002F01B6" w:rsidRPr="00D2102F" w:rsidRDefault="00B04133" w:rsidP="00D2102F">
      <w:pPr>
        <w:pStyle w:val="Heading1"/>
        <w:rPr>
          <w:lang w:val="en-US"/>
        </w:rPr>
      </w:pPr>
      <w:r w:rsidRPr="00A742FA">
        <w:rPr>
          <w:lang w:val="en-US"/>
        </w:rPr>
        <w:t>Reference</w:t>
      </w:r>
      <w:r>
        <w:rPr>
          <w:lang w:val="en-US"/>
        </w:rPr>
        <w:t>s</w:t>
      </w:r>
      <w:bookmarkStart w:id="8" w:name="_Ref363567898"/>
      <w:bookmarkStart w:id="9" w:name="_Ref367350341"/>
      <w:bookmarkStart w:id="10" w:name="_Ref370111837"/>
      <w:bookmarkStart w:id="11" w:name="_Ref370203071"/>
      <w:bookmarkStart w:id="12" w:name="_Ref377571746"/>
      <w:bookmarkStart w:id="13" w:name="_Ref386564944"/>
      <w:bookmarkStart w:id="14" w:name="_Ref386565146"/>
      <w:bookmarkStart w:id="15" w:name="_Ref395083208"/>
    </w:p>
    <w:p w:rsidR="006D11FF" w:rsidRDefault="006D11FF" w:rsidP="00B04133">
      <w:pPr>
        <w:pStyle w:val="Reference"/>
        <w:rPr>
          <w:lang w:val="en-US"/>
        </w:rPr>
      </w:pPr>
      <w:bookmarkStart w:id="16" w:name="_Ref412111327"/>
      <w:bookmarkStart w:id="17" w:name="_Ref409516346"/>
      <w:r>
        <w:rPr>
          <w:lang w:val="en-US"/>
        </w:rPr>
        <w:t>Chairman’s Notes, RAN1#80, Athens.</w:t>
      </w:r>
      <w:bookmarkEnd w:id="16"/>
    </w:p>
    <w:p w:rsidR="00514E39" w:rsidRDefault="00514E39" w:rsidP="00514E39">
      <w:pPr>
        <w:pStyle w:val="Reference"/>
        <w:rPr>
          <w:lang w:val="en-US"/>
        </w:rPr>
      </w:pPr>
      <w:bookmarkStart w:id="18" w:name="_Ref414364316"/>
      <w:bookmarkStart w:id="19" w:name="_Ref412111316"/>
      <w:r w:rsidRPr="00514E39">
        <w:rPr>
          <w:lang w:val="en-US"/>
        </w:rPr>
        <w:t>R1-151131</w:t>
      </w:r>
      <w:r>
        <w:rPr>
          <w:lang w:val="en-US"/>
        </w:rPr>
        <w:t xml:space="preserve"> </w:t>
      </w:r>
      <w:r w:rsidRPr="00514E39">
        <w:rPr>
          <w:lang w:val="en-US"/>
        </w:rPr>
        <w:t>Further details on LBT design in DL for LAA</w:t>
      </w:r>
      <w:r>
        <w:rPr>
          <w:lang w:val="en-US"/>
        </w:rPr>
        <w:t>, Ericsson</w:t>
      </w:r>
      <w:bookmarkEnd w:id="18"/>
    </w:p>
    <w:p w:rsidR="006C0719" w:rsidRDefault="006C0719" w:rsidP="006C0719">
      <w:pPr>
        <w:pStyle w:val="Reference"/>
        <w:rPr>
          <w:lang w:val="en-US"/>
        </w:rPr>
      </w:pPr>
      <w:bookmarkStart w:id="20" w:name="_Ref414366748"/>
      <w:r w:rsidRPr="006C0719">
        <w:rPr>
          <w:lang w:val="en-US"/>
        </w:rPr>
        <w:t>R1-151135</w:t>
      </w:r>
      <w:r>
        <w:rPr>
          <w:lang w:val="en-US"/>
        </w:rPr>
        <w:t xml:space="preserve"> </w:t>
      </w:r>
      <w:r w:rsidRPr="006C0719">
        <w:rPr>
          <w:lang w:val="en-US"/>
        </w:rPr>
        <w:t>On Scheduling in LAA</w:t>
      </w:r>
      <w:r>
        <w:rPr>
          <w:lang w:val="en-US"/>
        </w:rPr>
        <w:t>, Ericsson</w:t>
      </w:r>
      <w:bookmarkEnd w:id="20"/>
    </w:p>
    <w:p w:rsidR="006C0719" w:rsidRDefault="006C0719" w:rsidP="006C0719">
      <w:pPr>
        <w:pStyle w:val="Reference"/>
        <w:rPr>
          <w:lang w:val="en-US"/>
        </w:rPr>
      </w:pPr>
      <w:bookmarkStart w:id="21" w:name="_Ref414366755"/>
      <w:r>
        <w:rPr>
          <w:lang w:val="en-US"/>
        </w:rPr>
        <w:t xml:space="preserve">R1-151132 </w:t>
      </w:r>
      <w:r w:rsidRPr="006C0719">
        <w:rPr>
          <w:lang w:val="en-US"/>
        </w:rPr>
        <w:t>Discussion on LBT for LAA UL Transmissions</w:t>
      </w:r>
      <w:r>
        <w:rPr>
          <w:lang w:val="en-US"/>
        </w:rPr>
        <w:t>, Ericsson</w:t>
      </w:r>
      <w:bookmarkEnd w:id="8"/>
      <w:bookmarkEnd w:id="9"/>
      <w:bookmarkEnd w:id="10"/>
      <w:bookmarkEnd w:id="11"/>
      <w:bookmarkEnd w:id="12"/>
      <w:bookmarkEnd w:id="13"/>
      <w:bookmarkEnd w:id="14"/>
      <w:bookmarkEnd w:id="15"/>
      <w:bookmarkEnd w:id="17"/>
      <w:bookmarkEnd w:id="19"/>
      <w:bookmarkEnd w:id="21"/>
    </w:p>
    <w:sectPr w:rsidR="006C0719"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4">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7">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5"/>
  </w:num>
  <w:num w:numId="5">
    <w:abstractNumId w:val="12"/>
  </w:num>
  <w:num w:numId="6">
    <w:abstractNumId w:val="17"/>
  </w:num>
  <w:num w:numId="7">
    <w:abstractNumId w:val="0"/>
  </w:num>
  <w:num w:numId="8">
    <w:abstractNumId w:val="4"/>
  </w:num>
  <w:num w:numId="9">
    <w:abstractNumId w:val="3"/>
  </w:num>
  <w:num w:numId="10">
    <w:abstractNumId w:val="16"/>
  </w:num>
  <w:num w:numId="11">
    <w:abstractNumId w:val="14"/>
  </w:num>
  <w:num w:numId="12">
    <w:abstractNumId w:val="8"/>
  </w:num>
  <w:num w:numId="13">
    <w:abstractNumId w:val="11"/>
  </w:num>
  <w:num w:numId="14">
    <w:abstractNumId w:val="9"/>
  </w:num>
  <w:num w:numId="15">
    <w:abstractNumId w:val="13"/>
  </w:num>
  <w:num w:numId="16">
    <w:abstractNumId w:val="7"/>
  </w:num>
  <w:num w:numId="17">
    <w:abstractNumId w:val="15"/>
  </w:num>
  <w:num w:numId="18">
    <w:abstractNumId w:val="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7085"/>
    <w:rsid w:val="0004184B"/>
    <w:rsid w:val="00072620"/>
    <w:rsid w:val="00082F3F"/>
    <w:rsid w:val="000856C4"/>
    <w:rsid w:val="00093362"/>
    <w:rsid w:val="0009414C"/>
    <w:rsid w:val="0009453A"/>
    <w:rsid w:val="000C2AD6"/>
    <w:rsid w:val="000D1D59"/>
    <w:rsid w:val="000D495B"/>
    <w:rsid w:val="000D76C9"/>
    <w:rsid w:val="000E31A4"/>
    <w:rsid w:val="000E450A"/>
    <w:rsid w:val="000F1467"/>
    <w:rsid w:val="00105313"/>
    <w:rsid w:val="00114EAF"/>
    <w:rsid w:val="00116CC4"/>
    <w:rsid w:val="001236DF"/>
    <w:rsid w:val="001572E9"/>
    <w:rsid w:val="0016652A"/>
    <w:rsid w:val="001715F3"/>
    <w:rsid w:val="00173267"/>
    <w:rsid w:val="00184BCA"/>
    <w:rsid w:val="00195FCE"/>
    <w:rsid w:val="001A3332"/>
    <w:rsid w:val="001A54F7"/>
    <w:rsid w:val="001A62E9"/>
    <w:rsid w:val="001B746F"/>
    <w:rsid w:val="001C2D30"/>
    <w:rsid w:val="001D1B0A"/>
    <w:rsid w:val="001E750D"/>
    <w:rsid w:val="001F1C68"/>
    <w:rsid w:val="00202012"/>
    <w:rsid w:val="00220147"/>
    <w:rsid w:val="002204F5"/>
    <w:rsid w:val="00221002"/>
    <w:rsid w:val="002940E8"/>
    <w:rsid w:val="002963E3"/>
    <w:rsid w:val="002A46AF"/>
    <w:rsid w:val="002B1C81"/>
    <w:rsid w:val="002C032F"/>
    <w:rsid w:val="002C5D83"/>
    <w:rsid w:val="002D1146"/>
    <w:rsid w:val="002F01B6"/>
    <w:rsid w:val="002F6DD6"/>
    <w:rsid w:val="00300170"/>
    <w:rsid w:val="00306195"/>
    <w:rsid w:val="00344E56"/>
    <w:rsid w:val="00355C18"/>
    <w:rsid w:val="00355F18"/>
    <w:rsid w:val="003603CB"/>
    <w:rsid w:val="00370D25"/>
    <w:rsid w:val="00371FFB"/>
    <w:rsid w:val="00385DED"/>
    <w:rsid w:val="00387607"/>
    <w:rsid w:val="003A0109"/>
    <w:rsid w:val="003A1D02"/>
    <w:rsid w:val="003A4634"/>
    <w:rsid w:val="003B03BB"/>
    <w:rsid w:val="003B2F50"/>
    <w:rsid w:val="003B3878"/>
    <w:rsid w:val="003C4E55"/>
    <w:rsid w:val="003D2411"/>
    <w:rsid w:val="003E5855"/>
    <w:rsid w:val="003F3DC9"/>
    <w:rsid w:val="003F607F"/>
    <w:rsid w:val="004040EB"/>
    <w:rsid w:val="00412317"/>
    <w:rsid w:val="00413AB3"/>
    <w:rsid w:val="00415650"/>
    <w:rsid w:val="0043007F"/>
    <w:rsid w:val="00464218"/>
    <w:rsid w:val="004A1370"/>
    <w:rsid w:val="004A6921"/>
    <w:rsid w:val="004B1839"/>
    <w:rsid w:val="004E0D30"/>
    <w:rsid w:val="004E2868"/>
    <w:rsid w:val="004F7DB6"/>
    <w:rsid w:val="00505DC1"/>
    <w:rsid w:val="00506833"/>
    <w:rsid w:val="00512ED8"/>
    <w:rsid w:val="00514E39"/>
    <w:rsid w:val="005304DD"/>
    <w:rsid w:val="005424C7"/>
    <w:rsid w:val="00547DF7"/>
    <w:rsid w:val="00563393"/>
    <w:rsid w:val="00577E44"/>
    <w:rsid w:val="005904E1"/>
    <w:rsid w:val="0059205B"/>
    <w:rsid w:val="005D1738"/>
    <w:rsid w:val="005E7E6E"/>
    <w:rsid w:val="005F4573"/>
    <w:rsid w:val="005F6882"/>
    <w:rsid w:val="00603796"/>
    <w:rsid w:val="006134BD"/>
    <w:rsid w:val="0062163A"/>
    <w:rsid w:val="00644C49"/>
    <w:rsid w:val="00665317"/>
    <w:rsid w:val="00673E11"/>
    <w:rsid w:val="00676F4E"/>
    <w:rsid w:val="00680856"/>
    <w:rsid w:val="006B3131"/>
    <w:rsid w:val="006B3288"/>
    <w:rsid w:val="006C0719"/>
    <w:rsid w:val="006C5281"/>
    <w:rsid w:val="006C654F"/>
    <w:rsid w:val="006D11FF"/>
    <w:rsid w:val="006D1CA2"/>
    <w:rsid w:val="006D485B"/>
    <w:rsid w:val="006E18C3"/>
    <w:rsid w:val="00715C06"/>
    <w:rsid w:val="007356C1"/>
    <w:rsid w:val="00736BA4"/>
    <w:rsid w:val="00750FA6"/>
    <w:rsid w:val="0076693D"/>
    <w:rsid w:val="00772057"/>
    <w:rsid w:val="007728E2"/>
    <w:rsid w:val="007815FB"/>
    <w:rsid w:val="007A414C"/>
    <w:rsid w:val="007B47C1"/>
    <w:rsid w:val="007D5AE9"/>
    <w:rsid w:val="007E5CBE"/>
    <w:rsid w:val="007F6E43"/>
    <w:rsid w:val="008118F1"/>
    <w:rsid w:val="00814796"/>
    <w:rsid w:val="008323AC"/>
    <w:rsid w:val="008432EC"/>
    <w:rsid w:val="00852F62"/>
    <w:rsid w:val="00867C2B"/>
    <w:rsid w:val="00872340"/>
    <w:rsid w:val="00886944"/>
    <w:rsid w:val="00887A31"/>
    <w:rsid w:val="008908E0"/>
    <w:rsid w:val="008924E1"/>
    <w:rsid w:val="008B4FC2"/>
    <w:rsid w:val="008D48DE"/>
    <w:rsid w:val="008F2800"/>
    <w:rsid w:val="009013CB"/>
    <w:rsid w:val="00907A6B"/>
    <w:rsid w:val="009165ED"/>
    <w:rsid w:val="0093259E"/>
    <w:rsid w:val="0094083D"/>
    <w:rsid w:val="00943557"/>
    <w:rsid w:val="00946EA2"/>
    <w:rsid w:val="009536D6"/>
    <w:rsid w:val="0096116B"/>
    <w:rsid w:val="009632F8"/>
    <w:rsid w:val="00983A32"/>
    <w:rsid w:val="00985921"/>
    <w:rsid w:val="00985BF0"/>
    <w:rsid w:val="009A7B82"/>
    <w:rsid w:val="009B1A73"/>
    <w:rsid w:val="009B29AE"/>
    <w:rsid w:val="009B2EA8"/>
    <w:rsid w:val="009C1315"/>
    <w:rsid w:val="009F4B23"/>
    <w:rsid w:val="00A20331"/>
    <w:rsid w:val="00A211D5"/>
    <w:rsid w:val="00A32D8B"/>
    <w:rsid w:val="00A40B54"/>
    <w:rsid w:val="00A451C9"/>
    <w:rsid w:val="00A7147D"/>
    <w:rsid w:val="00AA3338"/>
    <w:rsid w:val="00AB2A33"/>
    <w:rsid w:val="00AC2DB6"/>
    <w:rsid w:val="00AE1A59"/>
    <w:rsid w:val="00AE7B4D"/>
    <w:rsid w:val="00B02C06"/>
    <w:rsid w:val="00B04133"/>
    <w:rsid w:val="00B41F1D"/>
    <w:rsid w:val="00B438BD"/>
    <w:rsid w:val="00B50189"/>
    <w:rsid w:val="00B51417"/>
    <w:rsid w:val="00B63DE6"/>
    <w:rsid w:val="00B67B7B"/>
    <w:rsid w:val="00B74C21"/>
    <w:rsid w:val="00B90101"/>
    <w:rsid w:val="00B9047A"/>
    <w:rsid w:val="00BE654F"/>
    <w:rsid w:val="00C114CD"/>
    <w:rsid w:val="00C43477"/>
    <w:rsid w:val="00C7125D"/>
    <w:rsid w:val="00C732DA"/>
    <w:rsid w:val="00C77034"/>
    <w:rsid w:val="00C7707B"/>
    <w:rsid w:val="00C85340"/>
    <w:rsid w:val="00CA647D"/>
    <w:rsid w:val="00CB7126"/>
    <w:rsid w:val="00CE1142"/>
    <w:rsid w:val="00CF2A3D"/>
    <w:rsid w:val="00D05639"/>
    <w:rsid w:val="00D06F20"/>
    <w:rsid w:val="00D11FD8"/>
    <w:rsid w:val="00D157EA"/>
    <w:rsid w:val="00D17136"/>
    <w:rsid w:val="00D2102F"/>
    <w:rsid w:val="00D23F71"/>
    <w:rsid w:val="00D437FB"/>
    <w:rsid w:val="00D526CD"/>
    <w:rsid w:val="00D64190"/>
    <w:rsid w:val="00D7735D"/>
    <w:rsid w:val="00D81B16"/>
    <w:rsid w:val="00D825E9"/>
    <w:rsid w:val="00D84A9C"/>
    <w:rsid w:val="00D922C2"/>
    <w:rsid w:val="00DA33E6"/>
    <w:rsid w:val="00DA3E0C"/>
    <w:rsid w:val="00DD2C4D"/>
    <w:rsid w:val="00DD7FC0"/>
    <w:rsid w:val="00E00E95"/>
    <w:rsid w:val="00E045E1"/>
    <w:rsid w:val="00E25CCE"/>
    <w:rsid w:val="00E27FCD"/>
    <w:rsid w:val="00E30F34"/>
    <w:rsid w:val="00E7284C"/>
    <w:rsid w:val="00E76C86"/>
    <w:rsid w:val="00E936CF"/>
    <w:rsid w:val="00EC3378"/>
    <w:rsid w:val="00EC75B5"/>
    <w:rsid w:val="00ED506D"/>
    <w:rsid w:val="00ED5D80"/>
    <w:rsid w:val="00F04084"/>
    <w:rsid w:val="00F102E3"/>
    <w:rsid w:val="00F20C2C"/>
    <w:rsid w:val="00F37389"/>
    <w:rsid w:val="00F50161"/>
    <w:rsid w:val="00F72B46"/>
    <w:rsid w:val="00F90AC0"/>
    <w:rsid w:val="00F94C81"/>
    <w:rsid w:val="00FB7AAA"/>
    <w:rsid w:val="00FD60CC"/>
    <w:rsid w:val="00FE6862"/>
    <w:rsid w:val="00FF0537"/>
    <w:rsid w:val="00FF0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72C0-9CA8-4260-93DF-5374A931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2015-03-18T03:46:00Z</dcterms:created>
  <dcterms:modified xsi:type="dcterms:W3CDTF">2015-03-18T03:46:00Z</dcterms:modified>
</cp:coreProperties>
</file>