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01E99" w14:textId="2F88A3E9" w:rsidR="00C44641" w:rsidRPr="00A2299C" w:rsidRDefault="00C44641" w:rsidP="00C44641">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TSG-RAN WG1 Meeting #</w:t>
      </w:r>
      <w:r>
        <w:rPr>
          <w:rFonts w:ascii="Arial" w:hAnsi="Arial" w:cs="Arial"/>
          <w:b/>
          <w:bCs/>
          <w:sz w:val="24"/>
        </w:rPr>
        <w:t>98</w:t>
      </w:r>
      <w:r w:rsidRPr="00A2299C">
        <w:rPr>
          <w:rFonts w:ascii="Arial" w:hAnsi="Arial" w:cs="Arial"/>
          <w:b/>
          <w:bCs/>
          <w:sz w:val="24"/>
        </w:rPr>
        <w:tab/>
      </w:r>
      <w:r>
        <w:rPr>
          <w:rFonts w:ascii="Arial" w:hAnsi="Arial" w:cs="Arial"/>
          <w:b/>
          <w:bCs/>
          <w:sz w:val="24"/>
        </w:rPr>
        <w:tab/>
      </w:r>
      <w:r>
        <w:rPr>
          <w:rFonts w:ascii="Arial" w:hAnsi="Arial" w:cs="Arial"/>
          <w:b/>
          <w:bCs/>
          <w:sz w:val="24"/>
        </w:rPr>
        <w:tab/>
      </w:r>
      <w:r w:rsidRPr="004D6A99">
        <w:rPr>
          <w:rFonts w:ascii="Arial" w:hAnsi="Arial" w:cs="Arial"/>
          <w:b/>
          <w:bCs/>
          <w:sz w:val="24"/>
        </w:rPr>
        <w:t>R1-</w:t>
      </w:r>
      <w:r w:rsidR="00AD74F5" w:rsidRPr="004D6A99">
        <w:rPr>
          <w:rFonts w:ascii="Arial" w:hAnsi="Arial" w:cs="Arial"/>
          <w:b/>
          <w:bCs/>
          <w:sz w:val="24"/>
        </w:rPr>
        <w:t>19</w:t>
      </w:r>
      <w:r w:rsidR="00AD74F5">
        <w:rPr>
          <w:rFonts w:ascii="Arial" w:hAnsi="Arial" w:cs="Arial"/>
          <w:b/>
          <w:bCs/>
          <w:sz w:val="24"/>
        </w:rPr>
        <w:t>09421</w:t>
      </w:r>
      <w:r w:rsidR="00AD74F5" w:rsidRPr="00A2299C">
        <w:rPr>
          <w:b/>
          <w:bCs/>
          <w:sz w:val="28"/>
          <w:szCs w:val="24"/>
        </w:rPr>
        <w:t xml:space="preserve">  </w:t>
      </w:r>
    </w:p>
    <w:p w14:paraId="0656168E" w14:textId="0992823E" w:rsidR="004607C3" w:rsidRDefault="00C44641" w:rsidP="00C44641">
      <w:pPr>
        <w:jc w:val="both"/>
        <w:rPr>
          <w:rFonts w:ascii="Arial" w:hAnsi="Arial" w:cs="Arial"/>
          <w:b/>
          <w:bCs/>
          <w:sz w:val="24"/>
        </w:rPr>
      </w:pPr>
      <w:r w:rsidRPr="006F6395">
        <w:rPr>
          <w:rFonts w:ascii="Arial" w:hAnsi="Arial" w:cs="Arial"/>
          <w:b/>
          <w:bCs/>
          <w:sz w:val="24"/>
        </w:rPr>
        <w:t xml:space="preserve">Prague, CZ, August 26th – 30th, 2019 </w:t>
      </w:r>
      <w:r>
        <w:rPr>
          <w:rFonts w:ascii="Arial" w:hAnsi="Arial" w:cs="Arial"/>
          <w:b/>
          <w:bCs/>
          <w:sz w:val="24"/>
        </w:rPr>
        <w:t xml:space="preserve"> </w:t>
      </w:r>
      <w:r>
        <w:rPr>
          <w:rFonts w:ascii="Arial" w:hAnsi="Arial" w:cs="Arial"/>
          <w:b/>
          <w:bCs/>
          <w:sz w:val="24"/>
        </w:rPr>
        <w:tab/>
      </w:r>
    </w:p>
    <w:p w14:paraId="549B4B42" w14:textId="77777777" w:rsidR="00C44641" w:rsidRPr="00A2299C" w:rsidRDefault="00C44641" w:rsidP="00C44641">
      <w:pPr>
        <w:jc w:val="both"/>
        <w:rPr>
          <w:rFonts w:ascii="Arial" w:hAnsi="Arial" w:cs="Arial"/>
          <w:sz w:val="22"/>
        </w:rPr>
      </w:pPr>
    </w:p>
    <w:p w14:paraId="2FABF9AA" w14:textId="0171F70E"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4E2930">
        <w:rPr>
          <w:rFonts w:ascii="Arial" w:hAnsi="Arial" w:cs="Arial"/>
          <w:b/>
          <w:sz w:val="22"/>
        </w:rPr>
        <w:t>7.2.</w:t>
      </w:r>
      <w:r w:rsidR="00117936">
        <w:rPr>
          <w:rFonts w:ascii="Arial" w:hAnsi="Arial" w:cs="Arial"/>
          <w:b/>
          <w:sz w:val="22"/>
        </w:rPr>
        <w:t>9</w:t>
      </w:r>
      <w:r w:rsidR="002F593C">
        <w:rPr>
          <w:rFonts w:ascii="Arial" w:hAnsi="Arial" w:cs="Arial"/>
          <w:b/>
          <w:sz w:val="22"/>
        </w:rPr>
        <w:t>.1</w:t>
      </w:r>
      <w:r w:rsidR="00ED218B">
        <w:rPr>
          <w:rFonts w:ascii="Arial" w:hAnsi="Arial" w:cs="Arial"/>
          <w:b/>
          <w:sz w:val="22"/>
        </w:rPr>
        <w:t xml:space="preserve"> </w:t>
      </w:r>
    </w:p>
    <w:p w14:paraId="7395AB72" w14:textId="38403F7E"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2F593C">
        <w:rPr>
          <w:rFonts w:ascii="Arial" w:hAnsi="Arial" w:cs="Arial"/>
          <w:b/>
          <w:sz w:val="22"/>
        </w:rPr>
        <w:t xml:space="preserve">On </w:t>
      </w:r>
      <w:r w:rsidR="005C3EF1">
        <w:rPr>
          <w:rFonts w:ascii="Arial" w:hAnsi="Arial" w:cs="Arial"/>
          <w:b/>
          <w:sz w:val="22"/>
        </w:rPr>
        <w:t>Power Savings</w:t>
      </w:r>
      <w:r w:rsidR="004E2930">
        <w:rPr>
          <w:rFonts w:ascii="Arial" w:hAnsi="Arial" w:cs="Arial"/>
          <w:b/>
          <w:sz w:val="22"/>
        </w:rPr>
        <w:t xml:space="preserve"> </w:t>
      </w:r>
      <w:r w:rsidR="009A0197">
        <w:rPr>
          <w:rFonts w:ascii="Arial" w:hAnsi="Arial" w:cs="Arial"/>
          <w:b/>
          <w:sz w:val="22"/>
        </w:rPr>
        <w:t xml:space="preserve">Indication </w:t>
      </w:r>
      <w:r w:rsidR="00F328C8">
        <w:rPr>
          <w:rFonts w:ascii="Arial" w:hAnsi="Arial" w:cs="Arial"/>
          <w:b/>
          <w:sz w:val="22"/>
        </w:rPr>
        <w:t>in</w:t>
      </w:r>
      <w:r w:rsidR="009A0197">
        <w:rPr>
          <w:rFonts w:ascii="Arial" w:hAnsi="Arial" w:cs="Arial"/>
          <w:b/>
          <w:sz w:val="22"/>
        </w:rPr>
        <w:t xml:space="preserve"> and </w:t>
      </w:r>
      <w:r w:rsidR="00F75A21">
        <w:rPr>
          <w:rFonts w:ascii="Arial" w:hAnsi="Arial" w:cs="Arial"/>
          <w:b/>
          <w:sz w:val="22"/>
        </w:rPr>
        <w:t>O</w:t>
      </w:r>
      <w:r w:rsidR="009A0197">
        <w:rPr>
          <w:rFonts w:ascii="Arial" w:hAnsi="Arial" w:cs="Arial"/>
          <w:b/>
          <w:sz w:val="22"/>
        </w:rPr>
        <w:t xml:space="preserve">utside </w:t>
      </w:r>
      <w:r w:rsidR="00F75A21">
        <w:rPr>
          <w:rFonts w:ascii="Arial" w:hAnsi="Arial" w:cs="Arial"/>
          <w:b/>
          <w:sz w:val="22"/>
        </w:rPr>
        <w:t>Ac</w:t>
      </w:r>
      <w:r w:rsidR="009A0197">
        <w:rPr>
          <w:rFonts w:ascii="Arial" w:hAnsi="Arial" w:cs="Arial"/>
          <w:b/>
          <w:sz w:val="22"/>
        </w:rPr>
        <w:t>tive time</w:t>
      </w:r>
    </w:p>
    <w:p w14:paraId="4FDF3990" w14:textId="5847FBBE" w:rsidR="004607C3" w:rsidRPr="00A2299C" w:rsidRDefault="004607C3" w:rsidP="00A23578">
      <w:pPr>
        <w:spacing w:after="60"/>
        <w:ind w:left="1985" w:hanging="1985"/>
        <w:jc w:val="both"/>
        <w:rPr>
          <w:rFonts w:ascii="Arial" w:hAnsi="Arial" w:cs="Arial"/>
          <w:b/>
          <w:sz w:val="22"/>
        </w:rPr>
      </w:pPr>
      <w:bookmarkStart w:id="0" w:name="_GoBack"/>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bookmarkEnd w:id="0"/>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656C0F5" w:rsidR="004607C3" w:rsidRPr="000D37D3" w:rsidRDefault="005D20F1" w:rsidP="008873A5">
      <w:pPr>
        <w:pStyle w:val="Heading1"/>
      </w:pPr>
      <w:r w:rsidRPr="000D37D3">
        <w:t>Introduction</w:t>
      </w:r>
    </w:p>
    <w:p w14:paraId="3B58CF76" w14:textId="1971C568" w:rsidR="00770E80" w:rsidRDefault="00EF1127" w:rsidP="002F593C">
      <w:pPr>
        <w:spacing w:before="120" w:after="120"/>
        <w:rPr>
          <w:sz w:val="22"/>
          <w:szCs w:val="22"/>
          <w:lang w:eastAsia="ko-KR"/>
        </w:rPr>
      </w:pPr>
      <w:r w:rsidRPr="00BB4ADD">
        <w:rPr>
          <w:rFonts w:eastAsia="Batang"/>
          <w:sz w:val="22"/>
          <w:szCs w:val="22"/>
          <w:lang w:eastAsia="ko-KR"/>
        </w:rPr>
        <w:t>T</w:t>
      </w:r>
      <w:r w:rsidR="001A5BE4" w:rsidRPr="00BB4ADD">
        <w:rPr>
          <w:rFonts w:eastAsia="Batang"/>
          <w:sz w:val="22"/>
          <w:szCs w:val="22"/>
          <w:lang w:val="en-US" w:eastAsia="ko-KR"/>
        </w:rPr>
        <w:t xml:space="preserve">he following agreements </w:t>
      </w:r>
      <w:r w:rsidR="005C3EF1" w:rsidRPr="00BB4ADD">
        <w:rPr>
          <w:sz w:val="22"/>
          <w:szCs w:val="22"/>
          <w:lang w:eastAsia="ko-KR"/>
        </w:rPr>
        <w:t>were made in the RAN1 #</w:t>
      </w:r>
      <w:r w:rsidR="00AD74F5" w:rsidRPr="00BB4ADD">
        <w:rPr>
          <w:sz w:val="22"/>
          <w:szCs w:val="22"/>
          <w:lang w:eastAsia="ko-KR"/>
        </w:rPr>
        <w:t>9</w:t>
      </w:r>
      <w:r w:rsidR="00AD74F5">
        <w:rPr>
          <w:sz w:val="22"/>
          <w:szCs w:val="22"/>
          <w:lang w:eastAsia="ko-KR"/>
        </w:rPr>
        <w:t>7</w:t>
      </w:r>
      <w:r w:rsidR="00AD74F5" w:rsidRPr="00BB4ADD">
        <w:rPr>
          <w:sz w:val="22"/>
          <w:szCs w:val="22"/>
          <w:lang w:eastAsia="ko-KR"/>
        </w:rPr>
        <w:t xml:space="preserve"> </w:t>
      </w:r>
      <w:r w:rsidR="005C3EF1" w:rsidRPr="00BB4ADD">
        <w:rPr>
          <w:sz w:val="22"/>
          <w:szCs w:val="22"/>
          <w:lang w:eastAsia="ko-KR"/>
        </w:rPr>
        <w:t xml:space="preserve">meeting </w:t>
      </w:r>
      <w:r w:rsidR="005C3EF1" w:rsidRPr="00BB4ADD">
        <w:rPr>
          <w:sz w:val="22"/>
          <w:szCs w:val="22"/>
          <w:lang w:eastAsia="ko-KR"/>
        </w:rPr>
        <w:fldChar w:fldCharType="begin"/>
      </w:r>
      <w:r w:rsidR="005C3EF1" w:rsidRPr="00BB4ADD">
        <w:rPr>
          <w:sz w:val="22"/>
          <w:szCs w:val="22"/>
          <w:lang w:eastAsia="ko-KR"/>
        </w:rPr>
        <w:instrText xml:space="preserve"> REF _Ref7768110 \r \h </w:instrText>
      </w:r>
      <w:r w:rsidR="00BB4ADD">
        <w:rPr>
          <w:sz w:val="22"/>
          <w:szCs w:val="22"/>
          <w:lang w:eastAsia="ko-KR"/>
        </w:rPr>
        <w:instrText xml:space="preserve"> \* MERGEFORMAT </w:instrText>
      </w:r>
      <w:r w:rsidR="005C3EF1" w:rsidRPr="00BB4ADD">
        <w:rPr>
          <w:sz w:val="22"/>
          <w:szCs w:val="22"/>
          <w:lang w:eastAsia="ko-KR"/>
        </w:rPr>
      </w:r>
      <w:r w:rsidR="005C3EF1" w:rsidRPr="00BB4ADD">
        <w:rPr>
          <w:sz w:val="22"/>
          <w:szCs w:val="22"/>
          <w:lang w:eastAsia="ko-KR"/>
        </w:rPr>
        <w:fldChar w:fldCharType="separate"/>
      </w:r>
      <w:r w:rsidR="005C3EF1" w:rsidRPr="00BB4ADD">
        <w:rPr>
          <w:sz w:val="22"/>
          <w:szCs w:val="22"/>
          <w:lang w:eastAsia="ko-KR"/>
        </w:rPr>
        <w:t>[</w:t>
      </w:r>
      <w:r w:rsidR="0077242F">
        <w:rPr>
          <w:sz w:val="22"/>
          <w:szCs w:val="22"/>
          <w:lang w:eastAsia="ko-KR"/>
        </w:rPr>
        <w:t>1</w:t>
      </w:r>
      <w:r w:rsidR="005C3EF1" w:rsidRPr="00BB4ADD">
        <w:rPr>
          <w:sz w:val="22"/>
          <w:szCs w:val="22"/>
          <w:lang w:eastAsia="ko-KR"/>
        </w:rPr>
        <w:t>]</w:t>
      </w:r>
      <w:r w:rsidR="005C3EF1" w:rsidRPr="00BB4ADD">
        <w:rPr>
          <w:sz w:val="22"/>
          <w:szCs w:val="22"/>
          <w:lang w:eastAsia="ko-KR"/>
        </w:rPr>
        <w:fldChar w:fldCharType="end"/>
      </w:r>
      <w:r w:rsidR="00BB4ADD" w:rsidRPr="00BB4ADD">
        <w:rPr>
          <w:sz w:val="22"/>
          <w:szCs w:val="22"/>
          <w:lang w:eastAsia="ko-KR"/>
        </w:rPr>
        <w:t xml:space="preserve"> on </w:t>
      </w:r>
      <w:r w:rsidR="00BB4ADD" w:rsidRPr="00BB4ADD">
        <w:rPr>
          <w:sz w:val="22"/>
          <w:szCs w:val="22"/>
        </w:rPr>
        <w:t>PDCCH-based power saving signal/channel</w:t>
      </w:r>
      <w:r w:rsidR="005C3EF1" w:rsidRPr="00BB4ADD">
        <w:rPr>
          <w:sz w:val="22"/>
          <w:szCs w:val="22"/>
          <w:lang w:eastAsia="ko-KR"/>
        </w:rPr>
        <w:t>.</w:t>
      </w:r>
    </w:p>
    <w:p w14:paraId="1CE84087" w14:textId="77777777" w:rsidR="00D977D2" w:rsidRPr="00110E99" w:rsidRDefault="00D977D2" w:rsidP="00D977D2">
      <w:pPr>
        <w:ind w:left="1440" w:hanging="1440"/>
        <w:rPr>
          <w:b/>
          <w:i/>
          <w:sz w:val="22"/>
          <w:lang w:eastAsia="x-none"/>
        </w:rPr>
      </w:pPr>
      <w:r w:rsidRPr="00110E99">
        <w:rPr>
          <w:b/>
          <w:i/>
          <w:sz w:val="22"/>
          <w:highlight w:val="green"/>
          <w:lang w:eastAsia="x-none"/>
        </w:rPr>
        <w:t>Agreements</w:t>
      </w:r>
      <w:r w:rsidRPr="00110E99">
        <w:rPr>
          <w:b/>
          <w:i/>
          <w:sz w:val="22"/>
          <w:lang w:eastAsia="x-none"/>
        </w:rPr>
        <w:t>:</w:t>
      </w:r>
    </w:p>
    <w:p w14:paraId="15004C7E" w14:textId="77777777" w:rsidR="00D977D2" w:rsidRPr="00110E99" w:rsidRDefault="00D977D2" w:rsidP="00D977D2">
      <w:pPr>
        <w:rPr>
          <w:i/>
        </w:rPr>
      </w:pPr>
      <w:r w:rsidRPr="00110E99">
        <w:rPr>
          <w:i/>
        </w:rPr>
        <w:t xml:space="preserve">The </w:t>
      </w:r>
      <w:r w:rsidRPr="00110E99">
        <w:rPr>
          <w:b/>
          <w:i/>
        </w:rPr>
        <w:t>monitoring occasion(s) of the power saving signal/channel outside the Active Time</w:t>
      </w:r>
      <w:r w:rsidRPr="00110E99">
        <w:rPr>
          <w:i/>
        </w:rPr>
        <w:t xml:space="preserve"> is “indicated” to the UE by the gNB with an offset before the DRX ON</w:t>
      </w:r>
    </w:p>
    <w:p w14:paraId="47834242" w14:textId="77777777" w:rsidR="00D977D2" w:rsidRPr="00110E99" w:rsidRDefault="00D977D2" w:rsidP="00D977D2">
      <w:pPr>
        <w:pStyle w:val="ListParagraph"/>
        <w:numPr>
          <w:ilvl w:val="0"/>
          <w:numId w:val="40"/>
        </w:numPr>
        <w:spacing w:before="0" w:line="240" w:lineRule="auto"/>
        <w:ind w:left="1080"/>
        <w:jc w:val="left"/>
        <w:rPr>
          <w:rFonts w:ascii="Times New Roman" w:hAnsi="Times New Roman"/>
          <w:i/>
        </w:rPr>
      </w:pPr>
      <w:r w:rsidRPr="00110E99">
        <w:rPr>
          <w:rFonts w:ascii="Times New Roman" w:hAnsi="Times New Roman"/>
          <w:i/>
        </w:rPr>
        <w:t>“</w:t>
      </w:r>
      <w:r w:rsidRPr="00110E99">
        <w:rPr>
          <w:rFonts w:ascii="Times New Roman" w:hAnsi="Times New Roman"/>
          <w:b/>
          <w:i/>
        </w:rPr>
        <w:t>Indicated</w:t>
      </w:r>
      <w:r w:rsidRPr="00110E99">
        <w:rPr>
          <w:rFonts w:ascii="Times New Roman" w:hAnsi="Times New Roman"/>
          <w:i/>
        </w:rPr>
        <w:t>” implies the explicit signalling by higher layer signalling or implicit through the CORESET/search space</w:t>
      </w:r>
    </w:p>
    <w:p w14:paraId="1191B891" w14:textId="77777777" w:rsidR="00D977D2" w:rsidRPr="00110E99" w:rsidRDefault="00D977D2" w:rsidP="00D977D2">
      <w:pPr>
        <w:pStyle w:val="ListParagraph"/>
        <w:numPr>
          <w:ilvl w:val="0"/>
          <w:numId w:val="40"/>
        </w:numPr>
        <w:spacing w:before="0" w:line="240" w:lineRule="auto"/>
        <w:ind w:left="1080"/>
        <w:jc w:val="left"/>
        <w:rPr>
          <w:i/>
        </w:rPr>
      </w:pPr>
      <w:r w:rsidRPr="00110E99">
        <w:rPr>
          <w:rFonts w:ascii="Times New Roman" w:hAnsi="Times New Roman"/>
          <w:i/>
        </w:rPr>
        <w:t>FFS: The value and the range of offset</w:t>
      </w:r>
    </w:p>
    <w:p w14:paraId="51507E7E" w14:textId="77777777" w:rsidR="00FD2C40" w:rsidRPr="00BB4ADD" w:rsidRDefault="00FD2C40" w:rsidP="00FD2C40">
      <w:pPr>
        <w:spacing w:before="120" w:after="120"/>
        <w:jc w:val="both"/>
        <w:rPr>
          <w:b/>
          <w:i/>
          <w:sz w:val="22"/>
          <w:szCs w:val="22"/>
          <w:lang w:eastAsia="ko-KR"/>
        </w:rPr>
      </w:pPr>
      <w:r w:rsidRPr="00BB4ADD">
        <w:rPr>
          <w:b/>
          <w:i/>
          <w:sz w:val="22"/>
          <w:szCs w:val="22"/>
          <w:highlight w:val="green"/>
          <w:lang w:eastAsia="ko-KR"/>
        </w:rPr>
        <w:t>Agreements:</w:t>
      </w:r>
    </w:p>
    <w:p w14:paraId="034728A7" w14:textId="5ADA3D89" w:rsidR="00FD2C40" w:rsidRPr="00110E99" w:rsidRDefault="00FD2C40" w:rsidP="00FD2C40">
      <w:pPr>
        <w:rPr>
          <w:i/>
        </w:rPr>
      </w:pPr>
      <w:r w:rsidRPr="00110E99">
        <w:rPr>
          <w:i/>
        </w:rPr>
        <w:t xml:space="preserve">For </w:t>
      </w:r>
      <w:r w:rsidRPr="00110E99">
        <w:rPr>
          <w:b/>
          <w:i/>
        </w:rPr>
        <w:t>power saving signal/channel configured outside Active Time</w:t>
      </w:r>
      <w:r w:rsidRPr="00110E99">
        <w:rPr>
          <w:i/>
        </w:rPr>
        <w:t xml:space="preserve">, introduce a </w:t>
      </w:r>
      <w:r w:rsidRPr="00110E99">
        <w:rPr>
          <w:b/>
          <w:i/>
        </w:rPr>
        <w:t>new DCI format</w:t>
      </w:r>
      <w:r w:rsidRPr="00110E99">
        <w:rPr>
          <w:i/>
        </w:rPr>
        <w:t xml:space="preserve"> for a UE, where the UE is configured to monitor the DCI format, with the power saving information for the UE in the DCI configurable by RRC</w:t>
      </w:r>
    </w:p>
    <w:p w14:paraId="5BEF34F4" w14:textId="77777777" w:rsidR="00FD2C40" w:rsidRPr="00110E99" w:rsidRDefault="00FD2C40" w:rsidP="00FD2C40">
      <w:pPr>
        <w:numPr>
          <w:ilvl w:val="0"/>
          <w:numId w:val="39"/>
        </w:numPr>
        <w:ind w:left="1260"/>
        <w:rPr>
          <w:i/>
        </w:rPr>
      </w:pPr>
      <w:r w:rsidRPr="00110E99">
        <w:rPr>
          <w:i/>
        </w:rPr>
        <w:t>FFS whether the DCI is in UESS or CSS or both</w:t>
      </w:r>
    </w:p>
    <w:p w14:paraId="02CF6DE2" w14:textId="77777777" w:rsidR="00FD2C40" w:rsidRPr="00110E99" w:rsidRDefault="00FD2C40" w:rsidP="00FD2C40">
      <w:pPr>
        <w:numPr>
          <w:ilvl w:val="0"/>
          <w:numId w:val="39"/>
        </w:numPr>
        <w:ind w:left="1260"/>
        <w:rPr>
          <w:i/>
        </w:rPr>
      </w:pPr>
      <w:r w:rsidRPr="00110E99">
        <w:rPr>
          <w:i/>
        </w:rPr>
        <w:t>FFS detailed configuration of the power saving information</w:t>
      </w:r>
    </w:p>
    <w:p w14:paraId="6AB7172B" w14:textId="77777777" w:rsidR="00FD2C40" w:rsidRPr="00110E99" w:rsidRDefault="00FD2C40" w:rsidP="00FD2C40">
      <w:pPr>
        <w:numPr>
          <w:ilvl w:val="0"/>
          <w:numId w:val="39"/>
        </w:numPr>
        <w:ind w:left="1260"/>
        <w:rPr>
          <w:i/>
        </w:rPr>
      </w:pPr>
      <w:r w:rsidRPr="00110E99">
        <w:rPr>
          <w:i/>
        </w:rPr>
        <w:t>FFS the new DCI format</w:t>
      </w:r>
    </w:p>
    <w:p w14:paraId="0D00C2F0" w14:textId="77777777" w:rsidR="00FD2C40" w:rsidRPr="00110E99" w:rsidRDefault="00FD2C40" w:rsidP="00FD2C40">
      <w:pPr>
        <w:numPr>
          <w:ilvl w:val="0"/>
          <w:numId w:val="39"/>
        </w:numPr>
        <w:ind w:left="1260"/>
        <w:rPr>
          <w:i/>
        </w:rPr>
      </w:pPr>
      <w:r w:rsidRPr="00110E99">
        <w:rPr>
          <w:i/>
        </w:rPr>
        <w:t>Note: the same DCI may carry power saving information for one or more UEs</w:t>
      </w:r>
    </w:p>
    <w:p w14:paraId="670B1072" w14:textId="77777777" w:rsidR="00BB4ADD" w:rsidRPr="00BB4ADD" w:rsidRDefault="00BB4ADD" w:rsidP="001A12CA">
      <w:pPr>
        <w:spacing w:before="120" w:after="120"/>
        <w:jc w:val="both"/>
        <w:rPr>
          <w:b/>
          <w:i/>
          <w:sz w:val="22"/>
          <w:szCs w:val="22"/>
          <w:lang w:eastAsia="ko-KR"/>
        </w:rPr>
      </w:pPr>
      <w:r w:rsidRPr="00BB4ADD">
        <w:rPr>
          <w:b/>
          <w:i/>
          <w:sz w:val="22"/>
          <w:szCs w:val="22"/>
          <w:highlight w:val="green"/>
          <w:lang w:eastAsia="ko-KR"/>
        </w:rPr>
        <w:t>Agreements:</w:t>
      </w:r>
    </w:p>
    <w:p w14:paraId="002BA091" w14:textId="77777777" w:rsidR="001A12CA" w:rsidRPr="001A12CA" w:rsidRDefault="001A12CA" w:rsidP="001A12CA">
      <w:pPr>
        <w:rPr>
          <w:i/>
        </w:rPr>
      </w:pPr>
      <w:r w:rsidRPr="001A12CA">
        <w:rPr>
          <w:i/>
        </w:rPr>
        <w:t xml:space="preserve">The </w:t>
      </w:r>
      <w:r w:rsidRPr="001A12CA">
        <w:rPr>
          <w:b/>
          <w:i/>
        </w:rPr>
        <w:t xml:space="preserve">indication of at least one </w:t>
      </w:r>
      <w:r w:rsidRPr="001A12CA">
        <w:rPr>
          <w:b/>
          <w:i/>
          <w:u w:val="single"/>
        </w:rPr>
        <w:t>power saving technique(s)</w:t>
      </w:r>
      <w:r w:rsidRPr="001A12CA">
        <w:rPr>
          <w:i/>
        </w:rPr>
        <w:t xml:space="preserve"> is supported at least by the </w:t>
      </w:r>
      <w:r w:rsidRPr="001A12CA">
        <w:rPr>
          <w:i/>
          <w:u w:val="single"/>
        </w:rPr>
        <w:t>enhancement of existing scheduling DCI formats with additional field(s), if any</w:t>
      </w:r>
      <w:r w:rsidRPr="001A12CA">
        <w:rPr>
          <w:i/>
        </w:rPr>
        <w:t xml:space="preserve">, </w:t>
      </w:r>
      <w:r w:rsidRPr="001A12CA">
        <w:rPr>
          <w:i/>
          <w:u w:val="single"/>
        </w:rPr>
        <w:t>and/or repurposing the existing field(s), if identified</w:t>
      </w:r>
      <w:r w:rsidRPr="001A12CA">
        <w:rPr>
          <w:i/>
        </w:rPr>
        <w:t xml:space="preserve">, </w:t>
      </w:r>
      <w:r w:rsidRPr="001A12CA">
        <w:rPr>
          <w:b/>
          <w:i/>
        </w:rPr>
        <w:t>when UE is in the Active Time</w:t>
      </w:r>
      <w:r w:rsidRPr="001A12CA">
        <w:rPr>
          <w:i/>
        </w:rPr>
        <w:t xml:space="preserve">.     </w:t>
      </w:r>
    </w:p>
    <w:p w14:paraId="24BB98F1" w14:textId="77777777" w:rsidR="001A12CA" w:rsidRPr="001A12CA" w:rsidRDefault="001A12CA" w:rsidP="001A12CA">
      <w:pPr>
        <w:pStyle w:val="ListParagraph"/>
        <w:numPr>
          <w:ilvl w:val="0"/>
          <w:numId w:val="36"/>
        </w:numPr>
        <w:spacing w:before="0" w:line="240" w:lineRule="auto"/>
        <w:ind w:left="1440" w:hanging="540"/>
        <w:jc w:val="left"/>
        <w:rPr>
          <w:rFonts w:ascii="Times New Roman" w:hAnsi="Times New Roman"/>
          <w:i/>
        </w:rPr>
      </w:pPr>
      <w:r w:rsidRPr="001A12CA">
        <w:rPr>
          <w:rFonts w:ascii="Times New Roman" w:hAnsi="Times New Roman"/>
          <w:i/>
        </w:rPr>
        <w:t xml:space="preserve">It applies to UE-specific search space.  </w:t>
      </w:r>
    </w:p>
    <w:p w14:paraId="4BE72D38" w14:textId="77777777" w:rsidR="001A12CA" w:rsidRPr="001A12CA" w:rsidRDefault="001A12CA" w:rsidP="001A12CA">
      <w:pPr>
        <w:pStyle w:val="ListParagraph"/>
        <w:numPr>
          <w:ilvl w:val="1"/>
          <w:numId w:val="36"/>
        </w:numPr>
        <w:spacing w:before="0" w:line="240" w:lineRule="auto"/>
        <w:ind w:left="1710" w:hanging="270"/>
        <w:jc w:val="left"/>
        <w:rPr>
          <w:rFonts w:ascii="Times New Roman" w:hAnsi="Times New Roman"/>
          <w:i/>
        </w:rPr>
      </w:pPr>
      <w:r w:rsidRPr="001A12CA">
        <w:rPr>
          <w:rFonts w:ascii="Times New Roman" w:hAnsi="Times New Roman"/>
          <w:i/>
        </w:rPr>
        <w:t>It is FFS for the common search space.</w:t>
      </w:r>
    </w:p>
    <w:p w14:paraId="7EBE9322" w14:textId="77777777" w:rsidR="001A12CA" w:rsidRPr="001A12CA" w:rsidRDefault="001A12CA" w:rsidP="001A12CA">
      <w:pPr>
        <w:pStyle w:val="ListParagraph"/>
        <w:numPr>
          <w:ilvl w:val="0"/>
          <w:numId w:val="36"/>
        </w:numPr>
        <w:spacing w:before="0" w:line="240" w:lineRule="auto"/>
        <w:ind w:left="1440" w:hanging="540"/>
        <w:jc w:val="left"/>
        <w:rPr>
          <w:rFonts w:ascii="Times New Roman" w:hAnsi="Times New Roman"/>
          <w:i/>
        </w:rPr>
      </w:pPr>
      <w:r w:rsidRPr="001A12CA">
        <w:rPr>
          <w:rFonts w:ascii="Times New Roman" w:hAnsi="Times New Roman"/>
          <w:i/>
        </w:rPr>
        <w:t>The at least one power saving technique(s) includes at least “Cross-slot scheduling”</w:t>
      </w:r>
    </w:p>
    <w:p w14:paraId="701F7EBA" w14:textId="77777777" w:rsidR="001A12CA" w:rsidRPr="001A12CA" w:rsidRDefault="001A12CA" w:rsidP="001A12CA">
      <w:pPr>
        <w:pStyle w:val="ListParagraph"/>
        <w:numPr>
          <w:ilvl w:val="0"/>
          <w:numId w:val="36"/>
        </w:numPr>
        <w:spacing w:before="0" w:line="240" w:lineRule="auto"/>
        <w:ind w:left="1440" w:hanging="540"/>
        <w:jc w:val="left"/>
        <w:rPr>
          <w:rFonts w:ascii="Times New Roman" w:hAnsi="Times New Roman"/>
          <w:i/>
        </w:rPr>
      </w:pPr>
      <w:r w:rsidRPr="001A12CA">
        <w:rPr>
          <w:rFonts w:ascii="Times New Roman" w:hAnsi="Times New Roman"/>
          <w:i/>
        </w:rPr>
        <w:t>FFS: Which existing DCI formats includes the power saving information</w:t>
      </w:r>
    </w:p>
    <w:p w14:paraId="034D9DAF" w14:textId="77777777" w:rsidR="001A12CA" w:rsidRPr="001A12CA" w:rsidRDefault="001A12CA" w:rsidP="001A12CA">
      <w:pPr>
        <w:pStyle w:val="ListParagraph"/>
        <w:numPr>
          <w:ilvl w:val="1"/>
          <w:numId w:val="36"/>
        </w:numPr>
        <w:spacing w:before="0" w:line="240" w:lineRule="auto"/>
        <w:ind w:left="1800"/>
        <w:jc w:val="left"/>
        <w:rPr>
          <w:rFonts w:ascii="Times New Roman" w:hAnsi="Times New Roman"/>
          <w:i/>
        </w:rPr>
      </w:pPr>
      <w:r w:rsidRPr="001A12CA">
        <w:rPr>
          <w:rFonts w:ascii="Times New Roman" w:hAnsi="Times New Roman"/>
          <w:i/>
        </w:rPr>
        <w:t>Whether power saving information is not included in the fallback DCI(s) (e.g., DCI format 0_0, DCI format 1_0)</w:t>
      </w:r>
    </w:p>
    <w:p w14:paraId="53A6FCA5" w14:textId="77777777" w:rsidR="001A12CA" w:rsidRPr="001A12CA" w:rsidRDefault="001A12CA" w:rsidP="001A12CA">
      <w:pPr>
        <w:pStyle w:val="ListParagraph"/>
        <w:numPr>
          <w:ilvl w:val="1"/>
          <w:numId w:val="36"/>
        </w:numPr>
        <w:spacing w:before="0" w:line="240" w:lineRule="auto"/>
        <w:ind w:left="1800"/>
        <w:jc w:val="left"/>
        <w:rPr>
          <w:rFonts w:ascii="Times New Roman" w:hAnsi="Times New Roman"/>
          <w:i/>
        </w:rPr>
      </w:pPr>
      <w:r w:rsidRPr="001A12CA">
        <w:rPr>
          <w:rFonts w:ascii="Times New Roman" w:hAnsi="Times New Roman"/>
          <w:i/>
        </w:rPr>
        <w:t>Use of non-scheduling DCI formats.</w:t>
      </w:r>
    </w:p>
    <w:p w14:paraId="48371704" w14:textId="77777777" w:rsidR="001A12CA" w:rsidRPr="001A12CA" w:rsidRDefault="001A12CA" w:rsidP="001A12CA">
      <w:pPr>
        <w:pStyle w:val="ListParagraph"/>
        <w:numPr>
          <w:ilvl w:val="0"/>
          <w:numId w:val="36"/>
        </w:numPr>
        <w:spacing w:before="0" w:line="240" w:lineRule="auto"/>
        <w:ind w:left="1440" w:hanging="450"/>
        <w:jc w:val="left"/>
        <w:rPr>
          <w:rFonts w:ascii="Times New Roman" w:hAnsi="Times New Roman"/>
          <w:i/>
        </w:rPr>
      </w:pPr>
      <w:r w:rsidRPr="001A12CA">
        <w:rPr>
          <w:rFonts w:ascii="Times New Roman" w:hAnsi="Times New Roman"/>
          <w:i/>
        </w:rPr>
        <w:t>It is FFS which field(s) is used to be repurposed for the indication of the power saving technique if the repurpose of existing field(s) is used.</w:t>
      </w:r>
    </w:p>
    <w:p w14:paraId="047AD377" w14:textId="77777777" w:rsidR="001A12CA" w:rsidRPr="001A12CA" w:rsidRDefault="001A12CA" w:rsidP="001A12CA">
      <w:pPr>
        <w:pStyle w:val="ListParagraph"/>
        <w:numPr>
          <w:ilvl w:val="0"/>
          <w:numId w:val="36"/>
        </w:numPr>
        <w:spacing w:before="0" w:line="240" w:lineRule="auto"/>
        <w:ind w:left="1440" w:hanging="450"/>
        <w:jc w:val="left"/>
        <w:rPr>
          <w:rFonts w:ascii="Times New Roman" w:hAnsi="Times New Roman"/>
          <w:i/>
        </w:rPr>
      </w:pPr>
      <w:r w:rsidRPr="001A12CA">
        <w:rPr>
          <w:rFonts w:ascii="Times New Roman" w:hAnsi="Times New Roman"/>
          <w:i/>
        </w:rPr>
        <w:t>FFS: New DCI format with size aligned with existing DCI format</w:t>
      </w:r>
    </w:p>
    <w:p w14:paraId="0F70FC50" w14:textId="4DFEB929" w:rsidR="001A12CA" w:rsidRDefault="001A12CA" w:rsidP="00ED218B">
      <w:pPr>
        <w:tabs>
          <w:tab w:val="left" w:pos="720"/>
        </w:tabs>
        <w:rPr>
          <w:i/>
          <w:sz w:val="22"/>
          <w:szCs w:val="22"/>
        </w:rPr>
      </w:pPr>
    </w:p>
    <w:p w14:paraId="0584FC24" w14:textId="77777777" w:rsidR="009D213D" w:rsidRPr="00110E99" w:rsidRDefault="009D213D" w:rsidP="009D213D">
      <w:pPr>
        <w:ind w:left="1440" w:hanging="1440"/>
        <w:rPr>
          <w:b/>
          <w:i/>
        </w:rPr>
      </w:pPr>
      <w:r w:rsidRPr="00110E99">
        <w:rPr>
          <w:b/>
          <w:i/>
          <w:highlight w:val="green"/>
        </w:rPr>
        <w:t>Agreements</w:t>
      </w:r>
      <w:r w:rsidRPr="00110E99">
        <w:rPr>
          <w:b/>
          <w:i/>
        </w:rPr>
        <w:t>:</w:t>
      </w:r>
    </w:p>
    <w:p w14:paraId="59C9B171" w14:textId="77777777" w:rsidR="009D213D" w:rsidRPr="00110E99" w:rsidRDefault="009D213D" w:rsidP="009D213D">
      <w:pPr>
        <w:rPr>
          <w:i/>
        </w:rPr>
      </w:pPr>
      <w:r w:rsidRPr="00110E99">
        <w:rPr>
          <w:i/>
        </w:rPr>
        <w:t xml:space="preserve">Support UE-specific configuration of the search space set(s) </w:t>
      </w:r>
      <w:r w:rsidRPr="00110E99">
        <w:rPr>
          <w:b/>
          <w:i/>
        </w:rPr>
        <w:t>dedicated to the PDCCH-based power saving signal/channel</w:t>
      </w:r>
      <w:r w:rsidRPr="00110E99">
        <w:rPr>
          <w:i/>
        </w:rPr>
        <w:t xml:space="preserve"> for UE to monitor outside Active Time</w:t>
      </w:r>
    </w:p>
    <w:p w14:paraId="29A91704" w14:textId="77777777" w:rsidR="009D213D" w:rsidRPr="00110E99" w:rsidRDefault="009D213D" w:rsidP="009D213D">
      <w:pPr>
        <w:pStyle w:val="ListParagraph"/>
        <w:numPr>
          <w:ilvl w:val="0"/>
          <w:numId w:val="38"/>
        </w:numPr>
        <w:spacing w:before="0" w:line="240" w:lineRule="auto"/>
        <w:ind w:left="1260"/>
        <w:jc w:val="left"/>
        <w:rPr>
          <w:rFonts w:ascii="Times New Roman" w:hAnsi="Times New Roman"/>
          <w:i/>
        </w:rPr>
      </w:pPr>
      <w:r w:rsidRPr="00110E99">
        <w:rPr>
          <w:rFonts w:ascii="Times New Roman" w:hAnsi="Times New Roman"/>
          <w:i/>
        </w:rPr>
        <w:t>Following the principle of Rel-15 search space configuration</w:t>
      </w:r>
    </w:p>
    <w:p w14:paraId="56E4BB8F" w14:textId="77777777" w:rsidR="009D213D" w:rsidRPr="00110E99" w:rsidRDefault="009D213D" w:rsidP="009D213D">
      <w:pPr>
        <w:pStyle w:val="ListParagraph"/>
        <w:numPr>
          <w:ilvl w:val="0"/>
          <w:numId w:val="38"/>
        </w:numPr>
        <w:spacing w:before="0" w:line="240" w:lineRule="auto"/>
        <w:ind w:left="1260"/>
        <w:jc w:val="left"/>
        <w:rPr>
          <w:rFonts w:ascii="Times New Roman" w:hAnsi="Times New Roman"/>
          <w:i/>
        </w:rPr>
      </w:pPr>
      <w:r w:rsidRPr="00110E99">
        <w:rPr>
          <w:rFonts w:ascii="Times New Roman" w:hAnsi="Times New Roman"/>
          <w:i/>
        </w:rPr>
        <w:t xml:space="preserve">FFS: the corresponding UE behaviour in monitoring </w:t>
      </w:r>
      <w:r w:rsidRPr="00110E99">
        <w:rPr>
          <w:rFonts w:ascii="Times New Roman" w:hAnsi="Times New Roman"/>
          <w:b/>
          <w:i/>
        </w:rPr>
        <w:t>the power saving signal/channel outside Active Time</w:t>
      </w:r>
    </w:p>
    <w:p w14:paraId="1FFC4540" w14:textId="77777777" w:rsidR="009D213D" w:rsidRPr="00110E99" w:rsidRDefault="009D213D" w:rsidP="009D213D">
      <w:pPr>
        <w:pStyle w:val="ListParagraph"/>
        <w:numPr>
          <w:ilvl w:val="0"/>
          <w:numId w:val="38"/>
        </w:numPr>
        <w:spacing w:before="0" w:line="240" w:lineRule="auto"/>
        <w:ind w:left="1260"/>
        <w:jc w:val="left"/>
        <w:rPr>
          <w:rFonts w:ascii="Times New Roman" w:hAnsi="Times New Roman"/>
          <w:i/>
        </w:rPr>
      </w:pPr>
      <w:r w:rsidRPr="00110E99">
        <w:rPr>
          <w:rFonts w:ascii="Times New Roman" w:hAnsi="Times New Roman"/>
          <w:i/>
        </w:rPr>
        <w:t xml:space="preserve">FFS whether UE can further monitor the search space set(s) </w:t>
      </w:r>
      <w:r w:rsidRPr="00110E99">
        <w:rPr>
          <w:rFonts w:ascii="Times New Roman" w:hAnsi="Times New Roman"/>
          <w:b/>
          <w:i/>
        </w:rPr>
        <w:t>inside Active Time</w:t>
      </w:r>
    </w:p>
    <w:p w14:paraId="40123B3A" w14:textId="77777777" w:rsidR="009D213D" w:rsidRDefault="009D213D" w:rsidP="00ED218B">
      <w:pPr>
        <w:tabs>
          <w:tab w:val="left" w:pos="720"/>
        </w:tabs>
        <w:rPr>
          <w:i/>
          <w:sz w:val="22"/>
          <w:szCs w:val="22"/>
        </w:rPr>
      </w:pPr>
    </w:p>
    <w:p w14:paraId="3525B25F" w14:textId="694092D4" w:rsidR="00485C27" w:rsidRPr="00A2299C" w:rsidRDefault="009F7FC7" w:rsidP="00ED218B">
      <w:pPr>
        <w:tabs>
          <w:tab w:val="left" w:pos="720"/>
        </w:tabs>
        <w:rPr>
          <w:rFonts w:eastAsia="Batang"/>
          <w:sz w:val="22"/>
          <w:szCs w:val="22"/>
          <w:lang w:val="en-US" w:eastAsia="ko-KR"/>
        </w:rPr>
      </w:pPr>
      <w:r>
        <w:rPr>
          <w:sz w:val="22"/>
          <w:szCs w:val="22"/>
        </w:rPr>
        <w:t xml:space="preserve">In this contribution we discuss aspects of </w:t>
      </w:r>
      <w:r w:rsidR="00446DF1">
        <w:rPr>
          <w:sz w:val="22"/>
          <w:szCs w:val="22"/>
        </w:rPr>
        <w:t xml:space="preserve">the power savings indication received both in the active time of the UE and outside the active time of the UE. </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C8D7385" w:rsidR="005D20F1" w:rsidRDefault="007C6943" w:rsidP="008873A5">
      <w:pPr>
        <w:pStyle w:val="Heading1"/>
      </w:pPr>
      <w:r w:rsidRPr="000D37D3">
        <w:t>Discussion</w:t>
      </w:r>
    </w:p>
    <w:p w14:paraId="0253E77B" w14:textId="3F2929E5" w:rsidR="00446DF1" w:rsidRDefault="00446DF1" w:rsidP="00C653A4">
      <w:pPr>
        <w:pStyle w:val="Heading2"/>
      </w:pPr>
      <w:r>
        <w:t>Power savings indication within the active time.</w:t>
      </w:r>
    </w:p>
    <w:p w14:paraId="2939094A" w14:textId="602657E0" w:rsidR="00446DF1" w:rsidRDefault="00446DF1" w:rsidP="00C653A4">
      <w:pPr>
        <w:rPr>
          <w:sz w:val="22"/>
          <w:szCs w:val="22"/>
        </w:rPr>
      </w:pPr>
      <w:r w:rsidRPr="00C653A4">
        <w:rPr>
          <w:sz w:val="22"/>
          <w:szCs w:val="22"/>
        </w:rPr>
        <w:t xml:space="preserve">We consider </w:t>
      </w:r>
      <w:r>
        <w:rPr>
          <w:sz w:val="22"/>
          <w:szCs w:val="22"/>
        </w:rPr>
        <w:t>below two scenario</w:t>
      </w:r>
      <w:r w:rsidR="002D343C">
        <w:rPr>
          <w:sz w:val="22"/>
          <w:szCs w:val="22"/>
        </w:rPr>
        <w:t>s</w:t>
      </w:r>
      <w:r>
        <w:rPr>
          <w:sz w:val="22"/>
          <w:szCs w:val="22"/>
        </w:rPr>
        <w:t xml:space="preserve"> where the UE may receive the power savings indication in the active time.</w:t>
      </w:r>
    </w:p>
    <w:p w14:paraId="3A062430" w14:textId="149E5718" w:rsidR="002D343C" w:rsidRDefault="002D343C" w:rsidP="00C653A4">
      <w:pPr>
        <w:rPr>
          <w:sz w:val="22"/>
          <w:szCs w:val="22"/>
        </w:rPr>
      </w:pPr>
    </w:p>
    <w:p w14:paraId="197FF462" w14:textId="41FF1FD9" w:rsidR="002D343C" w:rsidRPr="00254020" w:rsidRDefault="002D343C" w:rsidP="00C653A4">
      <w:pPr>
        <w:pStyle w:val="Heading3"/>
        <w:rPr>
          <w:b/>
        </w:rPr>
      </w:pPr>
      <w:r w:rsidRPr="00254020">
        <w:rPr>
          <w:b/>
        </w:rPr>
        <w:lastRenderedPageBreak/>
        <w:t>Go-to-sleep Indication</w:t>
      </w:r>
    </w:p>
    <w:p w14:paraId="5AC5B7AA" w14:textId="2F8B676B" w:rsidR="00446DF1" w:rsidRDefault="00446DF1" w:rsidP="00C653A4"/>
    <w:p w14:paraId="0B1BEE5D" w14:textId="53A5BF37" w:rsidR="009F7FC7" w:rsidRDefault="00446DF1" w:rsidP="00C653A4">
      <w:pPr>
        <w:rPr>
          <w:sz w:val="22"/>
          <w:szCs w:val="22"/>
        </w:rPr>
      </w:pPr>
      <w:r w:rsidRPr="00C653A4">
        <w:rPr>
          <w:sz w:val="22"/>
          <w:szCs w:val="22"/>
        </w:rPr>
        <w:t xml:space="preserve">The UE </w:t>
      </w:r>
      <w:r>
        <w:rPr>
          <w:sz w:val="22"/>
          <w:szCs w:val="22"/>
        </w:rPr>
        <w:t xml:space="preserve">can </w:t>
      </w:r>
      <w:r w:rsidRPr="00C653A4">
        <w:rPr>
          <w:sz w:val="22"/>
          <w:szCs w:val="22"/>
        </w:rPr>
        <w:t>receive</w:t>
      </w:r>
      <w:r>
        <w:rPr>
          <w:sz w:val="22"/>
          <w:szCs w:val="22"/>
        </w:rPr>
        <w:t xml:space="preserve"> the go-to-sleep (GTS) signal in its active time and enter </w:t>
      </w:r>
      <w:commentRangeStart w:id="1"/>
      <w:commentRangeEnd w:id="1"/>
      <w:r w:rsidR="009F7FC7">
        <w:rPr>
          <w:sz w:val="22"/>
          <w:szCs w:val="22"/>
        </w:rPr>
        <w:t xml:space="preserve">micro-sleep </w:t>
      </w:r>
      <w:r w:rsidR="00134DD1">
        <w:rPr>
          <w:sz w:val="22"/>
          <w:szCs w:val="22"/>
        </w:rPr>
        <w:t xml:space="preserve">during a cDRX cycle. On receiving the </w:t>
      </w:r>
      <w:r w:rsidR="005315BA">
        <w:rPr>
          <w:sz w:val="22"/>
          <w:szCs w:val="22"/>
        </w:rPr>
        <w:t xml:space="preserve">GTS </w:t>
      </w:r>
      <w:r>
        <w:rPr>
          <w:sz w:val="22"/>
          <w:szCs w:val="22"/>
        </w:rPr>
        <w:t>indication</w:t>
      </w:r>
      <w:r w:rsidR="00134DD1">
        <w:rPr>
          <w:sz w:val="22"/>
          <w:szCs w:val="22"/>
        </w:rPr>
        <w:t xml:space="preserve">, the UE may sleep before </w:t>
      </w:r>
      <w:r w:rsidR="009F7FC7">
        <w:rPr>
          <w:sz w:val="22"/>
          <w:szCs w:val="22"/>
        </w:rPr>
        <w:t xml:space="preserve">DRX </w:t>
      </w:r>
      <w:r w:rsidR="007A5B20">
        <w:rPr>
          <w:i/>
          <w:sz w:val="22"/>
          <w:szCs w:val="22"/>
        </w:rPr>
        <w:t>i</w:t>
      </w:r>
      <w:r w:rsidR="009F7FC7" w:rsidRPr="001C71B1">
        <w:rPr>
          <w:i/>
          <w:sz w:val="22"/>
          <w:szCs w:val="22"/>
        </w:rPr>
        <w:t>nactivityTimer</w:t>
      </w:r>
      <w:r w:rsidR="009F7FC7">
        <w:rPr>
          <w:sz w:val="22"/>
          <w:szCs w:val="22"/>
        </w:rPr>
        <w:t xml:space="preserve"> expire</w:t>
      </w:r>
      <w:r w:rsidR="00134DD1">
        <w:rPr>
          <w:sz w:val="22"/>
          <w:szCs w:val="22"/>
        </w:rPr>
        <w:t>s</w:t>
      </w:r>
      <w:r w:rsidR="009F7FC7">
        <w:rPr>
          <w:sz w:val="22"/>
          <w:szCs w:val="22"/>
        </w:rPr>
        <w:t>.</w:t>
      </w:r>
      <w:r w:rsidR="00134DD1">
        <w:rPr>
          <w:sz w:val="22"/>
          <w:szCs w:val="22"/>
        </w:rPr>
        <w:t xml:space="preserve"> </w:t>
      </w:r>
      <w:r w:rsidR="00334B00">
        <w:rPr>
          <w:sz w:val="22"/>
          <w:szCs w:val="22"/>
        </w:rPr>
        <w:t xml:space="preserve">Figure 1 shows the concept of GTS indication wherein the UE receives a GTS indication from the gNB in its </w:t>
      </w:r>
      <w:r w:rsidR="007A5B20" w:rsidRPr="007A5B20">
        <w:rPr>
          <w:i/>
          <w:sz w:val="22"/>
          <w:szCs w:val="22"/>
        </w:rPr>
        <w:t>i</w:t>
      </w:r>
      <w:r w:rsidR="00334B00" w:rsidRPr="007A5B20">
        <w:rPr>
          <w:i/>
          <w:sz w:val="22"/>
          <w:szCs w:val="22"/>
        </w:rPr>
        <w:t>nactivityTimer</w:t>
      </w:r>
      <w:r w:rsidR="00334B00">
        <w:rPr>
          <w:sz w:val="22"/>
          <w:szCs w:val="22"/>
        </w:rPr>
        <w:t xml:space="preserve"> duration and goes to sleep before the timer expires.</w:t>
      </w:r>
    </w:p>
    <w:p w14:paraId="4CEC529E" w14:textId="3C4E1558" w:rsidR="008F4B61" w:rsidRDefault="008F4B61" w:rsidP="009F7FC7">
      <w:pPr>
        <w:tabs>
          <w:tab w:val="left" w:pos="720"/>
        </w:tabs>
        <w:rPr>
          <w:sz w:val="22"/>
          <w:szCs w:val="22"/>
        </w:rPr>
      </w:pPr>
    </w:p>
    <w:p w14:paraId="1A959694" w14:textId="5B9B4ACD" w:rsidR="0096755A" w:rsidRDefault="00DF74EB" w:rsidP="00DB511A">
      <w:pPr>
        <w:tabs>
          <w:tab w:val="left" w:pos="720"/>
        </w:tabs>
        <w:jc w:val="center"/>
      </w:pPr>
      <w:r>
        <w:object w:dxaOrig="6263" w:dyaOrig="3833" w14:anchorId="52157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191.55pt" o:ole="">
            <v:imagedata r:id="rId11" o:title=""/>
          </v:shape>
          <o:OLEObject Type="Embed" ProgID="Visio.Drawing.15" ShapeID="_x0000_i1025" DrawAspect="Content" ObjectID="_1627495807" r:id="rId12"/>
        </w:object>
      </w:r>
    </w:p>
    <w:p w14:paraId="2B2D6FDF" w14:textId="77777777" w:rsidR="00DB511A" w:rsidRDefault="00DB511A" w:rsidP="00DB511A">
      <w:pPr>
        <w:tabs>
          <w:tab w:val="left" w:pos="720"/>
        </w:tabs>
        <w:jc w:val="center"/>
        <w:rPr>
          <w:sz w:val="22"/>
          <w:szCs w:val="22"/>
        </w:rPr>
      </w:pPr>
    </w:p>
    <w:p w14:paraId="2711A2B3" w14:textId="64AAE6BA" w:rsidR="0096755A" w:rsidRPr="0096755A" w:rsidRDefault="0096755A" w:rsidP="005B41DB">
      <w:pPr>
        <w:pStyle w:val="Caption"/>
        <w:spacing w:before="240" w:after="240"/>
        <w:jc w:val="center"/>
        <w:rPr>
          <w:rFonts w:eastAsia="Batang"/>
          <w:b/>
          <w:i w:val="0"/>
          <w:color w:val="000000" w:themeColor="text1"/>
          <w:sz w:val="22"/>
          <w:szCs w:val="22"/>
          <w:lang w:val="en-US" w:eastAsia="ko-KR"/>
        </w:rPr>
      </w:pPr>
      <w:bookmarkStart w:id="2" w:name="_Ref957435"/>
      <w:r w:rsidRPr="005F2C48">
        <w:rPr>
          <w:b/>
          <w:i w:val="0"/>
          <w:color w:val="000000" w:themeColor="text1"/>
          <w:sz w:val="22"/>
          <w:szCs w:val="22"/>
        </w:rPr>
        <w:t xml:space="preserve">Figure </w:t>
      </w:r>
      <w:r w:rsidRPr="005F2C48">
        <w:rPr>
          <w:b/>
          <w:i w:val="0"/>
          <w:color w:val="000000" w:themeColor="text1"/>
          <w:sz w:val="22"/>
          <w:szCs w:val="22"/>
        </w:rPr>
        <w:fldChar w:fldCharType="begin"/>
      </w:r>
      <w:r w:rsidRPr="005F2C48">
        <w:rPr>
          <w:b/>
          <w:i w:val="0"/>
          <w:color w:val="000000" w:themeColor="text1"/>
          <w:sz w:val="22"/>
          <w:szCs w:val="22"/>
        </w:rPr>
        <w:instrText xml:space="preserve"> SEQ Figure \* ARABIC </w:instrText>
      </w:r>
      <w:r w:rsidRPr="005F2C48">
        <w:rPr>
          <w:b/>
          <w:i w:val="0"/>
          <w:color w:val="000000" w:themeColor="text1"/>
          <w:sz w:val="22"/>
          <w:szCs w:val="22"/>
        </w:rPr>
        <w:fldChar w:fldCharType="separate"/>
      </w:r>
      <w:r w:rsidRPr="005F2C48">
        <w:rPr>
          <w:b/>
          <w:i w:val="0"/>
          <w:noProof/>
          <w:color w:val="000000" w:themeColor="text1"/>
          <w:sz w:val="22"/>
          <w:szCs w:val="22"/>
        </w:rPr>
        <w:t>1</w:t>
      </w:r>
      <w:r w:rsidRPr="005F2C48">
        <w:rPr>
          <w:b/>
          <w:i w:val="0"/>
          <w:color w:val="000000" w:themeColor="text1"/>
          <w:sz w:val="22"/>
          <w:szCs w:val="22"/>
        </w:rPr>
        <w:fldChar w:fldCharType="end"/>
      </w:r>
      <w:bookmarkEnd w:id="2"/>
      <w:r>
        <w:rPr>
          <w:b/>
          <w:i w:val="0"/>
          <w:color w:val="000000" w:themeColor="text1"/>
          <w:sz w:val="22"/>
          <w:szCs w:val="22"/>
        </w:rPr>
        <w:t xml:space="preserve"> UE goes to sleep on receiving a GTS indication </w:t>
      </w:r>
      <w:r w:rsidR="00B04690">
        <w:rPr>
          <w:b/>
          <w:i w:val="0"/>
          <w:color w:val="000000" w:themeColor="text1"/>
          <w:sz w:val="22"/>
          <w:szCs w:val="22"/>
        </w:rPr>
        <w:t>before the</w:t>
      </w:r>
      <w:r>
        <w:rPr>
          <w:b/>
          <w:i w:val="0"/>
          <w:color w:val="000000" w:themeColor="text1"/>
          <w:sz w:val="22"/>
          <w:szCs w:val="22"/>
        </w:rPr>
        <w:t xml:space="preserve"> </w:t>
      </w:r>
      <w:r w:rsidRPr="00DB511A">
        <w:rPr>
          <w:b/>
          <w:color w:val="000000" w:themeColor="text1"/>
          <w:sz w:val="22"/>
          <w:szCs w:val="22"/>
        </w:rPr>
        <w:t>inactivityTimer</w:t>
      </w:r>
      <w:r>
        <w:rPr>
          <w:b/>
          <w:i w:val="0"/>
          <w:color w:val="000000" w:themeColor="text1"/>
          <w:sz w:val="22"/>
          <w:szCs w:val="22"/>
        </w:rPr>
        <w:t xml:space="preserve"> </w:t>
      </w:r>
      <w:r w:rsidR="00B04690">
        <w:rPr>
          <w:b/>
          <w:i w:val="0"/>
          <w:color w:val="000000" w:themeColor="text1"/>
          <w:sz w:val="22"/>
          <w:szCs w:val="22"/>
        </w:rPr>
        <w:t>expires</w:t>
      </w:r>
    </w:p>
    <w:p w14:paraId="046EC045" w14:textId="77777777" w:rsidR="005B41DB" w:rsidRDefault="005B41DB" w:rsidP="009F7FC7">
      <w:pPr>
        <w:tabs>
          <w:tab w:val="left" w:pos="720"/>
        </w:tabs>
        <w:rPr>
          <w:sz w:val="22"/>
          <w:szCs w:val="22"/>
        </w:rPr>
      </w:pPr>
    </w:p>
    <w:p w14:paraId="01F9E3CE" w14:textId="152D42F7" w:rsidR="008F4B61" w:rsidRDefault="008F4B61" w:rsidP="009F7FC7">
      <w:pPr>
        <w:tabs>
          <w:tab w:val="left" w:pos="720"/>
        </w:tabs>
        <w:rPr>
          <w:sz w:val="22"/>
          <w:szCs w:val="22"/>
        </w:rPr>
      </w:pPr>
      <w:r>
        <w:rPr>
          <w:sz w:val="22"/>
          <w:szCs w:val="22"/>
        </w:rPr>
        <w:t xml:space="preserve">The gNB may send a GTS indication to a UE when it does not have DL data to transmit to the UE. As the DRX configuration is </w:t>
      </w:r>
      <w:r w:rsidR="005315BA">
        <w:rPr>
          <w:sz w:val="22"/>
          <w:szCs w:val="22"/>
        </w:rPr>
        <w:t>UE-</w:t>
      </w:r>
      <w:r>
        <w:rPr>
          <w:sz w:val="22"/>
          <w:szCs w:val="22"/>
        </w:rPr>
        <w:t>specific and the traffic to a UE is dependent o</w:t>
      </w:r>
      <w:r w:rsidR="00B017B9">
        <w:rPr>
          <w:sz w:val="22"/>
          <w:szCs w:val="22"/>
        </w:rPr>
        <w:t>n</w:t>
      </w:r>
      <w:r>
        <w:rPr>
          <w:sz w:val="22"/>
          <w:szCs w:val="22"/>
        </w:rPr>
        <w:t xml:space="preserve"> its application, a UE-specific GTS indication</w:t>
      </w:r>
      <w:r w:rsidR="00446B6B">
        <w:rPr>
          <w:sz w:val="22"/>
          <w:szCs w:val="22"/>
        </w:rPr>
        <w:t xml:space="preserve"> through an existing scheduling DCI format may be supported.</w:t>
      </w:r>
      <w:r w:rsidR="004F5F55">
        <w:rPr>
          <w:sz w:val="22"/>
          <w:szCs w:val="22"/>
        </w:rPr>
        <w:t xml:space="preserve"> </w:t>
      </w:r>
      <w:r w:rsidR="00227377">
        <w:rPr>
          <w:sz w:val="22"/>
          <w:szCs w:val="22"/>
        </w:rPr>
        <w:t>It may be sufficient to use n</w:t>
      </w:r>
      <w:r w:rsidR="004F5F55">
        <w:rPr>
          <w:sz w:val="22"/>
          <w:szCs w:val="22"/>
        </w:rPr>
        <w:t>on-fallback</w:t>
      </w:r>
      <w:r w:rsidR="00446B6B">
        <w:rPr>
          <w:sz w:val="22"/>
          <w:szCs w:val="22"/>
        </w:rPr>
        <w:t xml:space="preserve"> </w:t>
      </w:r>
      <w:r w:rsidR="004F5F55">
        <w:rPr>
          <w:sz w:val="22"/>
          <w:szCs w:val="22"/>
        </w:rPr>
        <w:t xml:space="preserve">DCI </w:t>
      </w:r>
      <w:r w:rsidR="00227377">
        <w:rPr>
          <w:sz w:val="22"/>
          <w:szCs w:val="22"/>
        </w:rPr>
        <w:t>formats for indicating GTS to avoid specification impact to the fallback DCI.</w:t>
      </w:r>
    </w:p>
    <w:p w14:paraId="67E6E56D" w14:textId="5BF286CC" w:rsidR="00B017B9" w:rsidRPr="002E5481" w:rsidRDefault="00B017B9" w:rsidP="005B41DB">
      <w:pPr>
        <w:tabs>
          <w:tab w:val="left" w:pos="720"/>
        </w:tabs>
        <w:spacing w:before="240" w:after="240"/>
        <w:rPr>
          <w:b/>
          <w:i/>
          <w:sz w:val="22"/>
          <w:szCs w:val="22"/>
        </w:rPr>
      </w:pPr>
      <w:r w:rsidRPr="002E5481">
        <w:rPr>
          <w:b/>
          <w:i/>
          <w:sz w:val="22"/>
          <w:szCs w:val="22"/>
        </w:rPr>
        <w:t xml:space="preserve">Proposal 1: GTS indication </w:t>
      </w:r>
      <w:r w:rsidR="00227377">
        <w:rPr>
          <w:b/>
          <w:i/>
          <w:sz w:val="22"/>
          <w:szCs w:val="22"/>
        </w:rPr>
        <w:t>through non-fallback DCI formats may be supported</w:t>
      </w:r>
      <w:r w:rsidRPr="002E5481">
        <w:rPr>
          <w:b/>
          <w:i/>
          <w:sz w:val="22"/>
          <w:szCs w:val="22"/>
        </w:rPr>
        <w:t>.</w:t>
      </w:r>
    </w:p>
    <w:p w14:paraId="0D43CF4C" w14:textId="340033A0" w:rsidR="00496406" w:rsidRDefault="00334B00" w:rsidP="00496406">
      <w:pPr>
        <w:tabs>
          <w:tab w:val="left" w:pos="720"/>
        </w:tabs>
        <w:spacing w:after="120"/>
        <w:rPr>
          <w:rFonts w:eastAsia="Batang"/>
          <w:sz w:val="22"/>
          <w:szCs w:val="22"/>
          <w:lang w:val="en-US" w:eastAsia="ko-KR"/>
        </w:rPr>
      </w:pPr>
      <w:r>
        <w:rPr>
          <w:rFonts w:eastAsia="Batang"/>
          <w:sz w:val="22"/>
          <w:szCs w:val="22"/>
          <w:lang w:val="en-US" w:eastAsia="ko-KR"/>
        </w:rPr>
        <w:t>It would be beneficial to reuse an existing DCI with no modification</w:t>
      </w:r>
      <w:r w:rsidR="003971DE">
        <w:rPr>
          <w:rFonts w:eastAsia="Batang"/>
          <w:sz w:val="22"/>
          <w:szCs w:val="22"/>
          <w:lang w:val="en-US" w:eastAsia="ko-KR"/>
        </w:rPr>
        <w:t>s</w:t>
      </w:r>
      <w:r>
        <w:rPr>
          <w:rFonts w:eastAsia="Batang"/>
          <w:sz w:val="22"/>
          <w:szCs w:val="22"/>
          <w:lang w:val="en-US" w:eastAsia="ko-KR"/>
        </w:rPr>
        <w:t xml:space="preserve"> or with minimal additional fields to indicate the GTS. For example, format 1_1 based DCI may provide a GTS indication in </w:t>
      </w:r>
      <w:r w:rsidR="00046FFD">
        <w:rPr>
          <w:rFonts w:eastAsia="Batang"/>
          <w:sz w:val="22"/>
          <w:szCs w:val="22"/>
          <w:lang w:val="en-US" w:eastAsia="ko-KR"/>
        </w:rPr>
        <w:t xml:space="preserve">a </w:t>
      </w:r>
      <w:commentRangeStart w:id="3"/>
      <w:commentRangeStart w:id="4"/>
      <w:commentRangeEnd w:id="3"/>
      <w:commentRangeEnd w:id="4"/>
      <w:r>
        <w:rPr>
          <w:rFonts w:eastAsia="Batang"/>
          <w:sz w:val="22"/>
          <w:szCs w:val="22"/>
          <w:lang w:val="en-US" w:eastAsia="ko-KR"/>
        </w:rPr>
        <w:t>DL grant</w:t>
      </w:r>
      <w:r w:rsidR="007D6E9B">
        <w:rPr>
          <w:rFonts w:eastAsia="Batang"/>
          <w:sz w:val="22"/>
          <w:szCs w:val="22"/>
          <w:lang w:val="en-US" w:eastAsia="ko-KR"/>
        </w:rPr>
        <w:t xml:space="preserve"> with</w:t>
      </w:r>
      <w:r w:rsidR="00CF325F">
        <w:rPr>
          <w:rFonts w:eastAsia="Batang"/>
          <w:sz w:val="22"/>
          <w:szCs w:val="22"/>
          <w:lang w:val="en-US" w:eastAsia="ko-KR"/>
        </w:rPr>
        <w:t xml:space="preserve"> e</w:t>
      </w:r>
      <w:r>
        <w:rPr>
          <w:rFonts w:eastAsia="Batang"/>
          <w:sz w:val="22"/>
          <w:szCs w:val="22"/>
          <w:lang w:val="en-US" w:eastAsia="ko-KR"/>
        </w:rPr>
        <w:t>ither an additional field</w:t>
      </w:r>
      <w:r w:rsidR="00496406">
        <w:rPr>
          <w:rFonts w:eastAsia="Batang"/>
          <w:sz w:val="22"/>
          <w:szCs w:val="22"/>
          <w:lang w:val="en-US" w:eastAsia="ko-KR"/>
        </w:rPr>
        <w:t xml:space="preserve">, e.g. “GTS”, </w:t>
      </w:r>
      <w:r>
        <w:rPr>
          <w:rFonts w:eastAsia="Batang"/>
          <w:sz w:val="22"/>
          <w:szCs w:val="22"/>
          <w:lang w:val="en-US" w:eastAsia="ko-KR"/>
        </w:rPr>
        <w:t xml:space="preserve">introduced in the DCI or the existing </w:t>
      </w:r>
      <w:r w:rsidR="00CF325F">
        <w:rPr>
          <w:rFonts w:eastAsia="Batang"/>
          <w:sz w:val="22"/>
          <w:szCs w:val="22"/>
          <w:lang w:val="en-US" w:eastAsia="ko-KR"/>
        </w:rPr>
        <w:t xml:space="preserve">unused bit(s). For example, </w:t>
      </w:r>
      <w:r w:rsidR="00496406">
        <w:rPr>
          <w:rFonts w:eastAsia="Batang"/>
          <w:sz w:val="22"/>
          <w:szCs w:val="22"/>
          <w:lang w:val="en-US" w:eastAsia="ko-KR"/>
        </w:rPr>
        <w:t xml:space="preserve">the </w:t>
      </w:r>
      <w:r w:rsidR="00CF325F">
        <w:rPr>
          <w:rFonts w:eastAsia="Batang"/>
          <w:sz w:val="22"/>
          <w:szCs w:val="22"/>
          <w:lang w:val="en-US" w:eastAsia="ko-KR"/>
        </w:rPr>
        <w:t xml:space="preserve">bit(s) of </w:t>
      </w:r>
      <w:r w:rsidR="00604A92">
        <w:rPr>
          <w:rFonts w:eastAsia="Batang"/>
          <w:sz w:val="22"/>
          <w:szCs w:val="22"/>
          <w:lang w:val="en-US" w:eastAsia="ko-KR"/>
        </w:rPr>
        <w:t xml:space="preserve">‘bandwidth part indicator’ (BWPI) </w:t>
      </w:r>
      <w:r>
        <w:rPr>
          <w:rFonts w:eastAsia="Batang"/>
          <w:sz w:val="22"/>
          <w:szCs w:val="22"/>
          <w:lang w:val="en-US" w:eastAsia="ko-KR"/>
        </w:rPr>
        <w:t xml:space="preserve">field may be re-purposed to indicate the GTS </w:t>
      </w:r>
      <w:r w:rsidR="00CF325F">
        <w:rPr>
          <w:rFonts w:eastAsia="Batang"/>
          <w:sz w:val="22"/>
          <w:szCs w:val="22"/>
          <w:lang w:val="en-US" w:eastAsia="ko-KR"/>
        </w:rPr>
        <w:t xml:space="preserve">if </w:t>
      </w:r>
      <w:r w:rsidR="00604A92">
        <w:rPr>
          <w:rFonts w:eastAsia="Batang"/>
          <w:sz w:val="22"/>
          <w:szCs w:val="22"/>
          <w:lang w:val="en-US" w:eastAsia="ko-KR"/>
        </w:rPr>
        <w:t xml:space="preserve">there are extra unused </w:t>
      </w:r>
      <w:r w:rsidR="00CF325F">
        <w:rPr>
          <w:rFonts w:eastAsia="Batang"/>
          <w:sz w:val="22"/>
          <w:szCs w:val="22"/>
          <w:lang w:val="en-US" w:eastAsia="ko-KR"/>
        </w:rPr>
        <w:t>bit</w:t>
      </w:r>
      <w:r w:rsidR="00604A92">
        <w:rPr>
          <w:rFonts w:eastAsia="Batang"/>
          <w:sz w:val="22"/>
          <w:szCs w:val="22"/>
          <w:lang w:val="en-US" w:eastAsia="ko-KR"/>
        </w:rPr>
        <w:t>s of the BWPI field</w:t>
      </w:r>
      <w:r w:rsidR="00CF325F">
        <w:rPr>
          <w:rFonts w:eastAsia="Batang"/>
          <w:sz w:val="22"/>
          <w:szCs w:val="22"/>
          <w:lang w:val="en-US" w:eastAsia="ko-KR"/>
        </w:rPr>
        <w:t>, i.e. a repurposed field</w:t>
      </w:r>
      <w:r w:rsidR="004D76CA">
        <w:rPr>
          <w:rFonts w:eastAsia="Batang"/>
          <w:sz w:val="22"/>
          <w:szCs w:val="22"/>
          <w:lang w:val="en-US" w:eastAsia="ko-KR"/>
        </w:rPr>
        <w:t xml:space="preserve"> </w:t>
      </w:r>
      <w:r w:rsidR="00CF325F">
        <w:rPr>
          <w:rFonts w:eastAsia="Batang"/>
          <w:sz w:val="22"/>
          <w:szCs w:val="22"/>
          <w:lang w:val="en-US" w:eastAsia="ko-KR"/>
        </w:rPr>
        <w:t>“</w:t>
      </w:r>
      <w:r w:rsidR="004D76CA">
        <w:rPr>
          <w:rFonts w:eastAsia="Batang"/>
          <w:sz w:val="22"/>
          <w:szCs w:val="22"/>
          <w:lang w:val="en-US" w:eastAsia="ko-KR"/>
        </w:rPr>
        <w:t>GTS-BWPI</w:t>
      </w:r>
      <w:r w:rsidR="00CF325F">
        <w:rPr>
          <w:rFonts w:eastAsia="Batang"/>
          <w:sz w:val="22"/>
          <w:szCs w:val="22"/>
          <w:lang w:val="en-US" w:eastAsia="ko-KR"/>
        </w:rPr>
        <w:t>”</w:t>
      </w:r>
      <w:r w:rsidR="00604A92">
        <w:rPr>
          <w:rFonts w:eastAsia="Batang"/>
          <w:sz w:val="22"/>
          <w:szCs w:val="22"/>
          <w:lang w:val="en-US" w:eastAsia="ko-KR"/>
        </w:rPr>
        <w:t>.</w:t>
      </w:r>
      <w:r w:rsidR="004D76CA">
        <w:rPr>
          <w:rFonts w:eastAsia="Batang"/>
          <w:sz w:val="22"/>
          <w:szCs w:val="22"/>
          <w:lang w:val="en-US" w:eastAsia="ko-KR"/>
        </w:rPr>
        <w:t xml:space="preserve"> </w:t>
      </w:r>
      <w:r w:rsidR="00AD4114">
        <w:rPr>
          <w:rFonts w:eastAsia="Batang"/>
          <w:sz w:val="22"/>
          <w:szCs w:val="22"/>
          <w:lang w:val="en-US" w:eastAsia="ko-KR"/>
        </w:rPr>
        <w:t>Figure 2 shows that the DCI providing the PDSCH grant itself indicates the GTS information.</w:t>
      </w:r>
    </w:p>
    <w:p w14:paraId="281C7948" w14:textId="16E69350" w:rsidR="00AD4114" w:rsidRDefault="00DF74EB" w:rsidP="002F593C">
      <w:pPr>
        <w:tabs>
          <w:tab w:val="left" w:pos="720"/>
        </w:tabs>
        <w:spacing w:after="120"/>
        <w:jc w:val="center"/>
        <w:rPr>
          <w:rFonts w:eastAsia="Batang"/>
          <w:sz w:val="22"/>
          <w:szCs w:val="22"/>
          <w:lang w:val="en-US" w:eastAsia="ko-KR"/>
        </w:rPr>
      </w:pPr>
      <w:r>
        <w:object w:dxaOrig="6263" w:dyaOrig="3834" w14:anchorId="4C027F9D">
          <v:shape id="_x0000_i1026" type="#_x0000_t75" style="width:313.15pt;height:191.55pt" o:ole="">
            <v:imagedata r:id="rId13" o:title=""/>
          </v:shape>
          <o:OLEObject Type="Embed" ProgID="Visio.Drawing.15" ShapeID="_x0000_i1026" DrawAspect="Content" ObjectID="_1627495808" r:id="rId14"/>
        </w:object>
      </w:r>
    </w:p>
    <w:p w14:paraId="229FEAA4" w14:textId="022A2ABD" w:rsidR="00AD4114" w:rsidRPr="002F593C" w:rsidRDefault="00DF74EB" w:rsidP="005B41DB">
      <w:pPr>
        <w:pStyle w:val="Caption"/>
        <w:spacing w:before="240" w:after="240"/>
        <w:jc w:val="center"/>
        <w:rPr>
          <w:rFonts w:eastAsia="Batang"/>
          <w:b/>
          <w:color w:val="000000" w:themeColor="text1"/>
          <w:sz w:val="22"/>
          <w:szCs w:val="22"/>
          <w:lang w:val="en-US" w:eastAsia="ko-KR"/>
        </w:rPr>
      </w:pPr>
      <w:r w:rsidRPr="005F2C48">
        <w:rPr>
          <w:b/>
          <w:i w:val="0"/>
          <w:color w:val="000000" w:themeColor="text1"/>
          <w:sz w:val="22"/>
          <w:szCs w:val="22"/>
        </w:rPr>
        <w:t xml:space="preserve">Figure </w:t>
      </w:r>
      <w:r>
        <w:rPr>
          <w:b/>
          <w:i w:val="0"/>
          <w:color w:val="000000" w:themeColor="text1"/>
          <w:sz w:val="22"/>
          <w:szCs w:val="22"/>
        </w:rPr>
        <w:t xml:space="preserve">2 UE receives GTS indication </w:t>
      </w:r>
      <w:r w:rsidR="00D63CCC">
        <w:rPr>
          <w:b/>
          <w:i w:val="0"/>
          <w:color w:val="000000" w:themeColor="text1"/>
          <w:sz w:val="22"/>
          <w:szCs w:val="22"/>
        </w:rPr>
        <w:t>from</w:t>
      </w:r>
      <w:r>
        <w:rPr>
          <w:b/>
          <w:i w:val="0"/>
          <w:color w:val="000000" w:themeColor="text1"/>
          <w:sz w:val="22"/>
          <w:szCs w:val="22"/>
        </w:rPr>
        <w:t xml:space="preserve"> the PDSCH grant</w:t>
      </w:r>
    </w:p>
    <w:p w14:paraId="0A8A2838" w14:textId="26B633FB" w:rsidR="00B017B9" w:rsidRDefault="004D76CA" w:rsidP="00496406">
      <w:pPr>
        <w:tabs>
          <w:tab w:val="left" w:pos="720"/>
        </w:tabs>
        <w:spacing w:after="120"/>
        <w:rPr>
          <w:rFonts w:eastAsia="Batang"/>
          <w:sz w:val="22"/>
          <w:szCs w:val="22"/>
          <w:lang w:val="en-US" w:eastAsia="ko-KR"/>
        </w:rPr>
      </w:pPr>
      <w:r>
        <w:rPr>
          <w:rFonts w:eastAsia="Batang"/>
          <w:sz w:val="22"/>
          <w:szCs w:val="22"/>
          <w:lang w:val="en-US" w:eastAsia="ko-KR"/>
        </w:rPr>
        <w:lastRenderedPageBreak/>
        <w:t xml:space="preserve">When the UE identifies the </w:t>
      </w:r>
      <w:r w:rsidR="00496406">
        <w:rPr>
          <w:rFonts w:eastAsia="Batang"/>
          <w:sz w:val="22"/>
          <w:szCs w:val="22"/>
          <w:lang w:val="en-US" w:eastAsia="ko-KR"/>
        </w:rPr>
        <w:t>“GTS” or “</w:t>
      </w:r>
      <w:r>
        <w:rPr>
          <w:rFonts w:eastAsia="Batang"/>
          <w:sz w:val="22"/>
          <w:szCs w:val="22"/>
          <w:lang w:val="en-US" w:eastAsia="ko-KR"/>
        </w:rPr>
        <w:t>GTS-</w:t>
      </w:r>
      <w:r w:rsidR="00105F8D">
        <w:rPr>
          <w:rFonts w:eastAsia="Batang"/>
          <w:sz w:val="22"/>
          <w:szCs w:val="22"/>
          <w:lang w:val="en-US" w:eastAsia="ko-KR"/>
        </w:rPr>
        <w:t>BWPI</w:t>
      </w:r>
      <w:r w:rsidR="00496406">
        <w:rPr>
          <w:rFonts w:eastAsia="Batang"/>
          <w:sz w:val="22"/>
          <w:szCs w:val="22"/>
          <w:lang w:val="en-US" w:eastAsia="ko-KR"/>
        </w:rPr>
        <w:t>”</w:t>
      </w:r>
      <w:r>
        <w:rPr>
          <w:rFonts w:eastAsia="Batang"/>
          <w:sz w:val="22"/>
          <w:szCs w:val="22"/>
          <w:lang w:val="en-US" w:eastAsia="ko-KR"/>
        </w:rPr>
        <w:t xml:space="preserve"> in the DCI, it may assume that the grant is for its current BWP and may go to sleep</w:t>
      </w:r>
      <w:r w:rsidR="005F2EB8">
        <w:rPr>
          <w:rFonts w:eastAsia="Batang"/>
          <w:sz w:val="22"/>
          <w:szCs w:val="22"/>
          <w:lang w:val="en-US" w:eastAsia="ko-KR"/>
        </w:rPr>
        <w:t xml:space="preserve"> </w:t>
      </w:r>
      <w:r>
        <w:rPr>
          <w:rFonts w:eastAsia="Batang"/>
          <w:sz w:val="22"/>
          <w:szCs w:val="22"/>
          <w:lang w:val="en-US" w:eastAsia="ko-KR"/>
        </w:rPr>
        <w:t xml:space="preserve">even </w:t>
      </w:r>
      <w:r w:rsidR="005F2EB8">
        <w:rPr>
          <w:rFonts w:eastAsia="Batang"/>
          <w:sz w:val="22"/>
          <w:szCs w:val="22"/>
          <w:lang w:val="en-US" w:eastAsia="ko-KR"/>
        </w:rPr>
        <w:t xml:space="preserve">if </w:t>
      </w:r>
      <w:r>
        <w:rPr>
          <w:rFonts w:eastAsia="Batang"/>
          <w:sz w:val="22"/>
          <w:szCs w:val="22"/>
          <w:lang w:val="en-US" w:eastAsia="ko-KR"/>
        </w:rPr>
        <w:t xml:space="preserve">its </w:t>
      </w:r>
      <w:r w:rsidR="0016417F" w:rsidRPr="0016417F">
        <w:rPr>
          <w:rFonts w:eastAsia="Batang"/>
          <w:i/>
          <w:sz w:val="22"/>
          <w:szCs w:val="22"/>
          <w:lang w:val="en-US" w:eastAsia="ko-KR"/>
        </w:rPr>
        <w:t>I</w:t>
      </w:r>
      <w:r w:rsidRPr="0016417F">
        <w:rPr>
          <w:rFonts w:eastAsia="Batang"/>
          <w:i/>
          <w:sz w:val="22"/>
          <w:szCs w:val="22"/>
          <w:lang w:val="en-US" w:eastAsia="ko-KR"/>
        </w:rPr>
        <w:t>nactivityTimer</w:t>
      </w:r>
      <w:r>
        <w:rPr>
          <w:rFonts w:eastAsia="Batang"/>
          <w:sz w:val="22"/>
          <w:szCs w:val="22"/>
          <w:lang w:val="en-US" w:eastAsia="ko-KR"/>
        </w:rPr>
        <w:t xml:space="preserve"> is still running.</w:t>
      </w:r>
      <w:r w:rsidR="00FD23B1">
        <w:rPr>
          <w:rFonts w:eastAsia="Batang"/>
          <w:sz w:val="22"/>
          <w:szCs w:val="22"/>
          <w:lang w:val="en-US" w:eastAsia="ko-KR"/>
        </w:rPr>
        <w:t xml:space="preserve"> </w:t>
      </w:r>
      <w:r w:rsidR="00BB0723">
        <w:rPr>
          <w:rFonts w:eastAsia="Batang"/>
          <w:sz w:val="22"/>
          <w:szCs w:val="22"/>
          <w:lang w:val="en-US" w:eastAsia="ko-KR"/>
        </w:rPr>
        <w:t>The duration of sleep may be until the next ON Duration of the cDRX cycle or may be configured to the UE</w:t>
      </w:r>
      <w:r w:rsidR="005C5FA0">
        <w:rPr>
          <w:rFonts w:eastAsia="Batang"/>
          <w:sz w:val="22"/>
          <w:szCs w:val="22"/>
          <w:lang w:val="en-US" w:eastAsia="ko-KR"/>
        </w:rPr>
        <w:t xml:space="preserve"> by the gNB</w:t>
      </w:r>
      <w:r w:rsidR="00BB0723">
        <w:rPr>
          <w:rFonts w:eastAsia="Batang"/>
          <w:sz w:val="22"/>
          <w:szCs w:val="22"/>
          <w:lang w:val="en-US" w:eastAsia="ko-KR"/>
        </w:rPr>
        <w:t>.</w:t>
      </w:r>
    </w:p>
    <w:p w14:paraId="090AE860" w14:textId="27D2D5EF" w:rsidR="00D0176C" w:rsidRPr="002E5481" w:rsidRDefault="00496406" w:rsidP="005B41DB">
      <w:pPr>
        <w:tabs>
          <w:tab w:val="left" w:pos="720"/>
        </w:tabs>
        <w:spacing w:before="240" w:after="240"/>
        <w:rPr>
          <w:b/>
          <w:i/>
          <w:sz w:val="22"/>
          <w:szCs w:val="22"/>
        </w:rPr>
      </w:pPr>
      <w:r>
        <w:rPr>
          <w:b/>
          <w:i/>
          <w:sz w:val="22"/>
          <w:szCs w:val="22"/>
        </w:rPr>
        <w:t xml:space="preserve">Proposal </w:t>
      </w:r>
      <w:r w:rsidR="00A91137">
        <w:rPr>
          <w:b/>
          <w:i/>
          <w:sz w:val="22"/>
          <w:szCs w:val="22"/>
        </w:rPr>
        <w:t>2</w:t>
      </w:r>
      <w:r>
        <w:rPr>
          <w:b/>
          <w:i/>
          <w:sz w:val="22"/>
          <w:szCs w:val="22"/>
        </w:rPr>
        <w:t xml:space="preserve">: </w:t>
      </w:r>
      <w:r w:rsidR="00D0176C" w:rsidRPr="002E5481">
        <w:rPr>
          <w:b/>
          <w:i/>
          <w:sz w:val="22"/>
          <w:szCs w:val="22"/>
        </w:rPr>
        <w:t xml:space="preserve">Consider repurposing existing </w:t>
      </w:r>
      <w:r w:rsidR="002D343C" w:rsidRPr="002E5481">
        <w:rPr>
          <w:b/>
          <w:i/>
          <w:sz w:val="22"/>
          <w:szCs w:val="22"/>
        </w:rPr>
        <w:t>field</w:t>
      </w:r>
      <w:r w:rsidR="002D343C">
        <w:rPr>
          <w:b/>
          <w:i/>
          <w:sz w:val="22"/>
          <w:szCs w:val="22"/>
        </w:rPr>
        <w:t xml:space="preserve"> (BWPI)</w:t>
      </w:r>
      <w:r w:rsidR="002D343C" w:rsidRPr="002E5481">
        <w:rPr>
          <w:b/>
          <w:i/>
          <w:sz w:val="22"/>
          <w:szCs w:val="22"/>
        </w:rPr>
        <w:t xml:space="preserve"> </w:t>
      </w:r>
      <w:r w:rsidR="00D0176C" w:rsidRPr="002E5481">
        <w:rPr>
          <w:b/>
          <w:i/>
          <w:sz w:val="22"/>
          <w:szCs w:val="22"/>
        </w:rPr>
        <w:t>in Rel.15 DCI formats to indicate GTS signalling in order to limit the signalling overhead.</w:t>
      </w:r>
    </w:p>
    <w:p w14:paraId="16D2908E" w14:textId="5679BD6C" w:rsidR="00313332" w:rsidRDefault="00FD23B1" w:rsidP="00496406">
      <w:pPr>
        <w:spacing w:after="120"/>
      </w:pPr>
      <w:r>
        <w:t>If more</w:t>
      </w:r>
      <w:r w:rsidR="002D343C">
        <w:t xml:space="preserve"> </w:t>
      </w:r>
      <w:r w:rsidR="00F328C8">
        <w:t>than</w:t>
      </w:r>
      <w:r w:rsidR="002D343C">
        <w:t xml:space="preserve"> one</w:t>
      </w:r>
      <w:r>
        <w:t xml:space="preserve"> bit</w:t>
      </w:r>
      <w:r w:rsidR="002D343C">
        <w:t xml:space="preserve"> of information</w:t>
      </w:r>
      <w:r>
        <w:t xml:space="preserve"> </w:t>
      </w:r>
      <w:r w:rsidR="002D343C">
        <w:t>has to be indicated through the GTS</w:t>
      </w:r>
      <w:r>
        <w:t>, such as duration of sleep</w:t>
      </w:r>
      <w:r w:rsidR="005029DA">
        <w:t>, then additional fields may be introduced in the DCI.</w:t>
      </w:r>
    </w:p>
    <w:p w14:paraId="61CD1F0E" w14:textId="77777777" w:rsidR="005B41DB" w:rsidRPr="0096755A" w:rsidRDefault="005B41DB" w:rsidP="00496406">
      <w:pPr>
        <w:spacing w:after="120"/>
      </w:pPr>
    </w:p>
    <w:p w14:paraId="143E284E" w14:textId="0C4AB90A" w:rsidR="002D343C" w:rsidRPr="00254020" w:rsidRDefault="002D343C" w:rsidP="00254020">
      <w:pPr>
        <w:pStyle w:val="Heading3"/>
        <w:rPr>
          <w:b/>
        </w:rPr>
      </w:pPr>
      <w:r w:rsidRPr="00254020">
        <w:rPr>
          <w:b/>
        </w:rPr>
        <w:t>Wake-up signalling in active time</w:t>
      </w:r>
    </w:p>
    <w:p w14:paraId="29A96989" w14:textId="77777777" w:rsidR="00FA52FF" w:rsidRPr="00254020" w:rsidRDefault="00FA52FF" w:rsidP="00254020">
      <w:pPr>
        <w:rPr>
          <w:rFonts w:eastAsia="Batang"/>
          <w:sz w:val="22"/>
          <w:szCs w:val="22"/>
          <w:lang w:val="en-US" w:eastAsia="ko-KR"/>
        </w:rPr>
      </w:pPr>
    </w:p>
    <w:p w14:paraId="601CA1A1" w14:textId="258BC08A" w:rsidR="00FA52FF" w:rsidRPr="00254020" w:rsidRDefault="00FA52FF" w:rsidP="00254020">
      <w:pPr>
        <w:rPr>
          <w:rFonts w:eastAsia="Batang"/>
          <w:sz w:val="22"/>
          <w:szCs w:val="22"/>
          <w:lang w:val="en-US" w:eastAsia="ko-KR"/>
        </w:rPr>
      </w:pPr>
      <w:r w:rsidRPr="00254020">
        <w:rPr>
          <w:rFonts w:eastAsia="Batang"/>
          <w:sz w:val="22"/>
          <w:szCs w:val="22"/>
          <w:lang w:val="en-US" w:eastAsia="ko-KR"/>
        </w:rPr>
        <w:t>It has been agreed that the UE monitors for a power savings signal to wake up in a monitoring monitoring occasion outside the active time</w:t>
      </w:r>
      <w:r w:rsidR="00DE772C">
        <w:rPr>
          <w:rFonts w:eastAsia="Batang"/>
          <w:sz w:val="22"/>
          <w:szCs w:val="22"/>
          <w:lang w:val="en-US" w:eastAsia="ko-KR"/>
        </w:rPr>
        <w:t>, i.e.</w:t>
      </w:r>
      <w:r w:rsidRPr="00254020">
        <w:rPr>
          <w:rFonts w:eastAsia="Batang"/>
          <w:sz w:val="22"/>
          <w:szCs w:val="22"/>
          <w:lang w:val="en-US" w:eastAsia="ko-KR"/>
        </w:rPr>
        <w:t xml:space="preserve"> the outside-active-time-monitoring occasion (OATM). As shown in Figure 3, the active time of the UE </w:t>
      </w:r>
      <w:r w:rsidR="00DE772C">
        <w:rPr>
          <w:rFonts w:eastAsia="Batang"/>
          <w:sz w:val="22"/>
          <w:szCs w:val="22"/>
          <w:lang w:val="en-US" w:eastAsia="ko-KR"/>
        </w:rPr>
        <w:t xml:space="preserve">may </w:t>
      </w:r>
      <w:r w:rsidRPr="00254020">
        <w:rPr>
          <w:rFonts w:eastAsia="Batang"/>
          <w:sz w:val="22"/>
          <w:szCs w:val="22"/>
          <w:lang w:val="en-US" w:eastAsia="ko-KR"/>
        </w:rPr>
        <w:t xml:space="preserve">overlap with an OATM. Therefore, the wake-up signalling for the next On Duration </w:t>
      </w:r>
      <w:r w:rsidR="00DE772C">
        <w:rPr>
          <w:rFonts w:eastAsia="Batang"/>
          <w:sz w:val="22"/>
          <w:szCs w:val="22"/>
          <w:lang w:val="en-US" w:eastAsia="ko-KR"/>
        </w:rPr>
        <w:t xml:space="preserve">may </w:t>
      </w:r>
      <w:r w:rsidR="00D75D37">
        <w:rPr>
          <w:rFonts w:eastAsia="Batang"/>
          <w:sz w:val="22"/>
          <w:szCs w:val="22"/>
          <w:lang w:val="en-US" w:eastAsia="ko-KR"/>
        </w:rPr>
        <w:t xml:space="preserve">also </w:t>
      </w:r>
      <w:r w:rsidR="00DE772C">
        <w:rPr>
          <w:rFonts w:eastAsia="Batang"/>
          <w:sz w:val="22"/>
          <w:szCs w:val="22"/>
          <w:lang w:val="en-US" w:eastAsia="ko-KR"/>
        </w:rPr>
        <w:t>be</w:t>
      </w:r>
      <w:r w:rsidRPr="00254020">
        <w:rPr>
          <w:rFonts w:eastAsia="Batang"/>
          <w:sz w:val="22"/>
          <w:szCs w:val="22"/>
          <w:lang w:val="en-US" w:eastAsia="ko-KR"/>
        </w:rPr>
        <w:t xml:space="preserve"> </w:t>
      </w:r>
      <w:r w:rsidR="00F328C8" w:rsidRPr="00254020">
        <w:rPr>
          <w:rFonts w:eastAsia="Batang"/>
          <w:sz w:val="22"/>
          <w:szCs w:val="22"/>
          <w:lang w:val="en-US" w:eastAsia="ko-KR"/>
        </w:rPr>
        <w:t>signaled</w:t>
      </w:r>
      <w:r w:rsidRPr="00254020">
        <w:rPr>
          <w:rFonts w:eastAsia="Batang"/>
          <w:sz w:val="22"/>
          <w:szCs w:val="22"/>
          <w:lang w:val="en-US" w:eastAsia="ko-KR"/>
        </w:rPr>
        <w:t xml:space="preserve"> through the CORESETs and monitoring occasions </w:t>
      </w:r>
      <w:r w:rsidR="00DE772C">
        <w:rPr>
          <w:rFonts w:eastAsia="Batang"/>
          <w:sz w:val="22"/>
          <w:szCs w:val="22"/>
          <w:lang w:val="en-US" w:eastAsia="ko-KR"/>
        </w:rPr>
        <w:t>during</w:t>
      </w:r>
      <w:r w:rsidRPr="00254020">
        <w:rPr>
          <w:rFonts w:eastAsia="Batang"/>
          <w:sz w:val="22"/>
          <w:szCs w:val="22"/>
          <w:lang w:val="en-US" w:eastAsia="ko-KR"/>
        </w:rPr>
        <w:t xml:space="preserve"> the UE’s active time.</w:t>
      </w:r>
      <w:r w:rsidR="009D213D" w:rsidRPr="00254020">
        <w:rPr>
          <w:rFonts w:eastAsia="Batang"/>
          <w:sz w:val="22"/>
          <w:szCs w:val="22"/>
          <w:lang w:val="en-US" w:eastAsia="ko-KR"/>
        </w:rPr>
        <w:t xml:space="preserve"> Monitoring the OATM during the active time is an increased burden on the UE and </w:t>
      </w:r>
      <w:r w:rsidR="00F328C8" w:rsidRPr="00254020">
        <w:rPr>
          <w:rFonts w:eastAsia="Batang"/>
          <w:sz w:val="22"/>
          <w:szCs w:val="22"/>
          <w:lang w:val="en-US" w:eastAsia="ko-KR"/>
        </w:rPr>
        <w:t>preferably</w:t>
      </w:r>
      <w:r w:rsidR="009D213D" w:rsidRPr="00254020">
        <w:rPr>
          <w:rFonts w:eastAsia="Batang"/>
          <w:sz w:val="22"/>
          <w:szCs w:val="22"/>
          <w:lang w:val="en-US" w:eastAsia="ko-KR"/>
        </w:rPr>
        <w:t xml:space="preserve"> should be avoided.</w:t>
      </w:r>
    </w:p>
    <w:p w14:paraId="2B92849D" w14:textId="3E9208A4" w:rsidR="004F2B60" w:rsidRPr="002E5481" w:rsidRDefault="004F2B60" w:rsidP="005B41DB">
      <w:pPr>
        <w:tabs>
          <w:tab w:val="left" w:pos="720"/>
        </w:tabs>
        <w:spacing w:before="240" w:after="240"/>
        <w:rPr>
          <w:b/>
          <w:i/>
          <w:sz w:val="22"/>
          <w:szCs w:val="22"/>
        </w:rPr>
      </w:pPr>
      <w:r>
        <w:rPr>
          <w:b/>
          <w:i/>
          <w:sz w:val="22"/>
          <w:szCs w:val="22"/>
        </w:rPr>
        <w:t xml:space="preserve">Proposal </w:t>
      </w:r>
      <w:r w:rsidR="00A91137">
        <w:rPr>
          <w:b/>
          <w:i/>
          <w:sz w:val="22"/>
          <w:szCs w:val="22"/>
        </w:rPr>
        <w:t>3</w:t>
      </w:r>
      <w:r>
        <w:rPr>
          <w:b/>
          <w:i/>
          <w:sz w:val="22"/>
          <w:szCs w:val="22"/>
        </w:rPr>
        <w:t>: UE may receive wake-up signalling for the following OnDuration i</w:t>
      </w:r>
      <w:r w:rsidR="007415E4">
        <w:rPr>
          <w:b/>
          <w:i/>
          <w:sz w:val="22"/>
          <w:szCs w:val="22"/>
        </w:rPr>
        <w:t>n</w:t>
      </w:r>
      <w:r>
        <w:rPr>
          <w:b/>
          <w:i/>
          <w:sz w:val="22"/>
          <w:szCs w:val="22"/>
        </w:rPr>
        <w:t xml:space="preserve"> </w:t>
      </w:r>
      <w:r w:rsidR="007415E4">
        <w:rPr>
          <w:b/>
          <w:i/>
          <w:sz w:val="22"/>
          <w:szCs w:val="22"/>
        </w:rPr>
        <w:t>its active duration</w:t>
      </w:r>
      <w:r w:rsidRPr="002E5481">
        <w:rPr>
          <w:b/>
          <w:i/>
          <w:sz w:val="22"/>
          <w:szCs w:val="22"/>
        </w:rPr>
        <w:t>.</w:t>
      </w:r>
    </w:p>
    <w:p w14:paraId="7FD3CBF6" w14:textId="03625FD6" w:rsidR="009D213D" w:rsidRPr="002E5481" w:rsidRDefault="009D213D" w:rsidP="005B41DB">
      <w:pPr>
        <w:tabs>
          <w:tab w:val="left" w:pos="720"/>
        </w:tabs>
        <w:spacing w:before="240" w:after="240"/>
        <w:rPr>
          <w:b/>
          <w:i/>
          <w:sz w:val="22"/>
          <w:szCs w:val="22"/>
        </w:rPr>
      </w:pPr>
      <w:r>
        <w:rPr>
          <w:b/>
          <w:i/>
          <w:sz w:val="22"/>
          <w:szCs w:val="22"/>
        </w:rPr>
        <w:t xml:space="preserve">Proposal </w:t>
      </w:r>
      <w:r w:rsidR="00A91137">
        <w:rPr>
          <w:b/>
          <w:i/>
          <w:sz w:val="22"/>
          <w:szCs w:val="22"/>
        </w:rPr>
        <w:t>4</w:t>
      </w:r>
      <w:r>
        <w:rPr>
          <w:b/>
          <w:i/>
          <w:sz w:val="22"/>
          <w:szCs w:val="22"/>
        </w:rPr>
        <w:t>: UE may not monitor the the OATM during its active time</w:t>
      </w:r>
      <w:r w:rsidRPr="002E5481">
        <w:rPr>
          <w:b/>
          <w:i/>
          <w:sz w:val="22"/>
          <w:szCs w:val="22"/>
        </w:rPr>
        <w:t>.</w:t>
      </w:r>
    </w:p>
    <w:p w14:paraId="2D0B4A34" w14:textId="77777777" w:rsidR="004F2B60" w:rsidRDefault="004F2B60" w:rsidP="00DE772C"/>
    <w:p w14:paraId="2D4F2C86" w14:textId="726C357A" w:rsidR="00B0381A" w:rsidRDefault="005B41DB" w:rsidP="00DE772C">
      <w:pPr>
        <w:jc w:val="center"/>
      </w:pPr>
      <w:r w:rsidRPr="005B41DB">
        <w:drawing>
          <wp:inline distT="0" distB="0" distL="0" distR="0" wp14:anchorId="1645BA4D" wp14:editId="0828FBD6">
            <wp:extent cx="6288656" cy="1871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5">
                      <a:extLst>
                        <a:ext uri="{28A0092B-C50C-407E-A947-70E740481C1C}">
                          <a14:useLocalDpi xmlns:a14="http://schemas.microsoft.com/office/drawing/2010/main" val="0"/>
                        </a:ext>
                      </a:extLst>
                    </a:blip>
                    <a:srcRect l="690" r="987"/>
                    <a:stretch/>
                  </pic:blipFill>
                  <pic:spPr bwMode="auto">
                    <a:xfrm>
                      <a:off x="0" y="0"/>
                      <a:ext cx="6300129" cy="1874509"/>
                    </a:xfrm>
                    <a:prstGeom prst="rect">
                      <a:avLst/>
                    </a:prstGeom>
                    <a:noFill/>
                    <a:ln>
                      <a:noFill/>
                    </a:ln>
                    <a:extLst>
                      <a:ext uri="{53640926-AAD7-44D8-BBD7-CCE9431645EC}">
                        <a14:shadowObscured xmlns:a14="http://schemas.microsoft.com/office/drawing/2010/main"/>
                      </a:ext>
                    </a:extLst>
                  </pic:spPr>
                </pic:pic>
              </a:graphicData>
            </a:graphic>
          </wp:inline>
        </w:drawing>
      </w:r>
    </w:p>
    <w:p w14:paraId="73DDF33C" w14:textId="7AAB9487" w:rsidR="00FA52FF" w:rsidRDefault="00FA52FF" w:rsidP="005B41DB">
      <w:pPr>
        <w:pStyle w:val="Caption"/>
        <w:spacing w:before="240" w:after="240"/>
        <w:jc w:val="center"/>
        <w:rPr>
          <w:b/>
          <w:i w:val="0"/>
          <w:color w:val="000000" w:themeColor="text1"/>
          <w:sz w:val="22"/>
          <w:szCs w:val="22"/>
        </w:rPr>
      </w:pPr>
      <w:r w:rsidRPr="005F2C48">
        <w:rPr>
          <w:b/>
          <w:i w:val="0"/>
          <w:color w:val="000000" w:themeColor="text1"/>
          <w:sz w:val="22"/>
          <w:szCs w:val="22"/>
        </w:rPr>
        <w:t xml:space="preserve">Figure </w:t>
      </w:r>
      <w:r>
        <w:rPr>
          <w:b/>
          <w:i w:val="0"/>
          <w:color w:val="000000" w:themeColor="text1"/>
          <w:sz w:val="22"/>
          <w:szCs w:val="22"/>
        </w:rPr>
        <w:t>3 UE receives wake up signalling in active time for following On Duration</w:t>
      </w:r>
    </w:p>
    <w:p w14:paraId="236DE792" w14:textId="77777777" w:rsidR="00DE772C" w:rsidRPr="00DE772C" w:rsidRDefault="00DE772C" w:rsidP="00DE772C"/>
    <w:p w14:paraId="37C757BE" w14:textId="37A1ABA9" w:rsidR="007415E4" w:rsidRDefault="007415E4" w:rsidP="007415E4">
      <w:pPr>
        <w:pStyle w:val="Heading2"/>
      </w:pPr>
      <w:r>
        <w:t>Power savings indication in the OATM period</w:t>
      </w:r>
    </w:p>
    <w:p w14:paraId="50434770" w14:textId="71D125C3" w:rsidR="007415E4" w:rsidRPr="00E605FE" w:rsidRDefault="00D977D2" w:rsidP="00E605FE">
      <w:pPr>
        <w:rPr>
          <w:rFonts w:eastAsia="Batang"/>
          <w:sz w:val="22"/>
          <w:szCs w:val="22"/>
          <w:lang w:val="en-US" w:eastAsia="ko-KR"/>
        </w:rPr>
      </w:pPr>
      <w:r w:rsidRPr="00E605FE">
        <w:rPr>
          <w:rFonts w:eastAsia="Batang"/>
          <w:sz w:val="22"/>
          <w:szCs w:val="22"/>
          <w:lang w:val="en-US" w:eastAsia="ko-KR"/>
        </w:rPr>
        <w:t>It has been agreed to support a monitoring occasion offset prior to the start of the DRX On Duration. Together with this offset, the CORESETs and search spaces used in the active time may be reused for monitoring in the OATM. So existing BWP may be used for monitoring the power savings signal outside the active time.</w:t>
      </w:r>
    </w:p>
    <w:p w14:paraId="29797D49" w14:textId="6F750ADF" w:rsidR="00D977D2" w:rsidRPr="00E605FE" w:rsidRDefault="00D977D2" w:rsidP="005B41DB">
      <w:pPr>
        <w:spacing w:before="240" w:after="240"/>
        <w:rPr>
          <w:i/>
          <w:sz w:val="22"/>
        </w:rPr>
      </w:pPr>
      <w:r w:rsidRPr="00E605FE">
        <w:rPr>
          <w:b/>
          <w:i/>
          <w:sz w:val="22"/>
        </w:rPr>
        <w:t xml:space="preserve">Proposal </w:t>
      </w:r>
      <w:r w:rsidR="00A91137">
        <w:rPr>
          <w:b/>
          <w:i/>
          <w:sz w:val="22"/>
        </w:rPr>
        <w:t>5</w:t>
      </w:r>
      <w:r w:rsidRPr="00E605FE">
        <w:rPr>
          <w:b/>
          <w:i/>
          <w:sz w:val="22"/>
        </w:rPr>
        <w:t xml:space="preserve">: Existing BWP, CORESET and search space configurations </w:t>
      </w:r>
      <w:r w:rsidR="00FC034C">
        <w:rPr>
          <w:b/>
          <w:i/>
          <w:sz w:val="22"/>
        </w:rPr>
        <w:t xml:space="preserve">in Rel. 15 </w:t>
      </w:r>
      <w:r w:rsidRPr="00E605FE">
        <w:rPr>
          <w:b/>
          <w:i/>
          <w:sz w:val="22"/>
        </w:rPr>
        <w:t>may be used for monitoring outside the active time.</w:t>
      </w:r>
    </w:p>
    <w:p w14:paraId="0FE88463" w14:textId="77777777" w:rsidR="00FA52FF" w:rsidRPr="00E605FE" w:rsidRDefault="00FA52FF" w:rsidP="00E605FE">
      <w:pPr>
        <w:rPr>
          <w:rFonts w:eastAsia="Batang"/>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1E1C754A" w:rsidR="005D20F1" w:rsidRDefault="00065F7D" w:rsidP="0066729B">
      <w:pPr>
        <w:spacing w:after="120"/>
        <w:jc w:val="both"/>
        <w:rPr>
          <w:rFonts w:eastAsia="Batang"/>
          <w:sz w:val="22"/>
          <w:szCs w:val="22"/>
          <w:lang w:val="en-US" w:eastAsia="ko-KR"/>
        </w:rPr>
      </w:pPr>
      <w:r w:rsidRPr="007371AC">
        <w:rPr>
          <w:rFonts w:eastAsia="Batang"/>
          <w:sz w:val="22"/>
          <w:szCs w:val="22"/>
          <w:lang w:val="en-US" w:eastAsia="ko-KR"/>
        </w:rPr>
        <w:t>In</w:t>
      </w:r>
      <w:r w:rsidR="003336D9">
        <w:rPr>
          <w:rFonts w:eastAsia="Batang"/>
          <w:sz w:val="22"/>
          <w:szCs w:val="22"/>
          <w:lang w:val="en-US" w:eastAsia="ko-KR"/>
        </w:rPr>
        <w:t xml:space="preserve"> this contribution, we discussed</w:t>
      </w:r>
      <w:r w:rsidRPr="007371AC">
        <w:rPr>
          <w:rFonts w:eastAsia="Batang"/>
          <w:sz w:val="22"/>
          <w:szCs w:val="22"/>
          <w:lang w:val="en-US" w:eastAsia="ko-KR"/>
        </w:rPr>
        <w:t xml:space="preserve"> </w:t>
      </w:r>
      <w:r w:rsidR="003336D9">
        <w:rPr>
          <w:rFonts w:eastAsia="Batang"/>
          <w:sz w:val="22"/>
          <w:szCs w:val="22"/>
          <w:lang w:val="en-US" w:eastAsia="ko-KR"/>
        </w:rPr>
        <w:t>considerations for PDCCH based GTS indication</w:t>
      </w:r>
      <w:r w:rsidR="00C57B73">
        <w:rPr>
          <w:rFonts w:eastAsia="Batang"/>
          <w:sz w:val="22"/>
          <w:szCs w:val="22"/>
          <w:lang w:val="en-US" w:eastAsia="ko-KR"/>
        </w:rPr>
        <w:t xml:space="preserve"> and</w:t>
      </w:r>
      <w:r>
        <w:rPr>
          <w:rFonts w:eastAsia="Batang"/>
          <w:sz w:val="22"/>
          <w:szCs w:val="22"/>
          <w:lang w:val="en-US" w:eastAsia="ko-KR"/>
        </w:rPr>
        <w:t xml:space="preserve"> </w:t>
      </w:r>
      <w:r w:rsidR="00580667">
        <w:rPr>
          <w:rFonts w:eastAsia="Batang"/>
          <w:sz w:val="22"/>
          <w:szCs w:val="22"/>
          <w:lang w:val="en-US" w:eastAsia="ko-KR"/>
        </w:rPr>
        <w:t>made the following proposals</w:t>
      </w:r>
      <w:r>
        <w:rPr>
          <w:rFonts w:eastAsia="Batang"/>
          <w:sz w:val="22"/>
          <w:szCs w:val="22"/>
          <w:lang w:val="en-US" w:eastAsia="ko-KR"/>
        </w:rPr>
        <w:t>.</w:t>
      </w:r>
    </w:p>
    <w:p w14:paraId="648C7DBD" w14:textId="3C03C104" w:rsidR="00A91137" w:rsidRPr="002E5481" w:rsidRDefault="00A91137" w:rsidP="00F328C8">
      <w:pPr>
        <w:tabs>
          <w:tab w:val="left" w:pos="720"/>
        </w:tabs>
        <w:spacing w:after="120"/>
        <w:rPr>
          <w:b/>
          <w:i/>
          <w:sz w:val="22"/>
          <w:szCs w:val="22"/>
        </w:rPr>
      </w:pPr>
      <w:r w:rsidRPr="002E5481">
        <w:rPr>
          <w:b/>
          <w:i/>
          <w:sz w:val="22"/>
          <w:szCs w:val="22"/>
        </w:rPr>
        <w:t xml:space="preserve">Proposal 1: GTS indication </w:t>
      </w:r>
      <w:r>
        <w:rPr>
          <w:b/>
          <w:i/>
          <w:sz w:val="22"/>
          <w:szCs w:val="22"/>
        </w:rPr>
        <w:t>through non-fallback DCI formats may be supported</w:t>
      </w:r>
      <w:r w:rsidRPr="002E5481">
        <w:rPr>
          <w:b/>
          <w:i/>
          <w:sz w:val="22"/>
          <w:szCs w:val="22"/>
        </w:rPr>
        <w:t>.</w:t>
      </w:r>
    </w:p>
    <w:p w14:paraId="5186D626" w14:textId="6A20CC69" w:rsidR="00A91137" w:rsidRPr="002E5481" w:rsidRDefault="00A91137" w:rsidP="00F328C8">
      <w:pPr>
        <w:tabs>
          <w:tab w:val="left" w:pos="720"/>
        </w:tabs>
        <w:spacing w:after="120"/>
        <w:rPr>
          <w:b/>
          <w:i/>
          <w:sz w:val="22"/>
          <w:szCs w:val="22"/>
        </w:rPr>
      </w:pPr>
      <w:r>
        <w:rPr>
          <w:b/>
          <w:i/>
          <w:sz w:val="22"/>
          <w:szCs w:val="22"/>
        </w:rPr>
        <w:t xml:space="preserve">Proposal 2: </w:t>
      </w:r>
      <w:r w:rsidRPr="002E5481">
        <w:rPr>
          <w:b/>
          <w:i/>
          <w:sz w:val="22"/>
          <w:szCs w:val="22"/>
        </w:rPr>
        <w:t>Consider repurposing existing field</w:t>
      </w:r>
      <w:r>
        <w:rPr>
          <w:b/>
          <w:i/>
          <w:sz w:val="22"/>
          <w:szCs w:val="22"/>
        </w:rPr>
        <w:t xml:space="preserve"> (BWPI)</w:t>
      </w:r>
      <w:r w:rsidRPr="002E5481">
        <w:rPr>
          <w:b/>
          <w:i/>
          <w:sz w:val="22"/>
          <w:szCs w:val="22"/>
        </w:rPr>
        <w:t xml:space="preserve"> in Rel.15 DCI formats to indicate GTS signalling in order to limit the signalling overhead.</w:t>
      </w:r>
    </w:p>
    <w:p w14:paraId="7C7E9859" w14:textId="2BE675A2" w:rsidR="00F31FF5" w:rsidRPr="002E5481" w:rsidRDefault="00F31FF5" w:rsidP="00F328C8">
      <w:pPr>
        <w:tabs>
          <w:tab w:val="left" w:pos="720"/>
        </w:tabs>
        <w:spacing w:after="120"/>
        <w:rPr>
          <w:b/>
          <w:i/>
          <w:sz w:val="22"/>
          <w:szCs w:val="22"/>
        </w:rPr>
      </w:pPr>
      <w:r>
        <w:rPr>
          <w:b/>
          <w:i/>
          <w:sz w:val="22"/>
          <w:szCs w:val="22"/>
        </w:rPr>
        <w:t xml:space="preserve">Proposal </w:t>
      </w:r>
      <w:r w:rsidR="00A91137">
        <w:rPr>
          <w:b/>
          <w:i/>
          <w:sz w:val="22"/>
          <w:szCs w:val="22"/>
        </w:rPr>
        <w:t>3</w:t>
      </w:r>
      <w:r>
        <w:rPr>
          <w:b/>
          <w:i/>
          <w:sz w:val="22"/>
          <w:szCs w:val="22"/>
        </w:rPr>
        <w:t>: UE may receive wake-up signalling for the following OnDuration in its active duration</w:t>
      </w:r>
      <w:r w:rsidRPr="002E5481">
        <w:rPr>
          <w:b/>
          <w:i/>
          <w:sz w:val="22"/>
          <w:szCs w:val="22"/>
        </w:rPr>
        <w:t>.</w:t>
      </w:r>
    </w:p>
    <w:p w14:paraId="1FA79248" w14:textId="433B8106" w:rsidR="00F31FF5" w:rsidRPr="002E5481" w:rsidRDefault="00F31FF5" w:rsidP="00F328C8">
      <w:pPr>
        <w:tabs>
          <w:tab w:val="left" w:pos="720"/>
        </w:tabs>
        <w:spacing w:after="120"/>
        <w:rPr>
          <w:b/>
          <w:i/>
          <w:sz w:val="22"/>
          <w:szCs w:val="22"/>
        </w:rPr>
      </w:pPr>
      <w:r>
        <w:rPr>
          <w:b/>
          <w:i/>
          <w:sz w:val="22"/>
          <w:szCs w:val="22"/>
        </w:rPr>
        <w:lastRenderedPageBreak/>
        <w:t xml:space="preserve">Proposal </w:t>
      </w:r>
      <w:r w:rsidR="00A91137">
        <w:rPr>
          <w:b/>
          <w:i/>
          <w:sz w:val="22"/>
          <w:szCs w:val="22"/>
        </w:rPr>
        <w:t>4</w:t>
      </w:r>
      <w:r>
        <w:rPr>
          <w:b/>
          <w:i/>
          <w:sz w:val="22"/>
          <w:szCs w:val="22"/>
        </w:rPr>
        <w:t>: UE may not monitor the the OATM during its active time</w:t>
      </w:r>
      <w:r w:rsidRPr="002E5481">
        <w:rPr>
          <w:b/>
          <w:i/>
          <w:sz w:val="22"/>
          <w:szCs w:val="22"/>
        </w:rPr>
        <w:t>.</w:t>
      </w:r>
    </w:p>
    <w:p w14:paraId="5B3CDD8D" w14:textId="5CD18D5B" w:rsidR="00F31FF5" w:rsidRPr="00E605FE" w:rsidRDefault="00F31FF5" w:rsidP="00F328C8">
      <w:pPr>
        <w:spacing w:after="120"/>
        <w:rPr>
          <w:b/>
          <w:i/>
          <w:sz w:val="22"/>
          <w:szCs w:val="22"/>
        </w:rPr>
      </w:pPr>
      <w:r w:rsidRPr="00E605FE">
        <w:rPr>
          <w:b/>
          <w:i/>
          <w:sz w:val="22"/>
          <w:szCs w:val="22"/>
        </w:rPr>
        <w:t xml:space="preserve">Proposal </w:t>
      </w:r>
      <w:r w:rsidR="00A91137">
        <w:rPr>
          <w:b/>
          <w:i/>
          <w:sz w:val="22"/>
          <w:szCs w:val="22"/>
        </w:rPr>
        <w:t>5</w:t>
      </w:r>
      <w:r w:rsidRPr="00E605FE">
        <w:rPr>
          <w:b/>
          <w:i/>
          <w:sz w:val="22"/>
          <w:szCs w:val="22"/>
        </w:rPr>
        <w:t>: Existing BWP, CORESET and search space configurations</w:t>
      </w:r>
      <w:r w:rsidR="00FC034C">
        <w:rPr>
          <w:b/>
          <w:i/>
          <w:sz w:val="22"/>
          <w:szCs w:val="22"/>
        </w:rPr>
        <w:t xml:space="preserve"> in Rel.15</w:t>
      </w:r>
      <w:r w:rsidRPr="00E605FE">
        <w:rPr>
          <w:b/>
          <w:i/>
          <w:sz w:val="22"/>
          <w:szCs w:val="22"/>
        </w:rPr>
        <w:t xml:space="preserve"> may be used for monitoring in outside the active time.</w:t>
      </w:r>
    </w:p>
    <w:p w14:paraId="1DC65388" w14:textId="6612F020" w:rsidR="00245C69" w:rsidRPr="0066729B" w:rsidRDefault="00245C69" w:rsidP="00A84753">
      <w:pPr>
        <w:rPr>
          <w:rFonts w:eastAsia="Batang"/>
          <w:b/>
          <w:i/>
          <w:sz w:val="22"/>
          <w:lang w:eastAsia="ko-KR"/>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7D56E810" w14:textId="20B066B6" w:rsidR="00835027" w:rsidRPr="006E4D85" w:rsidRDefault="00835027" w:rsidP="00835027">
      <w:pPr>
        <w:pStyle w:val="iReference"/>
        <w:numPr>
          <w:ilvl w:val="0"/>
          <w:numId w:val="17"/>
        </w:numPr>
        <w:spacing w:after="120"/>
        <w:jc w:val="both"/>
        <w:rPr>
          <w:rFonts w:ascii="Times New Roman" w:hAnsi="Times New Roman" w:cs="Times New Roman"/>
          <w:sz w:val="22"/>
          <w:szCs w:val="22"/>
        </w:rPr>
      </w:pPr>
      <w:bookmarkStart w:id="5" w:name="_Ref7768110"/>
      <w:bookmarkStart w:id="6" w:name="_Ref957942"/>
      <w:bookmarkStart w:id="7" w:name="_Ref449465801"/>
      <w:bookmarkStart w:id="8" w:name="_Ref471288964"/>
      <w:bookmarkStart w:id="9" w:name="_Ref494709157"/>
      <w:bookmarkStart w:id="10" w:name="_Ref493771047"/>
      <w:bookmarkStart w:id="11" w:name="_Ref494712756"/>
      <w:r>
        <w:rPr>
          <w:rFonts w:ascii="Times New Roman" w:hAnsi="Times New Roman" w:cs="Times New Roman"/>
          <w:sz w:val="22"/>
          <w:szCs w:val="22"/>
        </w:rPr>
        <w:t>Chairman Notes, TSG RAN WG1 RAN1 #9</w:t>
      </w:r>
      <w:r w:rsidR="00A16067">
        <w:rPr>
          <w:rFonts w:ascii="Times New Roman" w:hAnsi="Times New Roman" w:cs="Times New Roman"/>
          <w:sz w:val="22"/>
          <w:szCs w:val="22"/>
        </w:rPr>
        <w:t>7</w:t>
      </w:r>
      <w:r>
        <w:rPr>
          <w:rFonts w:ascii="Times New Roman" w:hAnsi="Times New Roman" w:cs="Times New Roman"/>
          <w:sz w:val="22"/>
          <w:szCs w:val="22"/>
        </w:rPr>
        <w:t xml:space="preserve">, </w:t>
      </w:r>
      <w:r w:rsidR="00A16067">
        <w:rPr>
          <w:rFonts w:ascii="Times New Roman" w:hAnsi="Times New Roman" w:cs="Times New Roman"/>
          <w:sz w:val="22"/>
          <w:szCs w:val="22"/>
        </w:rPr>
        <w:t>Reno</w:t>
      </w:r>
      <w:r>
        <w:rPr>
          <w:rFonts w:ascii="Times New Roman" w:hAnsi="Times New Roman" w:cs="Times New Roman"/>
          <w:sz w:val="22"/>
          <w:szCs w:val="22"/>
        </w:rPr>
        <w:t xml:space="preserve">, </w:t>
      </w:r>
      <w:r w:rsidR="00A16067">
        <w:rPr>
          <w:rFonts w:ascii="Times New Roman" w:hAnsi="Times New Roman" w:cs="Times New Roman"/>
          <w:sz w:val="22"/>
          <w:szCs w:val="22"/>
        </w:rPr>
        <w:t>USA</w:t>
      </w:r>
      <w:r>
        <w:rPr>
          <w:rFonts w:ascii="Times New Roman" w:hAnsi="Times New Roman" w:cs="Times New Roman"/>
          <w:sz w:val="22"/>
          <w:szCs w:val="22"/>
        </w:rPr>
        <w:t>,</w:t>
      </w:r>
      <w:r w:rsidRPr="00835027">
        <w:rPr>
          <w:rFonts w:ascii="Times New Roman" w:hAnsi="Times New Roman" w:cs="Times New Roman"/>
          <w:sz w:val="22"/>
          <w:szCs w:val="22"/>
        </w:rPr>
        <w:t xml:space="preserve"> </w:t>
      </w:r>
      <w:r w:rsidR="00A16067">
        <w:rPr>
          <w:rFonts w:ascii="Times New Roman" w:hAnsi="Times New Roman" w:cs="Times New Roman"/>
          <w:sz w:val="22"/>
          <w:szCs w:val="22"/>
        </w:rPr>
        <w:t xml:space="preserve">May </w:t>
      </w:r>
      <w:r>
        <w:rPr>
          <w:rFonts w:ascii="Times New Roman" w:hAnsi="Times New Roman" w:cs="Times New Roman"/>
          <w:sz w:val="22"/>
          <w:szCs w:val="22"/>
        </w:rPr>
        <w:t>2019</w:t>
      </w:r>
      <w:bookmarkEnd w:id="5"/>
      <w:r w:rsidR="00DB511A">
        <w:rPr>
          <w:rFonts w:ascii="Times New Roman" w:hAnsi="Times New Roman" w:cs="Times New Roman"/>
          <w:sz w:val="22"/>
          <w:szCs w:val="22"/>
        </w:rPr>
        <w:t>.</w:t>
      </w:r>
      <w:bookmarkEnd w:id="6"/>
      <w:bookmarkEnd w:id="7"/>
      <w:bookmarkEnd w:id="8"/>
      <w:bookmarkEnd w:id="9"/>
      <w:bookmarkEnd w:id="10"/>
      <w:bookmarkEnd w:id="11"/>
    </w:p>
    <w:sectPr w:rsidR="00835027" w:rsidRPr="006E4D85">
      <w:footerReference w:type="defaul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7C0DE" w14:textId="77777777" w:rsidR="00980D88" w:rsidRDefault="00980D88">
      <w:r>
        <w:separator/>
      </w:r>
    </w:p>
  </w:endnote>
  <w:endnote w:type="continuationSeparator" w:id="0">
    <w:p w14:paraId="4C52FE34" w14:textId="77777777" w:rsidR="00980D88" w:rsidRDefault="0098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64D877AE" w:rsidR="00FD3503" w:rsidRDefault="00FD3503">
        <w:pPr>
          <w:pStyle w:val="Footer"/>
          <w:jc w:val="center"/>
        </w:pPr>
        <w:r>
          <w:fldChar w:fldCharType="begin"/>
        </w:r>
        <w:r>
          <w:instrText xml:space="preserve"> PAGE   \* MERGEFORMAT </w:instrText>
        </w:r>
        <w:r>
          <w:fldChar w:fldCharType="separate"/>
        </w:r>
        <w:r w:rsidR="00FC034C">
          <w:rPr>
            <w:noProof/>
          </w:rPr>
          <w:t>4</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6C3F1C7D" w:rsidR="00FD3503" w:rsidRDefault="00FD3503">
        <w:pPr>
          <w:pStyle w:val="Footer"/>
          <w:jc w:val="center"/>
        </w:pPr>
        <w:r>
          <w:fldChar w:fldCharType="begin"/>
        </w:r>
        <w:r>
          <w:instrText xml:space="preserve"> PAGE   \* MERGEFORMAT </w:instrText>
        </w:r>
        <w:r>
          <w:fldChar w:fldCharType="separate"/>
        </w:r>
        <w:r w:rsidR="00FC034C">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996E" w14:textId="77777777" w:rsidR="00980D88" w:rsidRDefault="00980D88">
      <w:r>
        <w:separator/>
      </w:r>
    </w:p>
  </w:footnote>
  <w:footnote w:type="continuationSeparator" w:id="0">
    <w:p w14:paraId="23E2DBED" w14:textId="77777777" w:rsidR="00980D88" w:rsidRDefault="00980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77E7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1"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87D22"/>
    <w:multiLevelType w:val="multilevel"/>
    <w:tmpl w:val="D018B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9223B"/>
    <w:multiLevelType w:val="hybridMultilevel"/>
    <w:tmpl w:val="522A7506"/>
    <w:lvl w:ilvl="0" w:tplc="0972D288">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756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3A34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26289"/>
    <w:multiLevelType w:val="hybridMultilevel"/>
    <w:tmpl w:val="FC062138"/>
    <w:lvl w:ilvl="0" w:tplc="04090001">
      <w:start w:val="1"/>
      <w:numFmt w:val="bullet"/>
      <w:lvlText w:val=""/>
      <w:lvlJc w:val="left"/>
      <w:pPr>
        <w:ind w:left="3528" w:hanging="360"/>
      </w:pPr>
      <w:rPr>
        <w:rFonts w:ascii="Symbol" w:hAnsi="Symbol" w:hint="default"/>
      </w:rPr>
    </w:lvl>
    <w:lvl w:ilvl="1" w:tplc="04090003">
      <w:start w:val="1"/>
      <w:numFmt w:val="bullet"/>
      <w:lvlText w:val="o"/>
      <w:lvlJc w:val="left"/>
      <w:pPr>
        <w:ind w:left="4248" w:hanging="360"/>
      </w:pPr>
      <w:rPr>
        <w:rFonts w:ascii="Courier New" w:hAnsi="Courier New" w:cs="Courier New" w:hint="default"/>
      </w:rPr>
    </w:lvl>
    <w:lvl w:ilvl="2" w:tplc="04090005">
      <w:start w:val="1"/>
      <w:numFmt w:val="bullet"/>
      <w:lvlText w:val=""/>
      <w:lvlJc w:val="left"/>
      <w:pPr>
        <w:ind w:left="4968" w:hanging="360"/>
      </w:pPr>
      <w:rPr>
        <w:rFonts w:ascii="Wingdings" w:hAnsi="Wingdings" w:hint="default"/>
      </w:rPr>
    </w:lvl>
    <w:lvl w:ilvl="3" w:tplc="04090001" w:tentative="1">
      <w:start w:val="1"/>
      <w:numFmt w:val="bullet"/>
      <w:lvlText w:val=""/>
      <w:lvlJc w:val="left"/>
      <w:pPr>
        <w:ind w:left="5688" w:hanging="360"/>
      </w:pPr>
      <w:rPr>
        <w:rFonts w:ascii="Symbol" w:hAnsi="Symbol" w:hint="default"/>
      </w:rPr>
    </w:lvl>
    <w:lvl w:ilvl="4" w:tplc="04090003" w:tentative="1">
      <w:start w:val="1"/>
      <w:numFmt w:val="bullet"/>
      <w:lvlText w:val="o"/>
      <w:lvlJc w:val="left"/>
      <w:pPr>
        <w:ind w:left="6408" w:hanging="360"/>
      </w:pPr>
      <w:rPr>
        <w:rFonts w:ascii="Courier New" w:hAnsi="Courier New" w:cs="Courier New" w:hint="default"/>
      </w:rPr>
    </w:lvl>
    <w:lvl w:ilvl="5" w:tplc="04090005" w:tentative="1">
      <w:start w:val="1"/>
      <w:numFmt w:val="bullet"/>
      <w:lvlText w:val=""/>
      <w:lvlJc w:val="left"/>
      <w:pPr>
        <w:ind w:left="7128" w:hanging="360"/>
      </w:pPr>
      <w:rPr>
        <w:rFonts w:ascii="Wingdings" w:hAnsi="Wingdings" w:hint="default"/>
      </w:rPr>
    </w:lvl>
    <w:lvl w:ilvl="6" w:tplc="04090001" w:tentative="1">
      <w:start w:val="1"/>
      <w:numFmt w:val="bullet"/>
      <w:lvlText w:val=""/>
      <w:lvlJc w:val="left"/>
      <w:pPr>
        <w:ind w:left="7848" w:hanging="360"/>
      </w:pPr>
      <w:rPr>
        <w:rFonts w:ascii="Symbol" w:hAnsi="Symbol" w:hint="default"/>
      </w:rPr>
    </w:lvl>
    <w:lvl w:ilvl="7" w:tplc="04090003" w:tentative="1">
      <w:start w:val="1"/>
      <w:numFmt w:val="bullet"/>
      <w:lvlText w:val="o"/>
      <w:lvlJc w:val="left"/>
      <w:pPr>
        <w:ind w:left="8568" w:hanging="360"/>
      </w:pPr>
      <w:rPr>
        <w:rFonts w:ascii="Courier New" w:hAnsi="Courier New" w:cs="Courier New" w:hint="default"/>
      </w:rPr>
    </w:lvl>
    <w:lvl w:ilvl="8" w:tplc="04090005" w:tentative="1">
      <w:start w:val="1"/>
      <w:numFmt w:val="bullet"/>
      <w:lvlText w:val=""/>
      <w:lvlJc w:val="left"/>
      <w:pPr>
        <w:ind w:left="9288" w:hanging="360"/>
      </w:pPr>
      <w:rPr>
        <w:rFonts w:ascii="Wingdings" w:hAnsi="Wingdings" w:hint="default"/>
      </w:rPr>
    </w:lvl>
  </w:abstractNum>
  <w:abstractNum w:abstractNumId="28"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D0995"/>
    <w:multiLevelType w:val="hybridMultilevel"/>
    <w:tmpl w:val="D70C8BFE"/>
    <w:lvl w:ilvl="0" w:tplc="1EC4CD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6"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8"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16"/>
  </w:num>
  <w:num w:numId="4">
    <w:abstractNumId w:val="8"/>
  </w:num>
  <w:num w:numId="5">
    <w:abstractNumId w:val="5"/>
  </w:num>
  <w:num w:numId="6">
    <w:abstractNumId w:val="35"/>
  </w:num>
  <w:num w:numId="7">
    <w:abstractNumId w:val="38"/>
  </w:num>
  <w:num w:numId="8">
    <w:abstractNumId w:val="11"/>
  </w:num>
  <w:num w:numId="9">
    <w:abstractNumId w:val="6"/>
  </w:num>
  <w:num w:numId="10">
    <w:abstractNumId w:val="21"/>
  </w:num>
  <w:num w:numId="11">
    <w:abstractNumId w:val="17"/>
  </w:num>
  <w:num w:numId="12">
    <w:abstractNumId w:val="20"/>
  </w:num>
  <w:num w:numId="13">
    <w:abstractNumId w:val="24"/>
  </w:num>
  <w:num w:numId="14">
    <w:abstractNumId w:val="30"/>
  </w:num>
  <w:num w:numId="15">
    <w:abstractNumId w:val="0"/>
  </w:num>
  <w:num w:numId="16">
    <w:abstractNumId w:val="28"/>
  </w:num>
  <w:num w:numId="17">
    <w:abstractNumId w:val="2"/>
  </w:num>
  <w:num w:numId="18">
    <w:abstractNumId w:val="7"/>
  </w:num>
  <w:num w:numId="19">
    <w:abstractNumId w:val="37"/>
  </w:num>
  <w:num w:numId="20">
    <w:abstractNumId w:val="31"/>
  </w:num>
  <w:num w:numId="21">
    <w:abstractNumId w:val="9"/>
  </w:num>
  <w:num w:numId="22">
    <w:abstractNumId w:val="10"/>
  </w:num>
  <w:num w:numId="23">
    <w:abstractNumId w:val="15"/>
  </w:num>
  <w:num w:numId="24">
    <w:abstractNumId w:val="26"/>
  </w:num>
  <w:num w:numId="25">
    <w:abstractNumId w:val="36"/>
  </w:num>
  <w:num w:numId="26">
    <w:abstractNumId w:val="23"/>
  </w:num>
  <w:num w:numId="27">
    <w:abstractNumId w:val="34"/>
  </w:num>
  <w:num w:numId="28">
    <w:abstractNumId w:val="22"/>
  </w:num>
  <w:num w:numId="29">
    <w:abstractNumId w:val="19"/>
  </w:num>
  <w:num w:numId="30">
    <w:abstractNumId w:val="29"/>
  </w:num>
  <w:num w:numId="31">
    <w:abstractNumId w:val="3"/>
  </w:num>
  <w:num w:numId="32">
    <w:abstractNumId w:val="14"/>
  </w:num>
  <w:num w:numId="33">
    <w:abstractNumId w:val="14"/>
    <w:lvlOverride w:ilvl="1">
      <w:lvl w:ilvl="1">
        <w:numFmt w:val="bullet"/>
        <w:lvlText w:val=""/>
        <w:lvlJc w:val="left"/>
        <w:pPr>
          <w:tabs>
            <w:tab w:val="num" w:pos="1440"/>
          </w:tabs>
          <w:ind w:left="1440" w:hanging="360"/>
        </w:pPr>
        <w:rPr>
          <w:rFonts w:ascii="Symbol" w:hAnsi="Symbol" w:hint="default"/>
          <w:sz w:val="20"/>
        </w:rPr>
      </w:lvl>
    </w:lvlOverride>
  </w:num>
  <w:num w:numId="34">
    <w:abstractNumId w:val="12"/>
  </w:num>
  <w:num w:numId="35">
    <w:abstractNumId w:val="33"/>
  </w:num>
  <w:num w:numId="36">
    <w:abstractNumId w:val="27"/>
  </w:num>
  <w:num w:numId="37">
    <w:abstractNumId w:val="1"/>
  </w:num>
  <w:num w:numId="38">
    <w:abstractNumId w:val="4"/>
  </w:num>
  <w:num w:numId="39">
    <w:abstractNumId w:val="18"/>
  </w:num>
  <w:num w:numId="40">
    <w:abstractNumId w:val="13"/>
  </w:num>
  <w:num w:numId="4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639"/>
    <w:rsid w:val="0000527F"/>
    <w:rsid w:val="000104C8"/>
    <w:rsid w:val="0001366B"/>
    <w:rsid w:val="00022E5D"/>
    <w:rsid w:val="000319FD"/>
    <w:rsid w:val="000459DF"/>
    <w:rsid w:val="00046FFD"/>
    <w:rsid w:val="00053E0E"/>
    <w:rsid w:val="000550E1"/>
    <w:rsid w:val="0005577C"/>
    <w:rsid w:val="0006095E"/>
    <w:rsid w:val="00062DF5"/>
    <w:rsid w:val="00065F7D"/>
    <w:rsid w:val="00066B51"/>
    <w:rsid w:val="000674FE"/>
    <w:rsid w:val="00073F85"/>
    <w:rsid w:val="000810DA"/>
    <w:rsid w:val="00091003"/>
    <w:rsid w:val="000950C5"/>
    <w:rsid w:val="000955F8"/>
    <w:rsid w:val="000A26C4"/>
    <w:rsid w:val="000B3FB5"/>
    <w:rsid w:val="000C40EF"/>
    <w:rsid w:val="000D00F4"/>
    <w:rsid w:val="000D27A6"/>
    <w:rsid w:val="000D37D3"/>
    <w:rsid w:val="000E49F8"/>
    <w:rsid w:val="000F2AFF"/>
    <w:rsid w:val="000F421F"/>
    <w:rsid w:val="00101070"/>
    <w:rsid w:val="00105F8D"/>
    <w:rsid w:val="00110E99"/>
    <w:rsid w:val="00117936"/>
    <w:rsid w:val="001340B4"/>
    <w:rsid w:val="00134DD1"/>
    <w:rsid w:val="0013672F"/>
    <w:rsid w:val="00140681"/>
    <w:rsid w:val="00153B57"/>
    <w:rsid w:val="0016417F"/>
    <w:rsid w:val="00164D6F"/>
    <w:rsid w:val="00172677"/>
    <w:rsid w:val="00180D93"/>
    <w:rsid w:val="001811F3"/>
    <w:rsid w:val="00185133"/>
    <w:rsid w:val="00187541"/>
    <w:rsid w:val="001A12CA"/>
    <w:rsid w:val="001A5BE4"/>
    <w:rsid w:val="001B03EA"/>
    <w:rsid w:val="001B2C52"/>
    <w:rsid w:val="001C71B1"/>
    <w:rsid w:val="001E18D6"/>
    <w:rsid w:val="001E3155"/>
    <w:rsid w:val="001E3B88"/>
    <w:rsid w:val="001F4117"/>
    <w:rsid w:val="001F5C6C"/>
    <w:rsid w:val="002119E3"/>
    <w:rsid w:val="0021262E"/>
    <w:rsid w:val="00214FB9"/>
    <w:rsid w:val="00227377"/>
    <w:rsid w:val="00231627"/>
    <w:rsid w:val="00231AEA"/>
    <w:rsid w:val="002372D7"/>
    <w:rsid w:val="00245C69"/>
    <w:rsid w:val="0025363F"/>
    <w:rsid w:val="00254020"/>
    <w:rsid w:val="00263E95"/>
    <w:rsid w:val="00266C98"/>
    <w:rsid w:val="00275989"/>
    <w:rsid w:val="002B3C03"/>
    <w:rsid w:val="002B4189"/>
    <w:rsid w:val="002B728D"/>
    <w:rsid w:val="002D343C"/>
    <w:rsid w:val="002D40BC"/>
    <w:rsid w:val="002E5481"/>
    <w:rsid w:val="002F2971"/>
    <w:rsid w:val="002F38FE"/>
    <w:rsid w:val="002F4A9B"/>
    <w:rsid w:val="002F593C"/>
    <w:rsid w:val="00311110"/>
    <w:rsid w:val="00313332"/>
    <w:rsid w:val="00322338"/>
    <w:rsid w:val="003252F1"/>
    <w:rsid w:val="003336D9"/>
    <w:rsid w:val="00334B00"/>
    <w:rsid w:val="00335638"/>
    <w:rsid w:val="00342A22"/>
    <w:rsid w:val="00346029"/>
    <w:rsid w:val="0034698C"/>
    <w:rsid w:val="00352982"/>
    <w:rsid w:val="003567E2"/>
    <w:rsid w:val="00377439"/>
    <w:rsid w:val="003971DE"/>
    <w:rsid w:val="003B6C54"/>
    <w:rsid w:val="003C6CD9"/>
    <w:rsid w:val="003D77C4"/>
    <w:rsid w:val="003E1C7C"/>
    <w:rsid w:val="003E3C09"/>
    <w:rsid w:val="003F4847"/>
    <w:rsid w:val="003F7B17"/>
    <w:rsid w:val="0040602C"/>
    <w:rsid w:val="004214CF"/>
    <w:rsid w:val="004224C0"/>
    <w:rsid w:val="00424E3F"/>
    <w:rsid w:val="00427F95"/>
    <w:rsid w:val="00431779"/>
    <w:rsid w:val="0043276F"/>
    <w:rsid w:val="004453C1"/>
    <w:rsid w:val="00446B6B"/>
    <w:rsid w:val="00446DF1"/>
    <w:rsid w:val="00447234"/>
    <w:rsid w:val="004607C3"/>
    <w:rsid w:val="004778AF"/>
    <w:rsid w:val="00482389"/>
    <w:rsid w:val="004835C7"/>
    <w:rsid w:val="00483A74"/>
    <w:rsid w:val="00485C27"/>
    <w:rsid w:val="00486D07"/>
    <w:rsid w:val="00496406"/>
    <w:rsid w:val="004A3FAE"/>
    <w:rsid w:val="004B3B97"/>
    <w:rsid w:val="004B547B"/>
    <w:rsid w:val="004C301F"/>
    <w:rsid w:val="004C38CC"/>
    <w:rsid w:val="004D6A99"/>
    <w:rsid w:val="004D76CA"/>
    <w:rsid w:val="004E2930"/>
    <w:rsid w:val="004E2EEE"/>
    <w:rsid w:val="004E6528"/>
    <w:rsid w:val="004F2B60"/>
    <w:rsid w:val="004F5F55"/>
    <w:rsid w:val="005029DA"/>
    <w:rsid w:val="005072FC"/>
    <w:rsid w:val="005077A0"/>
    <w:rsid w:val="005246EF"/>
    <w:rsid w:val="0053076A"/>
    <w:rsid w:val="005315BA"/>
    <w:rsid w:val="00546B64"/>
    <w:rsid w:val="00554E84"/>
    <w:rsid w:val="0055554D"/>
    <w:rsid w:val="0055627F"/>
    <w:rsid w:val="00557B02"/>
    <w:rsid w:val="00570178"/>
    <w:rsid w:val="00580667"/>
    <w:rsid w:val="00591A33"/>
    <w:rsid w:val="005A05BE"/>
    <w:rsid w:val="005A1FAE"/>
    <w:rsid w:val="005A2572"/>
    <w:rsid w:val="005A43FF"/>
    <w:rsid w:val="005B2076"/>
    <w:rsid w:val="005B28BD"/>
    <w:rsid w:val="005B3314"/>
    <w:rsid w:val="005B41DB"/>
    <w:rsid w:val="005B4701"/>
    <w:rsid w:val="005C3384"/>
    <w:rsid w:val="005C3EF1"/>
    <w:rsid w:val="005C5FA0"/>
    <w:rsid w:val="005D0334"/>
    <w:rsid w:val="005D20F1"/>
    <w:rsid w:val="005D2D51"/>
    <w:rsid w:val="005D4BE2"/>
    <w:rsid w:val="005E1B36"/>
    <w:rsid w:val="005E7B83"/>
    <w:rsid w:val="005F2C48"/>
    <w:rsid w:val="005F2EB8"/>
    <w:rsid w:val="005F318B"/>
    <w:rsid w:val="00602F21"/>
    <w:rsid w:val="00604A92"/>
    <w:rsid w:val="0061293F"/>
    <w:rsid w:val="0061417F"/>
    <w:rsid w:val="00614D21"/>
    <w:rsid w:val="00616E33"/>
    <w:rsid w:val="006204C2"/>
    <w:rsid w:val="0062449A"/>
    <w:rsid w:val="00645A3D"/>
    <w:rsid w:val="0064615E"/>
    <w:rsid w:val="00665941"/>
    <w:rsid w:val="0066729B"/>
    <w:rsid w:val="006733DB"/>
    <w:rsid w:val="006758DE"/>
    <w:rsid w:val="00677A39"/>
    <w:rsid w:val="0069390B"/>
    <w:rsid w:val="00695505"/>
    <w:rsid w:val="006B1113"/>
    <w:rsid w:val="006B6D77"/>
    <w:rsid w:val="006E4D85"/>
    <w:rsid w:val="006F55A6"/>
    <w:rsid w:val="006F73F9"/>
    <w:rsid w:val="00715EF9"/>
    <w:rsid w:val="0072141F"/>
    <w:rsid w:val="00721DA7"/>
    <w:rsid w:val="00724391"/>
    <w:rsid w:val="00727C17"/>
    <w:rsid w:val="007371AC"/>
    <w:rsid w:val="007415E4"/>
    <w:rsid w:val="0075483A"/>
    <w:rsid w:val="00770E80"/>
    <w:rsid w:val="0077242F"/>
    <w:rsid w:val="00790C82"/>
    <w:rsid w:val="00795985"/>
    <w:rsid w:val="0079648D"/>
    <w:rsid w:val="00797068"/>
    <w:rsid w:val="007A11D7"/>
    <w:rsid w:val="007A3330"/>
    <w:rsid w:val="007A5B20"/>
    <w:rsid w:val="007B2090"/>
    <w:rsid w:val="007B5072"/>
    <w:rsid w:val="007C6943"/>
    <w:rsid w:val="007D6E9B"/>
    <w:rsid w:val="007E3CA1"/>
    <w:rsid w:val="00801B7D"/>
    <w:rsid w:val="00804AC2"/>
    <w:rsid w:val="008127C1"/>
    <w:rsid w:val="008254B6"/>
    <w:rsid w:val="00832094"/>
    <w:rsid w:val="00833404"/>
    <w:rsid w:val="00833A55"/>
    <w:rsid w:val="00834051"/>
    <w:rsid w:val="00835027"/>
    <w:rsid w:val="00837728"/>
    <w:rsid w:val="00842B97"/>
    <w:rsid w:val="00844F96"/>
    <w:rsid w:val="00855891"/>
    <w:rsid w:val="00861449"/>
    <w:rsid w:val="00876989"/>
    <w:rsid w:val="008873A5"/>
    <w:rsid w:val="008911D1"/>
    <w:rsid w:val="0089215D"/>
    <w:rsid w:val="008A2089"/>
    <w:rsid w:val="008B2885"/>
    <w:rsid w:val="008C1CCF"/>
    <w:rsid w:val="008C3773"/>
    <w:rsid w:val="008D28CA"/>
    <w:rsid w:val="008D4CEC"/>
    <w:rsid w:val="008E4BDE"/>
    <w:rsid w:val="008F4B61"/>
    <w:rsid w:val="00914FD3"/>
    <w:rsid w:val="00927CC2"/>
    <w:rsid w:val="00940ED3"/>
    <w:rsid w:val="00946429"/>
    <w:rsid w:val="0095582D"/>
    <w:rsid w:val="00957C45"/>
    <w:rsid w:val="0096755A"/>
    <w:rsid w:val="00980D88"/>
    <w:rsid w:val="009962C7"/>
    <w:rsid w:val="009A0197"/>
    <w:rsid w:val="009A4F65"/>
    <w:rsid w:val="009B2E97"/>
    <w:rsid w:val="009C552F"/>
    <w:rsid w:val="009D213D"/>
    <w:rsid w:val="009D5348"/>
    <w:rsid w:val="009E1109"/>
    <w:rsid w:val="009E1249"/>
    <w:rsid w:val="009F7FC7"/>
    <w:rsid w:val="00A16067"/>
    <w:rsid w:val="00A2299C"/>
    <w:rsid w:val="00A23578"/>
    <w:rsid w:val="00A23793"/>
    <w:rsid w:val="00A237E1"/>
    <w:rsid w:val="00A361F7"/>
    <w:rsid w:val="00A46CBA"/>
    <w:rsid w:val="00A50949"/>
    <w:rsid w:val="00A55592"/>
    <w:rsid w:val="00A83382"/>
    <w:rsid w:val="00A84753"/>
    <w:rsid w:val="00A91137"/>
    <w:rsid w:val="00A91310"/>
    <w:rsid w:val="00A921DF"/>
    <w:rsid w:val="00A92725"/>
    <w:rsid w:val="00A97A32"/>
    <w:rsid w:val="00A97DE8"/>
    <w:rsid w:val="00AA39C3"/>
    <w:rsid w:val="00AA64EC"/>
    <w:rsid w:val="00AB36E6"/>
    <w:rsid w:val="00AB4813"/>
    <w:rsid w:val="00AD4114"/>
    <w:rsid w:val="00AD74F5"/>
    <w:rsid w:val="00AE1547"/>
    <w:rsid w:val="00AE4A3B"/>
    <w:rsid w:val="00AF0FC0"/>
    <w:rsid w:val="00B017B9"/>
    <w:rsid w:val="00B0381A"/>
    <w:rsid w:val="00B0429F"/>
    <w:rsid w:val="00B04690"/>
    <w:rsid w:val="00B15573"/>
    <w:rsid w:val="00B2125D"/>
    <w:rsid w:val="00B243A9"/>
    <w:rsid w:val="00B25943"/>
    <w:rsid w:val="00B25D14"/>
    <w:rsid w:val="00B329B4"/>
    <w:rsid w:val="00B373B9"/>
    <w:rsid w:val="00B67BB0"/>
    <w:rsid w:val="00B77F6C"/>
    <w:rsid w:val="00B81A88"/>
    <w:rsid w:val="00B87ADF"/>
    <w:rsid w:val="00B91EAF"/>
    <w:rsid w:val="00B94E45"/>
    <w:rsid w:val="00BA2E58"/>
    <w:rsid w:val="00BA4C37"/>
    <w:rsid w:val="00BA784D"/>
    <w:rsid w:val="00BB0723"/>
    <w:rsid w:val="00BB4ADD"/>
    <w:rsid w:val="00BB5E8F"/>
    <w:rsid w:val="00BE169E"/>
    <w:rsid w:val="00BE67A0"/>
    <w:rsid w:val="00C14A24"/>
    <w:rsid w:val="00C43C21"/>
    <w:rsid w:val="00C44641"/>
    <w:rsid w:val="00C5571A"/>
    <w:rsid w:val="00C57B73"/>
    <w:rsid w:val="00C653A4"/>
    <w:rsid w:val="00C71D9A"/>
    <w:rsid w:val="00C71F3C"/>
    <w:rsid w:val="00C946E7"/>
    <w:rsid w:val="00CA2985"/>
    <w:rsid w:val="00CA63AC"/>
    <w:rsid w:val="00CD0EC6"/>
    <w:rsid w:val="00CD166C"/>
    <w:rsid w:val="00CD77C0"/>
    <w:rsid w:val="00CE3A48"/>
    <w:rsid w:val="00CE58D7"/>
    <w:rsid w:val="00CF325F"/>
    <w:rsid w:val="00D011A3"/>
    <w:rsid w:val="00D0176C"/>
    <w:rsid w:val="00D10DF3"/>
    <w:rsid w:val="00D16F81"/>
    <w:rsid w:val="00D224B7"/>
    <w:rsid w:val="00D22657"/>
    <w:rsid w:val="00D26F3E"/>
    <w:rsid w:val="00D303B9"/>
    <w:rsid w:val="00D37558"/>
    <w:rsid w:val="00D63CCC"/>
    <w:rsid w:val="00D649A6"/>
    <w:rsid w:val="00D6552D"/>
    <w:rsid w:val="00D75D37"/>
    <w:rsid w:val="00D8210A"/>
    <w:rsid w:val="00D84FF1"/>
    <w:rsid w:val="00D86BCC"/>
    <w:rsid w:val="00D90ABB"/>
    <w:rsid w:val="00D92C9C"/>
    <w:rsid w:val="00D977D2"/>
    <w:rsid w:val="00DA1039"/>
    <w:rsid w:val="00DB15C1"/>
    <w:rsid w:val="00DB511A"/>
    <w:rsid w:val="00DC044B"/>
    <w:rsid w:val="00DC4457"/>
    <w:rsid w:val="00DD63B9"/>
    <w:rsid w:val="00DE772C"/>
    <w:rsid w:val="00DF74EB"/>
    <w:rsid w:val="00E0498C"/>
    <w:rsid w:val="00E31EB1"/>
    <w:rsid w:val="00E34FE4"/>
    <w:rsid w:val="00E36916"/>
    <w:rsid w:val="00E44CC6"/>
    <w:rsid w:val="00E51B20"/>
    <w:rsid w:val="00E605FE"/>
    <w:rsid w:val="00E61CDA"/>
    <w:rsid w:val="00E80548"/>
    <w:rsid w:val="00E80954"/>
    <w:rsid w:val="00E8262A"/>
    <w:rsid w:val="00E85DED"/>
    <w:rsid w:val="00EA29BE"/>
    <w:rsid w:val="00EA50F2"/>
    <w:rsid w:val="00EA5108"/>
    <w:rsid w:val="00EB7CDB"/>
    <w:rsid w:val="00ED218B"/>
    <w:rsid w:val="00ED2F30"/>
    <w:rsid w:val="00EF1127"/>
    <w:rsid w:val="00EF142E"/>
    <w:rsid w:val="00EF4360"/>
    <w:rsid w:val="00F04F45"/>
    <w:rsid w:val="00F15E61"/>
    <w:rsid w:val="00F31FF5"/>
    <w:rsid w:val="00F328C8"/>
    <w:rsid w:val="00F34A34"/>
    <w:rsid w:val="00F35FDC"/>
    <w:rsid w:val="00F44FBF"/>
    <w:rsid w:val="00F6026A"/>
    <w:rsid w:val="00F61E44"/>
    <w:rsid w:val="00F72B40"/>
    <w:rsid w:val="00F75A21"/>
    <w:rsid w:val="00F80282"/>
    <w:rsid w:val="00F87D63"/>
    <w:rsid w:val="00FA52FF"/>
    <w:rsid w:val="00FB71E8"/>
    <w:rsid w:val="00FC034C"/>
    <w:rsid w:val="00FC0AF0"/>
    <w:rsid w:val="00FC1337"/>
    <w:rsid w:val="00FC73F7"/>
    <w:rsid w:val="00FD23B1"/>
    <w:rsid w:val="00FD2C40"/>
    <w:rsid w:val="00FD3503"/>
    <w:rsid w:val="00FD58A3"/>
    <w:rsid w:val="00FE3D0E"/>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8873A5"/>
    <w:pPr>
      <w:keepNext/>
      <w:numPr>
        <w:numId w:val="37"/>
      </w:numPr>
      <w:spacing w:after="240"/>
      <w:ind w:right="288"/>
      <w:outlineLvl w:val="0"/>
    </w:pPr>
    <w:rPr>
      <w:rFonts w:ascii="Arial" w:hAnsi="Arial"/>
      <w:b/>
      <w:sz w:val="24"/>
    </w:rPr>
  </w:style>
  <w:style w:type="paragraph" w:styleId="Heading2">
    <w:name w:val="heading 2"/>
    <w:aliases w:val="H2,h2"/>
    <w:basedOn w:val="Normal"/>
    <w:next w:val="Normal"/>
    <w:qFormat/>
    <w:rsid w:val="005077A0"/>
    <w:pPr>
      <w:keepNext/>
      <w:numPr>
        <w:ilvl w:val="1"/>
        <w:numId w:val="37"/>
      </w:numPr>
      <w:ind w:right="284"/>
      <w:outlineLvl w:val="1"/>
    </w:pPr>
    <w:rPr>
      <w:rFonts w:ascii="Arial" w:hAnsi="Arial"/>
      <w:b/>
      <w:sz w:val="22"/>
    </w:rPr>
  </w:style>
  <w:style w:type="paragraph" w:styleId="Heading3">
    <w:name w:val="heading 3"/>
    <w:aliases w:val="H3,h3"/>
    <w:basedOn w:val="Normal"/>
    <w:next w:val="Normal"/>
    <w:qFormat/>
    <w:rsid w:val="002D343C"/>
    <w:pPr>
      <w:keepNext/>
      <w:numPr>
        <w:ilvl w:val="2"/>
        <w:numId w:val="37"/>
      </w:numPr>
      <w:outlineLvl w:val="2"/>
    </w:pPr>
    <w:rPr>
      <w:sz w:val="22"/>
    </w:rPr>
  </w:style>
  <w:style w:type="paragraph" w:styleId="Heading4">
    <w:name w:val="heading 4"/>
    <w:aliases w:val="h4"/>
    <w:basedOn w:val="Normal"/>
    <w:next w:val="Normal"/>
    <w:qFormat/>
    <w:pPr>
      <w:keepNext/>
      <w:numPr>
        <w:ilvl w:val="3"/>
        <w:numId w:val="37"/>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37"/>
      </w:numPr>
      <w:jc w:val="center"/>
      <w:outlineLvl w:val="4"/>
    </w:pPr>
    <w:rPr>
      <w:rFonts w:ascii="Arial" w:hAnsi="Arial"/>
      <w:b/>
      <w:sz w:val="24"/>
    </w:rPr>
  </w:style>
  <w:style w:type="paragraph" w:styleId="Heading6">
    <w:name w:val="heading 6"/>
    <w:aliases w:val="h6"/>
    <w:basedOn w:val="Normal"/>
    <w:next w:val="Normal"/>
    <w:qFormat/>
    <w:pPr>
      <w:keepNext/>
      <w:numPr>
        <w:ilvl w:val="5"/>
        <w:numId w:val="37"/>
      </w:numPr>
      <w:outlineLvl w:val="5"/>
    </w:pPr>
    <w:rPr>
      <w:rFonts w:ascii="Arial" w:hAnsi="Arial"/>
      <w:b/>
      <w:color w:val="C0C0C0"/>
      <w:sz w:val="24"/>
    </w:rPr>
  </w:style>
  <w:style w:type="paragraph" w:styleId="Heading7">
    <w:name w:val="heading 7"/>
    <w:basedOn w:val="Normal"/>
    <w:next w:val="Normal"/>
    <w:qFormat/>
    <w:pPr>
      <w:keepNext/>
      <w:numPr>
        <w:ilvl w:val="6"/>
        <w:numId w:val="37"/>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37"/>
      </w:numPr>
      <w:spacing w:after="120"/>
      <w:outlineLvl w:val="7"/>
    </w:pPr>
    <w:rPr>
      <w:rFonts w:ascii="Arial" w:hAnsi="Arial"/>
      <w:b/>
      <w:sz w:val="22"/>
    </w:rPr>
  </w:style>
  <w:style w:type="paragraph" w:styleId="Heading9">
    <w:name w:val="heading 9"/>
    <w:basedOn w:val="Normal"/>
    <w:next w:val="Normal"/>
    <w:qFormat/>
    <w:pPr>
      <w:keepNext/>
      <w:numPr>
        <w:ilvl w:val="8"/>
        <w:numId w:val="37"/>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paragraph" w:styleId="NormalWeb">
    <w:name w:val="Normal (Web)"/>
    <w:basedOn w:val="Normal"/>
    <w:uiPriority w:val="99"/>
    <w:semiHidden/>
    <w:unhideWhenUsed/>
    <w:rsid w:val="00A5094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364063557">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B53E8C-B939-488A-A4A1-76FACB8BB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5928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 Qing</cp:lastModifiedBy>
  <cp:revision>2</cp:revision>
  <cp:lastPrinted>2002-04-23T07:10:00Z</cp:lastPrinted>
  <dcterms:created xsi:type="dcterms:W3CDTF">2019-08-17T01:23:00Z</dcterms:created>
  <dcterms:modified xsi:type="dcterms:W3CDTF">2019-08-17T01:23:00Z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