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B41" w:rsidRPr="00695B41" w:rsidRDefault="00695B41" w:rsidP="00695B41">
      <w:pPr>
        <w:pStyle w:val="a8"/>
        <w:tabs>
          <w:tab w:val="right" w:pos="9639"/>
        </w:tabs>
        <w:jc w:val="both"/>
        <w:rPr>
          <w:rFonts w:ascii="Times New Roman" w:eastAsia="新細明體" w:hAnsi="Times New Roman" w:cs="Times New Roman"/>
          <w:bCs w:val="0"/>
          <w:noProof w:val="0"/>
          <w:color w:val="000000"/>
          <w:sz w:val="24"/>
          <w:szCs w:val="24"/>
          <w:lang w:val="en-GB" w:eastAsia="zh-TW"/>
        </w:rPr>
      </w:pPr>
      <w:bookmarkStart w:id="0" w:name="_Ref452454252"/>
      <w:bookmarkEnd w:id="0"/>
      <w:r w:rsidRPr="00695B41">
        <w:rPr>
          <w:rFonts w:ascii="Times New Roman" w:hAnsi="Times New Roman" w:cs="Times New Roman"/>
          <w:noProof w:val="0"/>
          <w:color w:val="000000"/>
          <w:sz w:val="24"/>
          <w:szCs w:val="24"/>
          <w:lang w:val="en-GB"/>
        </w:rPr>
        <w:t xml:space="preserve">3GPP TSG RAN WG1 </w:t>
      </w:r>
      <w:r w:rsidRPr="00695B41">
        <w:rPr>
          <w:rFonts w:ascii="Times New Roman" w:eastAsiaTheme="minorEastAsia" w:hAnsi="Times New Roman" w:cs="Times New Roman"/>
          <w:noProof w:val="0"/>
          <w:color w:val="000000"/>
          <w:sz w:val="24"/>
          <w:szCs w:val="24"/>
          <w:lang w:val="en-GB" w:eastAsia="zh-TW"/>
        </w:rPr>
        <w:t>#98</w:t>
      </w:r>
      <w:r w:rsidRPr="00695B41">
        <w:rPr>
          <w:rFonts w:ascii="Times New Roman" w:hAnsi="Times New Roman" w:cs="Times New Roman"/>
          <w:noProof w:val="0"/>
          <w:color w:val="000000"/>
          <w:sz w:val="24"/>
          <w:szCs w:val="24"/>
          <w:lang w:val="en-GB"/>
        </w:rPr>
        <w:tab/>
      </w:r>
      <w:r w:rsidRPr="00695B41">
        <w:rPr>
          <w:rFonts w:ascii="Times New Roman" w:eastAsia="新細明體" w:hAnsi="Times New Roman" w:cs="Times New Roman"/>
          <w:noProof w:val="0"/>
          <w:color w:val="000000"/>
          <w:sz w:val="24"/>
          <w:szCs w:val="24"/>
          <w:lang w:val="en-GB" w:eastAsia="zh-TW"/>
        </w:rPr>
        <w:t>R1-19</w:t>
      </w:r>
      <w:r>
        <w:rPr>
          <w:rFonts w:ascii="Times New Roman" w:eastAsia="新細明體" w:hAnsi="Times New Roman" w:cs="Times New Roman"/>
          <w:noProof w:val="0"/>
          <w:color w:val="000000"/>
          <w:sz w:val="24"/>
          <w:szCs w:val="24"/>
          <w:lang w:val="en-GB" w:eastAsia="zh-TW"/>
        </w:rPr>
        <w:t>08891</w:t>
      </w:r>
      <w:bookmarkStart w:id="1" w:name="_GoBack"/>
      <w:bookmarkEnd w:id="1"/>
    </w:p>
    <w:p w:rsidR="00695B41" w:rsidRPr="00695B41" w:rsidRDefault="00695B41" w:rsidP="00695B41">
      <w:pPr>
        <w:tabs>
          <w:tab w:val="center" w:pos="4536"/>
          <w:tab w:val="right" w:pos="9072"/>
        </w:tabs>
        <w:rPr>
          <w:rFonts w:ascii="Times New Roman" w:eastAsia="MS Mincho" w:hAnsi="Times New Roman"/>
          <w:b/>
          <w:bCs/>
          <w:sz w:val="24"/>
          <w:szCs w:val="24"/>
          <w:lang w:eastAsia="ja-JP"/>
        </w:rPr>
      </w:pPr>
      <w:r w:rsidRPr="00695B41">
        <w:rPr>
          <w:rFonts w:ascii="Times New Roman" w:eastAsia="MS Mincho" w:hAnsi="Times New Roman"/>
          <w:b/>
          <w:bCs/>
          <w:sz w:val="24"/>
          <w:szCs w:val="24"/>
          <w:lang w:eastAsia="ja-JP"/>
        </w:rPr>
        <w:t>Prague, CZ, August 26</w:t>
      </w:r>
      <w:r w:rsidRPr="00695B41">
        <w:rPr>
          <w:rFonts w:ascii="Times New Roman" w:eastAsia="MS Mincho" w:hAnsi="Times New Roman"/>
          <w:b/>
          <w:bCs/>
          <w:sz w:val="24"/>
          <w:szCs w:val="24"/>
          <w:vertAlign w:val="superscript"/>
          <w:lang w:eastAsia="ja-JP"/>
        </w:rPr>
        <w:t>th</w:t>
      </w:r>
      <w:r w:rsidRPr="00695B41">
        <w:rPr>
          <w:rFonts w:ascii="Times New Roman" w:eastAsia="MS Mincho" w:hAnsi="Times New Roman"/>
          <w:b/>
          <w:bCs/>
          <w:sz w:val="24"/>
          <w:szCs w:val="24"/>
          <w:lang w:eastAsia="ja-JP"/>
        </w:rPr>
        <w:t xml:space="preserve"> – 30</w:t>
      </w:r>
      <w:r w:rsidRPr="00695B41">
        <w:rPr>
          <w:rFonts w:ascii="Times New Roman" w:eastAsia="MS Mincho" w:hAnsi="Times New Roman"/>
          <w:b/>
          <w:bCs/>
          <w:sz w:val="24"/>
          <w:szCs w:val="24"/>
          <w:vertAlign w:val="superscript"/>
          <w:lang w:eastAsia="ja-JP"/>
        </w:rPr>
        <w:t>th</w:t>
      </w:r>
      <w:r w:rsidRPr="00695B41">
        <w:rPr>
          <w:rFonts w:ascii="Times New Roman" w:eastAsia="MS Mincho" w:hAnsi="Times New Roman"/>
          <w:b/>
          <w:bCs/>
          <w:sz w:val="24"/>
          <w:szCs w:val="24"/>
          <w:lang w:eastAsia="ja-JP"/>
        </w:rPr>
        <w:t>, 2019</w:t>
      </w:r>
    </w:p>
    <w:p w:rsidR="009D7BBD" w:rsidRPr="00695B41" w:rsidRDefault="009D7BBD" w:rsidP="00526C00">
      <w:pPr>
        <w:pStyle w:val="3GPPHeader"/>
        <w:spacing w:after="120" w:line="240" w:lineRule="exact"/>
        <w:rPr>
          <w:rFonts w:asciiTheme="majorBidi" w:eastAsiaTheme="minorEastAsia" w:hAnsiTheme="majorBidi" w:cstheme="majorBidi"/>
          <w:bCs/>
          <w:szCs w:val="24"/>
          <w:lang w:eastAsia="zh-TW"/>
        </w:rPr>
      </w:pPr>
    </w:p>
    <w:p w:rsidR="00576C7D" w:rsidRPr="00B02DBE" w:rsidRDefault="00BC2FB7" w:rsidP="00F53661">
      <w:pPr>
        <w:pStyle w:val="3GPPHeader"/>
        <w:tabs>
          <w:tab w:val="clear" w:pos="1701"/>
          <w:tab w:val="left" w:pos="1985"/>
        </w:tabs>
        <w:spacing w:after="120" w:line="240" w:lineRule="exact"/>
        <w:rPr>
          <w:rFonts w:asciiTheme="majorBidi" w:eastAsia="新細明體" w:hAnsiTheme="majorBidi" w:cstheme="majorBidi"/>
          <w:bCs/>
          <w:szCs w:val="24"/>
          <w:lang w:val="en-US" w:eastAsia="zh-TW"/>
        </w:rPr>
      </w:pPr>
      <w:r w:rsidRPr="00B02DBE">
        <w:rPr>
          <w:rFonts w:asciiTheme="majorBidi" w:eastAsia="MS Mincho" w:hAnsiTheme="majorBidi" w:cstheme="majorBidi"/>
          <w:bCs/>
          <w:szCs w:val="24"/>
          <w:lang w:val="en-US"/>
        </w:rPr>
        <w:t>Agenda item:</w:t>
      </w:r>
      <w:r w:rsidR="00F53661">
        <w:rPr>
          <w:rFonts w:asciiTheme="majorBidi" w:eastAsia="MS Mincho" w:hAnsiTheme="majorBidi" w:cstheme="majorBidi"/>
          <w:bCs/>
          <w:szCs w:val="24"/>
          <w:lang w:val="en-US"/>
        </w:rPr>
        <w:tab/>
      </w:r>
      <w:r w:rsidRPr="00B02DBE">
        <w:rPr>
          <w:rFonts w:asciiTheme="majorBidi" w:eastAsia="MS Mincho" w:hAnsiTheme="majorBidi" w:cstheme="majorBidi"/>
          <w:bCs/>
          <w:szCs w:val="24"/>
          <w:lang w:val="en-US"/>
        </w:rPr>
        <w:t>7.2.</w:t>
      </w:r>
      <w:r w:rsidR="00DF2A96" w:rsidRPr="00B02DBE">
        <w:rPr>
          <w:rFonts w:asciiTheme="majorBidi" w:eastAsia="MS Mincho" w:hAnsiTheme="majorBidi" w:cstheme="majorBidi"/>
          <w:bCs/>
          <w:szCs w:val="24"/>
          <w:lang w:val="en-US"/>
        </w:rPr>
        <w:t>4</w:t>
      </w:r>
      <w:r w:rsidRPr="00B02DBE">
        <w:rPr>
          <w:rFonts w:asciiTheme="majorBidi" w:eastAsia="MS Mincho" w:hAnsiTheme="majorBidi" w:cstheme="majorBidi"/>
          <w:bCs/>
          <w:szCs w:val="24"/>
          <w:lang w:val="en-US"/>
        </w:rPr>
        <w:t>.</w:t>
      </w:r>
      <w:r w:rsidR="003A0B80">
        <w:rPr>
          <w:rFonts w:asciiTheme="majorBidi" w:eastAsia="MS Mincho" w:hAnsiTheme="majorBidi" w:cstheme="majorBidi"/>
          <w:bCs/>
          <w:szCs w:val="24"/>
          <w:lang w:val="en-US"/>
        </w:rPr>
        <w:t xml:space="preserve">6 </w:t>
      </w:r>
      <w:proofErr w:type="spellStart"/>
      <w:r w:rsidR="003A0B80">
        <w:rPr>
          <w:rFonts w:asciiTheme="majorBidi" w:eastAsia="MS Mincho" w:hAnsiTheme="majorBidi" w:cstheme="majorBidi"/>
          <w:bCs/>
          <w:szCs w:val="24"/>
          <w:lang w:val="en-US"/>
        </w:rPr>
        <w:t>QoS</w:t>
      </w:r>
      <w:proofErr w:type="spellEnd"/>
      <w:r w:rsidR="003A0B80">
        <w:rPr>
          <w:rFonts w:asciiTheme="majorBidi" w:eastAsia="MS Mincho" w:hAnsiTheme="majorBidi" w:cstheme="majorBidi"/>
          <w:bCs/>
          <w:szCs w:val="24"/>
          <w:lang w:val="en-US"/>
        </w:rPr>
        <w:t xml:space="preserve"> management for sidelink</w:t>
      </w:r>
    </w:p>
    <w:p w:rsidR="00576C7D" w:rsidRPr="00B02DBE" w:rsidRDefault="00576C7D" w:rsidP="00F53661">
      <w:pPr>
        <w:pStyle w:val="3GPPHeader"/>
        <w:tabs>
          <w:tab w:val="clear" w:pos="1701"/>
          <w:tab w:val="left" w:pos="1985"/>
        </w:tabs>
        <w:spacing w:after="120" w:line="240" w:lineRule="exact"/>
        <w:rPr>
          <w:rFonts w:asciiTheme="majorBidi" w:eastAsia="MS Mincho" w:hAnsiTheme="majorBidi" w:cstheme="majorBidi"/>
          <w:bCs/>
          <w:szCs w:val="24"/>
          <w:lang w:val="en-US"/>
        </w:rPr>
      </w:pPr>
      <w:r w:rsidRPr="00B02DBE">
        <w:rPr>
          <w:rFonts w:asciiTheme="majorBidi" w:eastAsia="MS Mincho" w:hAnsiTheme="majorBidi" w:cstheme="majorBidi"/>
          <w:bCs/>
          <w:szCs w:val="24"/>
          <w:lang w:val="en-US"/>
        </w:rPr>
        <w:t>Source:</w:t>
      </w:r>
      <w:r w:rsidR="00F53661">
        <w:rPr>
          <w:rFonts w:asciiTheme="majorBidi" w:eastAsia="新細明體" w:hAnsiTheme="majorBidi" w:cstheme="majorBidi"/>
          <w:bCs/>
          <w:szCs w:val="24"/>
          <w:lang w:val="en-US" w:eastAsia="zh-TW"/>
        </w:rPr>
        <w:tab/>
      </w:r>
      <w:r w:rsidRPr="00B02DBE">
        <w:rPr>
          <w:rFonts w:asciiTheme="majorBidi" w:eastAsia="MS Mincho" w:hAnsiTheme="majorBidi" w:cstheme="majorBidi"/>
          <w:bCs/>
          <w:szCs w:val="24"/>
          <w:lang w:val="en-US"/>
        </w:rPr>
        <w:t>ITRI</w:t>
      </w:r>
    </w:p>
    <w:p w:rsidR="009C7741" w:rsidRPr="00B02DBE" w:rsidRDefault="00576C7D" w:rsidP="00F53661">
      <w:pPr>
        <w:tabs>
          <w:tab w:val="left" w:pos="1985"/>
        </w:tabs>
        <w:rPr>
          <w:rFonts w:asciiTheme="majorBidi" w:hAnsiTheme="majorBidi" w:cstheme="majorBidi"/>
          <w:b/>
          <w:sz w:val="24"/>
          <w:szCs w:val="24"/>
          <w:lang w:val="en-US"/>
        </w:rPr>
      </w:pPr>
      <w:r w:rsidRPr="00B02DBE">
        <w:rPr>
          <w:rFonts w:asciiTheme="majorBidi" w:hAnsiTheme="majorBidi" w:cstheme="majorBidi"/>
          <w:b/>
          <w:sz w:val="24"/>
          <w:szCs w:val="24"/>
          <w:lang w:val="en-US"/>
        </w:rPr>
        <w:t>Title:</w:t>
      </w:r>
      <w:r w:rsidR="003A0B80">
        <w:rPr>
          <w:rFonts w:asciiTheme="majorBidi" w:hAnsiTheme="majorBidi" w:cstheme="majorBidi"/>
          <w:b/>
          <w:sz w:val="24"/>
          <w:szCs w:val="24"/>
          <w:lang w:val="en-US"/>
        </w:rPr>
        <w:tab/>
      </w:r>
      <w:r w:rsidR="003A0B80" w:rsidRPr="003A0B80">
        <w:rPr>
          <w:rFonts w:asciiTheme="majorBidi" w:hAnsiTheme="majorBidi" w:cstheme="majorBidi"/>
          <w:b/>
          <w:sz w:val="24"/>
          <w:szCs w:val="24"/>
        </w:rPr>
        <w:t xml:space="preserve">QoS management for </w:t>
      </w:r>
      <w:r w:rsidR="00561937">
        <w:rPr>
          <w:rFonts w:asciiTheme="majorBidi" w:hAnsiTheme="majorBidi" w:cstheme="majorBidi"/>
          <w:b/>
          <w:sz w:val="24"/>
          <w:szCs w:val="24"/>
        </w:rPr>
        <w:t>LTE and NR congestion control</w:t>
      </w:r>
    </w:p>
    <w:p w:rsidR="00E90E49" w:rsidRPr="00B02DBE" w:rsidRDefault="00F53661" w:rsidP="00F53661">
      <w:pPr>
        <w:pStyle w:val="3GPPHeader"/>
        <w:tabs>
          <w:tab w:val="clear" w:pos="1701"/>
          <w:tab w:val="left" w:pos="1985"/>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ajorBidi" w:hAnsiTheme="majorBidi" w:cstheme="majorBidi"/>
          <w:szCs w:val="24"/>
          <w:lang w:val="en-US"/>
        </w:rPr>
        <w:tab/>
      </w:r>
      <w:r w:rsidR="00723B13" w:rsidRPr="00B02DBE">
        <w:rPr>
          <w:rFonts w:asciiTheme="majorBidi" w:hAnsiTheme="majorBidi" w:cstheme="majorBidi"/>
          <w:szCs w:val="24"/>
          <w:lang w:val="en-US"/>
        </w:rPr>
        <w:t>Discussion</w:t>
      </w:r>
      <w:r w:rsidR="009F5AA8" w:rsidRPr="00B02DBE">
        <w:rPr>
          <w:rFonts w:asciiTheme="majorBidi" w:hAnsiTheme="majorBidi" w:cstheme="majorBidi"/>
          <w:szCs w:val="24"/>
          <w:lang w:val="en-US"/>
        </w:rPr>
        <w:t xml:space="preserve"> &amp; Decision</w:t>
      </w:r>
    </w:p>
    <w:p w:rsidR="00E90E49" w:rsidRPr="00CD1C8F" w:rsidRDefault="00E90E49" w:rsidP="00CD1C8F">
      <w:pPr>
        <w:pStyle w:val="1"/>
      </w:pPr>
      <w:r w:rsidRPr="00CD1C8F">
        <w:t>Introduction</w:t>
      </w:r>
    </w:p>
    <w:p w:rsidR="00DF2A96" w:rsidRPr="00B02DBE" w:rsidRDefault="00DF2A96" w:rsidP="00227C3D">
      <w:pPr>
        <w:spacing w:after="200" w:line="274" w:lineRule="auto"/>
        <w:rPr>
          <w:rFonts w:asciiTheme="majorBidi" w:hAnsiTheme="majorBidi" w:cstheme="majorBidi"/>
          <w:sz w:val="22"/>
          <w:szCs w:val="22"/>
        </w:rPr>
      </w:pPr>
      <w:r w:rsidRPr="00B02DBE">
        <w:rPr>
          <w:rFonts w:asciiTheme="majorBidi" w:hAnsiTheme="majorBidi" w:cstheme="majorBidi"/>
          <w:sz w:val="22"/>
          <w:szCs w:val="22"/>
          <w:lang w:val="en-US" w:eastAsia="ko-KR"/>
        </w:rPr>
        <w:t>In RAN1#9</w:t>
      </w:r>
      <w:r w:rsidR="002A2F3C">
        <w:rPr>
          <w:rFonts w:asciiTheme="majorBidi" w:hAnsiTheme="majorBidi" w:cstheme="majorBidi"/>
          <w:sz w:val="22"/>
          <w:szCs w:val="22"/>
          <w:lang w:val="en-US" w:eastAsia="ko-KR"/>
        </w:rPr>
        <w:t>7</w:t>
      </w:r>
      <w:r w:rsidR="00F27116" w:rsidRPr="00B02DBE">
        <w:rPr>
          <w:rFonts w:asciiTheme="majorBidi" w:hAnsiTheme="majorBidi" w:cstheme="majorBidi"/>
          <w:sz w:val="22"/>
          <w:szCs w:val="22"/>
          <w:lang w:val="en-US" w:eastAsia="ko-KR"/>
        </w:rPr>
        <w:t xml:space="preserve"> meeting</w:t>
      </w:r>
      <w:r w:rsidR="000A30AF">
        <w:rPr>
          <w:rFonts w:asciiTheme="majorBidi" w:hAnsiTheme="majorBidi" w:cstheme="majorBidi"/>
          <w:sz w:val="22"/>
          <w:szCs w:val="22"/>
          <w:lang w:val="en-US" w:eastAsia="ko-KR"/>
        </w:rPr>
        <w:t xml:space="preserve"> </w:t>
      </w:r>
      <w:r w:rsidR="000A30AF">
        <w:rPr>
          <w:rFonts w:asciiTheme="majorBidi" w:hAnsiTheme="majorBidi" w:cstheme="majorBidi"/>
          <w:sz w:val="22"/>
          <w:szCs w:val="22"/>
          <w:lang w:val="en-US" w:eastAsia="ko-KR"/>
        </w:rPr>
        <w:fldChar w:fldCharType="begin"/>
      </w:r>
      <w:r w:rsidR="000A30AF">
        <w:rPr>
          <w:rFonts w:asciiTheme="majorBidi" w:hAnsiTheme="majorBidi" w:cstheme="majorBidi"/>
          <w:sz w:val="22"/>
          <w:szCs w:val="22"/>
          <w:lang w:val="en-US" w:eastAsia="ko-KR"/>
        </w:rPr>
        <w:instrText xml:space="preserve"> REF _Ref7705411 \n \h </w:instrText>
      </w:r>
      <w:r w:rsidR="000A30AF">
        <w:rPr>
          <w:rFonts w:asciiTheme="majorBidi" w:hAnsiTheme="majorBidi" w:cstheme="majorBidi"/>
          <w:sz w:val="22"/>
          <w:szCs w:val="22"/>
          <w:lang w:val="en-US" w:eastAsia="ko-KR"/>
        </w:rPr>
      </w:r>
      <w:r w:rsidR="000A30AF">
        <w:rPr>
          <w:rFonts w:asciiTheme="majorBidi" w:hAnsiTheme="majorBidi" w:cstheme="majorBidi"/>
          <w:sz w:val="22"/>
          <w:szCs w:val="22"/>
          <w:lang w:val="en-US" w:eastAsia="ko-KR"/>
        </w:rPr>
        <w:fldChar w:fldCharType="separate"/>
      </w:r>
      <w:r w:rsidR="000A30AF">
        <w:rPr>
          <w:rFonts w:asciiTheme="majorBidi" w:hAnsiTheme="majorBidi" w:cstheme="majorBidi"/>
          <w:sz w:val="22"/>
          <w:szCs w:val="22"/>
          <w:lang w:val="en-US" w:eastAsia="ko-KR"/>
        </w:rPr>
        <w:t>[1]</w:t>
      </w:r>
      <w:r w:rsidR="000A30AF">
        <w:rPr>
          <w:rFonts w:asciiTheme="majorBidi" w:hAnsiTheme="majorBidi" w:cstheme="majorBidi"/>
          <w:sz w:val="22"/>
          <w:szCs w:val="22"/>
          <w:lang w:val="en-US" w:eastAsia="ko-KR"/>
        </w:rPr>
        <w:fldChar w:fldCharType="end"/>
      </w:r>
      <w:r w:rsidR="00F27116" w:rsidRPr="00B02DBE">
        <w:rPr>
          <w:rFonts w:asciiTheme="majorBidi" w:hAnsiTheme="majorBidi" w:cstheme="majorBidi"/>
          <w:sz w:val="22"/>
          <w:szCs w:val="22"/>
          <w:lang w:val="en-US" w:eastAsia="ko-KR"/>
        </w:rPr>
        <w:t xml:space="preserve">, the </w:t>
      </w:r>
      <w:r w:rsidR="00F27116" w:rsidRPr="00B02DBE">
        <w:rPr>
          <w:rFonts w:asciiTheme="majorBidi" w:hAnsiTheme="majorBidi" w:cstheme="majorBidi"/>
          <w:sz w:val="22"/>
          <w:szCs w:val="22"/>
        </w:rPr>
        <w:t xml:space="preserve">QoS </w:t>
      </w:r>
      <w:r w:rsidR="005C5BEA">
        <w:rPr>
          <w:rFonts w:asciiTheme="majorBidi" w:hAnsiTheme="majorBidi" w:cstheme="majorBidi"/>
          <w:sz w:val="22"/>
          <w:szCs w:val="22"/>
        </w:rPr>
        <w:t>m</w:t>
      </w:r>
      <w:r w:rsidR="00F27116" w:rsidRPr="00B02DBE">
        <w:rPr>
          <w:rFonts w:asciiTheme="majorBidi" w:hAnsiTheme="majorBidi" w:cstheme="majorBidi"/>
          <w:sz w:val="22"/>
          <w:szCs w:val="22"/>
        </w:rPr>
        <w:t xml:space="preserve">anagement </w:t>
      </w:r>
      <w:r w:rsidR="002A2F3C">
        <w:rPr>
          <w:rFonts w:asciiTheme="majorBidi" w:hAnsiTheme="majorBidi" w:cstheme="majorBidi"/>
          <w:sz w:val="22"/>
          <w:szCs w:val="22"/>
        </w:rPr>
        <w:t xml:space="preserve">for sidelink </w:t>
      </w:r>
      <w:proofErr w:type="gramStart"/>
      <w:r w:rsidR="002A2F3C">
        <w:rPr>
          <w:rFonts w:asciiTheme="majorBidi" w:hAnsiTheme="majorBidi" w:cstheme="majorBidi"/>
          <w:sz w:val="22"/>
          <w:szCs w:val="22"/>
        </w:rPr>
        <w:t>was discussed</w:t>
      </w:r>
      <w:proofErr w:type="gramEnd"/>
      <w:r w:rsidR="002A2F3C">
        <w:rPr>
          <w:rFonts w:asciiTheme="majorBidi" w:hAnsiTheme="majorBidi" w:cstheme="majorBidi"/>
          <w:sz w:val="22"/>
          <w:szCs w:val="22"/>
        </w:rPr>
        <w:t>, and the following agreements were made:</w:t>
      </w:r>
    </w:p>
    <w:p w:rsidR="00D07C98" w:rsidRDefault="00D07C98" w:rsidP="00327E76">
      <w:pPr>
        <w:ind w:leftChars="300" w:left="600"/>
      </w:pPr>
      <w:r>
        <w:rPr>
          <w:highlight w:val="green"/>
        </w:rPr>
        <w:t>Agreement</w:t>
      </w:r>
      <w:r>
        <w:t>:</w:t>
      </w:r>
    </w:p>
    <w:p w:rsidR="00D07C98" w:rsidRDefault="00D07C98" w:rsidP="00327E76">
      <w:pPr>
        <w:numPr>
          <w:ilvl w:val="0"/>
          <w:numId w:val="48"/>
        </w:numPr>
        <w:overflowPunct/>
        <w:autoSpaceDE/>
        <w:autoSpaceDN/>
        <w:adjustRightInd/>
        <w:spacing w:after="0"/>
        <w:ind w:leftChars="480" w:left="1320"/>
        <w:jc w:val="left"/>
        <w:textAlignment w:val="auto"/>
        <w:rPr>
          <w:lang w:val="en-US"/>
        </w:rPr>
      </w:pPr>
      <w:r>
        <w:rPr>
          <w:lang w:val="en-US"/>
        </w:rPr>
        <w:t>LTE V2X sidelink congestion control is the starting point for defining NR sidelink congestion control.</w:t>
      </w:r>
    </w:p>
    <w:p w:rsidR="00D07C98" w:rsidRDefault="00D07C98" w:rsidP="00327E76">
      <w:pPr>
        <w:ind w:leftChars="300" w:left="600"/>
        <w:rPr>
          <w:lang w:val="en-US"/>
        </w:rPr>
      </w:pPr>
    </w:p>
    <w:p w:rsidR="00D07C98" w:rsidRDefault="00D07C98" w:rsidP="00327E76">
      <w:pPr>
        <w:ind w:leftChars="300" w:left="600"/>
        <w:rPr>
          <w:lang w:val="en-US"/>
        </w:rPr>
      </w:pPr>
      <w:r>
        <w:rPr>
          <w:highlight w:val="green"/>
          <w:lang w:val="en-US"/>
        </w:rPr>
        <w:t>Agreement</w:t>
      </w:r>
      <w:r>
        <w:rPr>
          <w:lang w:val="en-US"/>
        </w:rPr>
        <w:t>:</w:t>
      </w:r>
    </w:p>
    <w:p w:rsidR="00D07C98" w:rsidRDefault="00D07C98" w:rsidP="00327E76">
      <w:pPr>
        <w:numPr>
          <w:ilvl w:val="0"/>
          <w:numId w:val="48"/>
        </w:numPr>
        <w:overflowPunct/>
        <w:autoSpaceDE/>
        <w:autoSpaceDN/>
        <w:adjustRightInd/>
        <w:spacing w:after="0"/>
        <w:ind w:leftChars="480" w:left="1320"/>
        <w:jc w:val="left"/>
        <w:textAlignment w:val="auto"/>
        <w:rPr>
          <w:lang w:val="en-US"/>
        </w:rPr>
      </w:pPr>
      <w:r>
        <w:rPr>
          <w:lang w:val="en-US"/>
        </w:rPr>
        <w:t xml:space="preserve">Higher-layer reporting of CBR to the </w:t>
      </w:r>
      <w:proofErr w:type="spellStart"/>
      <w:r>
        <w:rPr>
          <w:lang w:val="en-US"/>
        </w:rPr>
        <w:t>gNB</w:t>
      </w:r>
      <w:proofErr w:type="spellEnd"/>
      <w:r>
        <w:rPr>
          <w:lang w:val="en-US"/>
        </w:rPr>
        <w:t xml:space="preserve"> is supported for RRC_CONNECTED UEs.</w:t>
      </w:r>
    </w:p>
    <w:p w:rsidR="00D07C98" w:rsidRPr="006A2059" w:rsidRDefault="00D07C98" w:rsidP="006A2059">
      <w:pPr>
        <w:overflowPunct/>
        <w:autoSpaceDE/>
        <w:autoSpaceDN/>
        <w:adjustRightInd/>
        <w:spacing w:after="0"/>
        <w:jc w:val="left"/>
        <w:textAlignment w:val="auto"/>
        <w:rPr>
          <w:rFonts w:ascii="Times" w:eastAsia="Batang" w:hAnsi="Times"/>
          <w:highlight w:val="green"/>
          <w:lang w:eastAsia="en-US"/>
        </w:rPr>
      </w:pPr>
    </w:p>
    <w:p w:rsidR="004F0A9C" w:rsidRPr="00121B36" w:rsidRDefault="00121B36" w:rsidP="002111E0">
      <w:pPr>
        <w:spacing w:after="200" w:line="274" w:lineRule="auto"/>
        <w:rPr>
          <w:rFonts w:asciiTheme="majorBidi" w:eastAsiaTheme="minorEastAsia" w:hAnsiTheme="majorBidi" w:cstheme="majorBidi"/>
          <w:bCs/>
          <w:sz w:val="22"/>
          <w:szCs w:val="22"/>
          <w:lang w:val="en-US" w:eastAsia="zh-TW"/>
        </w:rPr>
      </w:pPr>
      <w:r>
        <w:rPr>
          <w:rFonts w:asciiTheme="majorBidi" w:eastAsiaTheme="minorEastAsia" w:hAnsiTheme="majorBidi" w:cstheme="majorBidi" w:hint="eastAsia"/>
          <w:bCs/>
          <w:sz w:val="22"/>
          <w:szCs w:val="22"/>
          <w:lang w:val="en-US" w:eastAsia="zh-TW"/>
        </w:rPr>
        <w:t xml:space="preserve">As a result, the </w:t>
      </w:r>
      <w:r w:rsidR="00D07C98">
        <w:rPr>
          <w:rFonts w:asciiTheme="majorBidi" w:eastAsiaTheme="minorEastAsia" w:hAnsiTheme="majorBidi" w:cstheme="majorBidi"/>
          <w:bCs/>
          <w:sz w:val="22"/>
          <w:szCs w:val="22"/>
          <w:lang w:val="en-US" w:eastAsia="zh-TW"/>
        </w:rPr>
        <w:t>NR and LTE sidelink congestion control for the QoS management should be studied to handle the related issues.</w:t>
      </w:r>
    </w:p>
    <w:p w:rsidR="00D01CBB" w:rsidRPr="000A30AF" w:rsidRDefault="00D01CBB" w:rsidP="002111E0">
      <w:pPr>
        <w:spacing w:after="200" w:line="274" w:lineRule="auto"/>
        <w:rPr>
          <w:rFonts w:asciiTheme="majorBidi" w:hAnsiTheme="majorBidi" w:cstheme="majorBidi"/>
          <w:kern w:val="2"/>
          <w:sz w:val="22"/>
          <w:szCs w:val="22"/>
          <w:lang w:val="en-US" w:eastAsia="ko-KR"/>
        </w:rPr>
      </w:pPr>
    </w:p>
    <w:p w:rsidR="004F0A9C" w:rsidRPr="00CD1C8F" w:rsidRDefault="00121B36" w:rsidP="00CD1C8F">
      <w:pPr>
        <w:pStyle w:val="1"/>
      </w:pPr>
      <w:r>
        <w:t xml:space="preserve">LTE </w:t>
      </w:r>
      <w:r w:rsidR="00327E76">
        <w:t xml:space="preserve">and NR </w:t>
      </w:r>
      <w:r>
        <w:t>sidelink congestion control</w:t>
      </w:r>
    </w:p>
    <w:p w:rsidR="00E04689" w:rsidRDefault="006C2F9E"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Channel Busy Ratio (CBR) is a time-dependent value between zero and one representing the fraction of time that a single channel is busy with transmissions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_Ref7707714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EA31FF">
        <w:rPr>
          <w:rFonts w:asciiTheme="majorBidi" w:eastAsiaTheme="minorEastAsia" w:hAnsiTheme="majorBidi" w:cstheme="majorBidi"/>
          <w:sz w:val="22"/>
          <w:szCs w:val="22"/>
          <w:lang w:val="en-US" w:eastAsia="zh-TW"/>
        </w:rPr>
        <w:t>[2]</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 xml:space="preserve">, and the ratio is as follows </w:t>
      </w:r>
      <w:r>
        <w:rPr>
          <w:rFonts w:asciiTheme="majorBidi" w:eastAsiaTheme="minorEastAsia" w:hAnsiTheme="majorBidi" w:cstheme="majorBidi"/>
          <w:sz w:val="22"/>
          <w:szCs w:val="22"/>
          <w:lang w:val="en-US" w:eastAsia="zh-TW"/>
        </w:rPr>
        <w:fldChar w:fldCharType="begin"/>
      </w:r>
      <w:r>
        <w:rPr>
          <w:rFonts w:asciiTheme="majorBidi" w:eastAsiaTheme="minorEastAsia" w:hAnsiTheme="majorBidi" w:cstheme="majorBidi"/>
          <w:sz w:val="22"/>
          <w:szCs w:val="22"/>
          <w:lang w:val="en-US" w:eastAsia="zh-TW"/>
        </w:rPr>
        <w:instrText xml:space="preserve"> REF _Ref7707739 \n \h </w:instrText>
      </w:r>
      <w:r>
        <w:rPr>
          <w:rFonts w:asciiTheme="majorBidi" w:eastAsiaTheme="minorEastAsia" w:hAnsiTheme="majorBidi" w:cstheme="majorBidi"/>
          <w:sz w:val="22"/>
          <w:szCs w:val="22"/>
          <w:lang w:val="en-US" w:eastAsia="zh-TW"/>
        </w:rPr>
      </w:r>
      <w:r>
        <w:rPr>
          <w:rFonts w:asciiTheme="majorBidi" w:eastAsiaTheme="minorEastAsia" w:hAnsiTheme="majorBidi" w:cstheme="majorBidi"/>
          <w:sz w:val="22"/>
          <w:szCs w:val="22"/>
          <w:lang w:val="en-US" w:eastAsia="zh-TW"/>
        </w:rPr>
        <w:fldChar w:fldCharType="separate"/>
      </w:r>
      <w:r w:rsidR="00EA31FF">
        <w:rPr>
          <w:rFonts w:asciiTheme="majorBidi" w:eastAsiaTheme="minorEastAsia" w:hAnsiTheme="majorBidi" w:cstheme="majorBidi"/>
          <w:sz w:val="22"/>
          <w:szCs w:val="22"/>
          <w:lang w:val="en-US" w:eastAsia="zh-TW"/>
        </w:rPr>
        <w:t>[3]</w:t>
      </w:r>
      <w:r>
        <w:rPr>
          <w:rFonts w:asciiTheme="majorBidi" w:eastAsiaTheme="minorEastAsia" w:hAnsiTheme="majorBidi" w:cstheme="majorBidi"/>
          <w:sz w:val="22"/>
          <w:szCs w:val="22"/>
          <w:lang w:val="en-US" w:eastAsia="zh-TW"/>
        </w:rPr>
        <w:fldChar w:fldCharType="end"/>
      </w:r>
      <w:r>
        <w:rPr>
          <w:rFonts w:asciiTheme="majorBidi" w:eastAsiaTheme="minorEastAsia" w:hAnsiTheme="majorBidi" w:cstheme="majorBidi"/>
          <w:sz w:val="22"/>
          <w:szCs w:val="22"/>
          <w:lang w:val="en-US" w:eastAsia="zh-TW"/>
        </w:rPr>
        <w:t>:</w:t>
      </w:r>
    </w:p>
    <w:p w:rsidR="006C2F9E" w:rsidRDefault="006C2F9E" w:rsidP="004F0A9C">
      <w:pPr>
        <w:rPr>
          <w:rFonts w:asciiTheme="majorBidi" w:eastAsiaTheme="minorEastAsia" w:hAnsiTheme="majorBidi" w:cstheme="majorBidi"/>
          <w:sz w:val="22"/>
          <w:szCs w:val="22"/>
          <w:lang w:val="en-US" w:eastAsia="zh-TW"/>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6C2F9E" w:rsidTr="006C2F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6C2F9E" w:rsidRDefault="006C2F9E">
            <w:pPr>
              <w:pStyle w:val="TAL"/>
              <w:rPr>
                <w:b/>
                <w:lang w:eastAsia="en-US"/>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6C2F9E" w:rsidRDefault="006C2F9E">
            <w:pPr>
              <w:rPr>
                <w:rFonts w:cs="Arial"/>
                <w:sz w:val="18"/>
                <w:szCs w:val="18"/>
                <w:lang w:val="en-US" w:eastAsia="ko-KR"/>
              </w:rPr>
            </w:pPr>
            <w:r>
              <w:rPr>
                <w:rFonts w:cs="Arial"/>
                <w:sz w:val="18"/>
                <w:szCs w:val="18"/>
                <w:lang w:eastAsia="ko-KR"/>
              </w:rPr>
              <w:t xml:space="preserve">Channel busy ratio (CBR) measured in </w:t>
            </w:r>
            <w:proofErr w:type="spellStart"/>
            <w:r>
              <w:rPr>
                <w:rFonts w:cs="Arial"/>
                <w:sz w:val="18"/>
                <w:szCs w:val="18"/>
                <w:lang w:eastAsia="ko-KR"/>
              </w:rPr>
              <w:t>subframe</w:t>
            </w:r>
            <w:proofErr w:type="spellEnd"/>
            <w:r>
              <w:rPr>
                <w:rFonts w:cs="Arial"/>
                <w:sz w:val="18"/>
                <w:szCs w:val="18"/>
                <w:lang w:eastAsia="ko-KR"/>
              </w:rPr>
              <w:t xml:space="preserve"> </w:t>
            </w:r>
            <w:r>
              <w:rPr>
                <w:rFonts w:cs="Arial"/>
                <w:i/>
                <w:iCs/>
                <w:sz w:val="18"/>
                <w:szCs w:val="18"/>
                <w:lang w:eastAsia="ko-KR"/>
              </w:rPr>
              <w:t>n</w:t>
            </w:r>
            <w:r>
              <w:rPr>
                <w:rFonts w:cs="Arial"/>
                <w:sz w:val="18"/>
                <w:szCs w:val="18"/>
                <w:lang w:eastAsia="ko-KR"/>
              </w:rPr>
              <w:t xml:space="preserve"> is defined as follows:</w:t>
            </w:r>
          </w:p>
          <w:p w:rsidR="006C2F9E" w:rsidRDefault="006C2F9E">
            <w:pPr>
              <w:pStyle w:val="B1"/>
              <w:rPr>
                <w:rFonts w:ascii="Times New Roman" w:hAnsi="Times New Roman"/>
                <w:lang w:eastAsia="ko-KR"/>
              </w:rPr>
            </w:pPr>
            <w:r>
              <w:rPr>
                <w:lang w:eastAsia="ko-KR"/>
              </w:rPr>
              <w:t>-</w:t>
            </w:r>
            <w:r>
              <w:rPr>
                <w:lang w:eastAsia="ko-KR"/>
              </w:rPr>
              <w:tab/>
              <w:t xml:space="preserve">For PSSCH, the portion of sub-channels in the resource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xml:space="preserve">]; </w:t>
            </w:r>
          </w:p>
          <w:p w:rsidR="006C2F9E" w:rsidRDefault="006C2F9E">
            <w:pPr>
              <w:pStyle w:val="B1"/>
              <w:rPr>
                <w:lang w:eastAsia="en-US"/>
              </w:rPr>
            </w:pPr>
            <w:r>
              <w:rPr>
                <w:lang w:eastAsia="ko-KR"/>
              </w:rPr>
              <w:t>-</w:t>
            </w:r>
            <w:r>
              <w:rPr>
                <w:lang w:eastAsia="ko-KR"/>
              </w:rPr>
              <w:tab/>
              <w:t xml:space="preserve">For PSCCH, in a pool (pre)configured such that PSCCH may be transmitted with its corresponding PSSCH in non-adjacent resource blocks, the portion of the resources of the PSCCH pool whose S-RSSI measured by the UE exceed a (pre-)configured threshold sensed over </w:t>
            </w:r>
            <w:proofErr w:type="spellStart"/>
            <w:r>
              <w:rPr>
                <w:lang w:eastAsia="ko-KR"/>
              </w:rPr>
              <w:t>subframes</w:t>
            </w:r>
            <w:proofErr w:type="spellEnd"/>
            <w:r>
              <w:rPr>
                <w:lang w:eastAsia="ko-KR"/>
              </w:rPr>
              <w:t xml:space="preserve"> [</w:t>
            </w:r>
            <w:r>
              <w:rPr>
                <w:i/>
                <w:iCs/>
                <w:lang w:eastAsia="ko-KR"/>
              </w:rPr>
              <w:t>n-100, n-1</w:t>
            </w:r>
            <w:r>
              <w:rPr>
                <w:lang w:eastAsia="ko-KR"/>
              </w:rPr>
              <w:t>], assuming that the PSCCH pool is composed of resources with a size of two consecutive PRB pairs in the frequency domain.</w:t>
            </w:r>
          </w:p>
        </w:tc>
      </w:tr>
      <w:tr w:rsidR="006C2F9E" w:rsidTr="006C2F9E">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6C2F9E" w:rsidRDefault="006C2F9E">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6C2F9E" w:rsidRDefault="006C2F9E">
            <w:pPr>
              <w:pStyle w:val="TAL"/>
            </w:pPr>
            <w:r>
              <w:t>RRC_IDLE intra-frequency,</w:t>
            </w:r>
          </w:p>
          <w:p w:rsidR="006C2F9E" w:rsidRDefault="006C2F9E">
            <w:pPr>
              <w:pStyle w:val="TAL"/>
            </w:pPr>
            <w:r>
              <w:t>RRC_IDLE inter-frequency,</w:t>
            </w:r>
          </w:p>
          <w:p w:rsidR="006C2F9E" w:rsidRDefault="006C2F9E">
            <w:pPr>
              <w:pStyle w:val="TAL"/>
            </w:pPr>
            <w:r>
              <w:t>RRC_CONNECTED intra-frequency,</w:t>
            </w:r>
          </w:p>
          <w:p w:rsidR="006C2F9E" w:rsidRDefault="006C2F9E">
            <w:pPr>
              <w:pStyle w:val="TAL"/>
            </w:pPr>
            <w:r>
              <w:t>RRC_CONNECTED inter-frequency</w:t>
            </w:r>
          </w:p>
        </w:tc>
      </w:tr>
    </w:tbl>
    <w:p w:rsidR="006C2F9E" w:rsidRPr="006C2F9E" w:rsidRDefault="006C2F9E" w:rsidP="004F0A9C">
      <w:pPr>
        <w:rPr>
          <w:rFonts w:asciiTheme="majorBidi" w:eastAsiaTheme="minorEastAsia" w:hAnsiTheme="majorBidi" w:cstheme="majorBidi"/>
          <w:sz w:val="22"/>
          <w:szCs w:val="22"/>
          <w:lang w:val="en-US" w:eastAsia="zh-TW"/>
        </w:rPr>
      </w:pPr>
    </w:p>
    <w:p w:rsidR="006C2F9E" w:rsidRDefault="006C2F9E"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hint="eastAsia"/>
          <w:sz w:val="22"/>
          <w:szCs w:val="22"/>
          <w:lang w:val="en-US" w:eastAsia="zh-TW"/>
        </w:rPr>
        <w:t>As a result, the CBR is</w:t>
      </w:r>
      <w:r w:rsidR="00EA31FF">
        <w:rPr>
          <w:rFonts w:asciiTheme="majorBidi" w:eastAsiaTheme="minorEastAsia" w:hAnsiTheme="majorBidi" w:cstheme="majorBidi"/>
          <w:sz w:val="22"/>
          <w:szCs w:val="22"/>
          <w:lang w:val="en-US" w:eastAsia="zh-TW"/>
        </w:rPr>
        <w:t xml:space="preserve"> </w:t>
      </w:r>
      <w:r>
        <w:rPr>
          <w:rFonts w:asciiTheme="majorBidi" w:eastAsiaTheme="minorEastAsia" w:hAnsiTheme="majorBidi" w:cstheme="majorBidi" w:hint="eastAsia"/>
          <w:sz w:val="22"/>
          <w:szCs w:val="22"/>
          <w:lang w:val="en-US" w:eastAsia="zh-TW"/>
        </w:rPr>
        <w:t>the sensing results within 100 sub</w:t>
      </w:r>
      <w:r w:rsidR="00EA31FF">
        <w:rPr>
          <w:rFonts w:asciiTheme="majorBidi" w:eastAsiaTheme="minorEastAsia" w:hAnsiTheme="majorBidi" w:cstheme="majorBidi"/>
          <w:sz w:val="22"/>
          <w:szCs w:val="22"/>
          <w:lang w:val="en-US" w:eastAsia="zh-TW"/>
        </w:rPr>
        <w:t>-</w:t>
      </w:r>
      <w:r>
        <w:rPr>
          <w:rFonts w:asciiTheme="majorBidi" w:eastAsiaTheme="minorEastAsia" w:hAnsiTheme="majorBidi" w:cstheme="majorBidi" w:hint="eastAsia"/>
          <w:sz w:val="22"/>
          <w:szCs w:val="22"/>
          <w:lang w:val="en-US" w:eastAsia="zh-TW"/>
        </w:rPr>
        <w:t>frames</w:t>
      </w:r>
      <w:r w:rsidR="003B6799">
        <w:rPr>
          <w:rFonts w:asciiTheme="majorBidi" w:eastAsiaTheme="minorEastAsia" w:hAnsiTheme="majorBidi" w:cstheme="majorBidi"/>
          <w:sz w:val="22"/>
          <w:szCs w:val="22"/>
          <w:lang w:val="en-US" w:eastAsia="zh-TW"/>
        </w:rPr>
        <w:t xml:space="preserve">, and the measurement method differs in view of PSSCH or PSCCH. </w:t>
      </w:r>
      <w:r w:rsidR="00EA31FF">
        <w:rPr>
          <w:rFonts w:asciiTheme="majorBidi" w:eastAsiaTheme="minorEastAsia" w:hAnsiTheme="majorBidi" w:cstheme="majorBidi"/>
          <w:sz w:val="22"/>
          <w:szCs w:val="22"/>
          <w:lang w:val="en-US" w:eastAsia="zh-TW"/>
        </w:rPr>
        <w:t xml:space="preserve">While we adopt the LTE V2X sidelink congestion control as the starting point for defining NR congestion control, the CBR is of the first priority on discussion. </w:t>
      </w:r>
    </w:p>
    <w:p w:rsidR="00EA31FF" w:rsidRDefault="00EA31FF" w:rsidP="004F0A9C">
      <w:pPr>
        <w:rPr>
          <w:rFonts w:asciiTheme="majorBidi" w:eastAsiaTheme="minorEastAsia" w:hAnsiTheme="majorBidi" w:cstheme="majorBidi"/>
          <w:sz w:val="22"/>
          <w:szCs w:val="22"/>
          <w:lang w:val="en-US" w:eastAsia="zh-TW"/>
        </w:rPr>
      </w:pPr>
    </w:p>
    <w:p w:rsidR="00EA31FF" w:rsidRDefault="00EA31FF"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lastRenderedPageBreak/>
        <w:t xml:space="preserve">While the higher-layer reporting of CBR to the </w:t>
      </w:r>
      <w:proofErr w:type="spellStart"/>
      <w:r>
        <w:rPr>
          <w:rFonts w:asciiTheme="majorBidi" w:eastAsiaTheme="minorEastAsia" w:hAnsiTheme="majorBidi" w:cstheme="majorBidi"/>
          <w:sz w:val="22"/>
          <w:szCs w:val="22"/>
          <w:lang w:val="en-US" w:eastAsia="zh-TW"/>
        </w:rPr>
        <w:t>gNB</w:t>
      </w:r>
      <w:proofErr w:type="spellEnd"/>
      <w:r>
        <w:rPr>
          <w:rFonts w:asciiTheme="majorBidi" w:eastAsiaTheme="minorEastAsia" w:hAnsiTheme="majorBidi" w:cstheme="majorBidi"/>
          <w:sz w:val="22"/>
          <w:szCs w:val="22"/>
          <w:lang w:val="en-US" w:eastAsia="zh-TW"/>
        </w:rPr>
        <w:t xml:space="preserve"> is supported for RRC_CONNECTED UEs, the UEs in RRC_IDLE and RRC_INACTIVE state should also be considered. Without active links available for UL reporting, it is not available for IDLE and INACTIVE UEs to perform the </w:t>
      </w:r>
      <w:r w:rsidR="00846F12">
        <w:rPr>
          <w:rFonts w:asciiTheme="majorBidi" w:eastAsiaTheme="minorEastAsia" w:hAnsiTheme="majorBidi" w:cstheme="majorBidi"/>
          <w:sz w:val="22"/>
          <w:szCs w:val="22"/>
          <w:lang w:val="en-US" w:eastAsia="zh-TW"/>
        </w:rPr>
        <w:t>higher-layer CBR reporting. Besides, Event V1 and V2 is triggered after the sensed CBR is above or below the threshold. As a result, the corresponding behavior in NR should also be considered.</w:t>
      </w:r>
    </w:p>
    <w:p w:rsidR="001F7160" w:rsidRPr="00846F12" w:rsidRDefault="001F7160" w:rsidP="004F0A9C">
      <w:pPr>
        <w:rPr>
          <w:rFonts w:asciiTheme="majorBidi" w:eastAsiaTheme="minorEastAsia" w:hAnsiTheme="majorBidi" w:cstheme="majorBidi"/>
          <w:sz w:val="22"/>
          <w:szCs w:val="22"/>
          <w:lang w:val="en-US" w:eastAsia="zh-TW"/>
        </w:rPr>
      </w:pPr>
    </w:p>
    <w:p w:rsidR="006E2720" w:rsidRDefault="00846F12" w:rsidP="00846F12">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Proposal 1: CBR reporting for NR IDLE and INACTIVE UEs should be considered, along with the V1and V2 event.</w:t>
      </w:r>
    </w:p>
    <w:p w:rsidR="006E2720" w:rsidRPr="006E2720" w:rsidRDefault="006E2720" w:rsidP="004F0A9C">
      <w:pPr>
        <w:rPr>
          <w:rFonts w:asciiTheme="majorBidi" w:eastAsiaTheme="minorEastAsia" w:hAnsiTheme="majorBidi" w:cstheme="majorBidi"/>
          <w:sz w:val="22"/>
          <w:szCs w:val="22"/>
          <w:lang w:val="en-US" w:eastAsia="zh-TW"/>
        </w:rPr>
      </w:pPr>
    </w:p>
    <w:p w:rsidR="006E2720" w:rsidRDefault="006E2720" w:rsidP="004F0A9C">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Since the congestion control is the starting point for NR QoS control, and the LTE congestion control as the baseline, it is necessary to check the LTE congestion control mechanism. The LTE congestion control mechanism includes several components, such as CBR and channel occupancy ratio (CR)</w:t>
      </w:r>
      <w:r w:rsidR="00650B5A">
        <w:rPr>
          <w:rFonts w:asciiTheme="majorBidi" w:eastAsiaTheme="minorEastAsia" w:hAnsiTheme="majorBidi" w:cstheme="majorBidi"/>
          <w:sz w:val="22"/>
          <w:szCs w:val="22"/>
          <w:lang w:val="en-US" w:eastAsia="zh-TW"/>
        </w:rPr>
        <w:t xml:space="preserve">. In addition, decentralized </w:t>
      </w:r>
      <w:r w:rsidR="00047DE0">
        <w:rPr>
          <w:rFonts w:asciiTheme="majorBidi" w:eastAsiaTheme="minorEastAsia" w:hAnsiTheme="majorBidi" w:cstheme="majorBidi"/>
          <w:sz w:val="22"/>
          <w:szCs w:val="22"/>
          <w:lang w:val="en-US" w:eastAsia="zh-TW"/>
        </w:rPr>
        <w:t xml:space="preserve">congestion control (DCC) specified in </w:t>
      </w:r>
      <w:r w:rsidR="00047DE0">
        <w:rPr>
          <w:rFonts w:asciiTheme="majorBidi" w:eastAsiaTheme="minorEastAsia" w:hAnsiTheme="majorBidi" w:cstheme="majorBidi"/>
          <w:sz w:val="22"/>
          <w:szCs w:val="22"/>
          <w:lang w:val="en-US" w:eastAsia="zh-TW"/>
        </w:rPr>
        <w:fldChar w:fldCharType="begin"/>
      </w:r>
      <w:r w:rsidR="00047DE0">
        <w:rPr>
          <w:rFonts w:asciiTheme="majorBidi" w:eastAsiaTheme="minorEastAsia" w:hAnsiTheme="majorBidi" w:cstheme="majorBidi"/>
          <w:sz w:val="22"/>
          <w:szCs w:val="22"/>
          <w:lang w:val="en-US" w:eastAsia="zh-TW"/>
        </w:rPr>
        <w:instrText xml:space="preserve"> REF _Ref7707714 \n \h </w:instrText>
      </w:r>
      <w:r w:rsidR="00047DE0">
        <w:rPr>
          <w:rFonts w:asciiTheme="majorBidi" w:eastAsiaTheme="minorEastAsia" w:hAnsiTheme="majorBidi" w:cstheme="majorBidi"/>
          <w:sz w:val="22"/>
          <w:szCs w:val="22"/>
          <w:lang w:val="en-US" w:eastAsia="zh-TW"/>
        </w:rPr>
      </w:r>
      <w:r w:rsidR="00047DE0">
        <w:rPr>
          <w:rFonts w:asciiTheme="majorBidi" w:eastAsiaTheme="minorEastAsia" w:hAnsiTheme="majorBidi" w:cstheme="majorBidi"/>
          <w:sz w:val="22"/>
          <w:szCs w:val="22"/>
          <w:lang w:val="en-US" w:eastAsia="zh-TW"/>
        </w:rPr>
        <w:fldChar w:fldCharType="separate"/>
      </w:r>
      <w:r w:rsidR="00846F12">
        <w:rPr>
          <w:rFonts w:asciiTheme="majorBidi" w:eastAsiaTheme="minorEastAsia" w:hAnsiTheme="majorBidi" w:cstheme="majorBidi"/>
          <w:sz w:val="22"/>
          <w:szCs w:val="22"/>
          <w:lang w:val="en-US" w:eastAsia="zh-TW"/>
        </w:rPr>
        <w:t>[2]</w:t>
      </w:r>
      <w:r w:rsidR="00047DE0">
        <w:rPr>
          <w:rFonts w:asciiTheme="majorBidi" w:eastAsiaTheme="minorEastAsia" w:hAnsiTheme="majorBidi" w:cstheme="majorBidi"/>
          <w:sz w:val="22"/>
          <w:szCs w:val="22"/>
          <w:lang w:val="en-US" w:eastAsia="zh-TW"/>
        </w:rPr>
        <w:fldChar w:fldCharType="end"/>
      </w:r>
      <w:r w:rsidR="00047DE0">
        <w:rPr>
          <w:rFonts w:asciiTheme="majorBidi" w:eastAsiaTheme="minorEastAsia" w:hAnsiTheme="majorBidi" w:cstheme="majorBidi"/>
          <w:sz w:val="22"/>
          <w:szCs w:val="22"/>
          <w:lang w:val="en-US" w:eastAsia="zh-TW"/>
        </w:rPr>
        <w:t xml:space="preserve"> also plays an important role in the mechanism. DCC is especially useful in case of LTE mode 4 since the DCC provides reactive/adaptive mechanism algorithm and a CBR threshold for UEs to work in a distributed manner. The DCC_ACC is located in the access layer, and it includes the transmit power control, transmit rate control, and transmit data</w:t>
      </w:r>
      <w:r w:rsidR="00AF016C">
        <w:rPr>
          <w:rFonts w:asciiTheme="majorBidi" w:eastAsiaTheme="minorEastAsia" w:hAnsiTheme="majorBidi" w:cstheme="majorBidi" w:hint="eastAsia"/>
          <w:sz w:val="22"/>
          <w:szCs w:val="22"/>
          <w:lang w:val="en-US" w:eastAsia="zh-TW"/>
        </w:rPr>
        <w:t xml:space="preserve"> </w:t>
      </w:r>
      <w:r w:rsidR="00047DE0">
        <w:rPr>
          <w:rFonts w:asciiTheme="majorBidi" w:eastAsiaTheme="minorEastAsia" w:hAnsiTheme="majorBidi" w:cstheme="majorBidi"/>
          <w:sz w:val="22"/>
          <w:szCs w:val="22"/>
          <w:lang w:val="en-US" w:eastAsia="zh-TW"/>
        </w:rPr>
        <w:t xml:space="preserve">rate control for the traffic. With the three transmit parameters, the bandwidth, latency, and sustained traffic of the given sidelink carrier can be guaranteed, which is beneficial for the CBR applicability over the NR system. The ETSI DCC defines the CBR threshold based on the given parameters to achieve the desired QoS metrics, so it is </w:t>
      </w:r>
      <w:r w:rsidR="00266398">
        <w:rPr>
          <w:rFonts w:asciiTheme="majorBidi" w:eastAsiaTheme="minorEastAsia" w:hAnsiTheme="majorBidi" w:cstheme="majorBidi"/>
          <w:sz w:val="22"/>
          <w:szCs w:val="22"/>
          <w:lang w:val="en-US" w:eastAsia="zh-TW"/>
        </w:rPr>
        <w:t>advantageous to directly link the required QoS metrics to the CBR determination.</w:t>
      </w:r>
    </w:p>
    <w:p w:rsidR="00266398" w:rsidRDefault="00266398" w:rsidP="004F0A9C">
      <w:pPr>
        <w:rPr>
          <w:rFonts w:asciiTheme="majorBidi" w:eastAsiaTheme="minorEastAsia" w:hAnsiTheme="majorBidi" w:cstheme="majorBidi"/>
          <w:sz w:val="22"/>
          <w:szCs w:val="22"/>
          <w:lang w:val="en-US" w:eastAsia="zh-TW"/>
        </w:rPr>
      </w:pPr>
    </w:p>
    <w:p w:rsidR="00266398" w:rsidRDefault="00846F12" w:rsidP="00846F12">
      <w:pPr>
        <w:pStyle w:val="Observation"/>
        <w:numPr>
          <w:ilvl w:val="0"/>
          <w:numId w:val="0"/>
        </w:numPr>
        <w:tabs>
          <w:tab w:val="clear" w:pos="1701"/>
        </w:tabs>
        <w:ind w:left="1276" w:hanging="1276"/>
        <w:rPr>
          <w:rFonts w:eastAsiaTheme="minorEastAsia"/>
          <w:lang w:val="en-US" w:eastAsia="zh-TW"/>
        </w:rPr>
      </w:pPr>
      <w:r>
        <w:rPr>
          <w:rFonts w:eastAsiaTheme="minorEastAsia"/>
          <w:lang w:val="en-US" w:eastAsia="zh-TW"/>
        </w:rPr>
        <w:t xml:space="preserve">Proposal 2: </w:t>
      </w:r>
      <w:r w:rsidR="00266398">
        <w:rPr>
          <w:rFonts w:eastAsiaTheme="minorEastAsia"/>
          <w:lang w:val="en-US" w:eastAsia="zh-TW"/>
        </w:rPr>
        <w:t xml:space="preserve">The </w:t>
      </w:r>
      <w:r w:rsidR="00021651">
        <w:rPr>
          <w:rFonts w:eastAsiaTheme="minorEastAsia"/>
          <w:lang w:val="en-US" w:eastAsia="zh-TW"/>
        </w:rPr>
        <w:t>method</w:t>
      </w:r>
      <w:r w:rsidR="00266398">
        <w:rPr>
          <w:rFonts w:eastAsiaTheme="minorEastAsia"/>
          <w:lang w:val="en-US" w:eastAsia="zh-TW"/>
        </w:rPr>
        <w:t xml:space="preserve"> and parameters of CBR determination helps achieve</w:t>
      </w:r>
      <w:r w:rsidR="00021651">
        <w:rPr>
          <w:rFonts w:eastAsiaTheme="minorEastAsia"/>
          <w:lang w:val="en-US" w:eastAsia="zh-TW"/>
        </w:rPr>
        <w:t xml:space="preserve"> the desired QoS requirement.</w:t>
      </w:r>
    </w:p>
    <w:p w:rsidR="006E2720" w:rsidRPr="00021651" w:rsidRDefault="006E2720" w:rsidP="004F0A9C">
      <w:pPr>
        <w:rPr>
          <w:rFonts w:asciiTheme="majorBidi" w:eastAsiaTheme="minorEastAsia" w:hAnsiTheme="majorBidi" w:cstheme="majorBidi"/>
          <w:sz w:val="22"/>
          <w:szCs w:val="22"/>
          <w:lang w:val="en-US" w:eastAsia="zh-TW"/>
        </w:rPr>
      </w:pPr>
    </w:p>
    <w:p w:rsidR="004F0A9C" w:rsidRPr="00021651" w:rsidRDefault="004F0A9C" w:rsidP="00021651">
      <w:pPr>
        <w:pStyle w:val="1"/>
        <w:rPr>
          <w:rFonts w:eastAsia="新細明體"/>
        </w:rPr>
      </w:pPr>
      <w:r w:rsidRPr="00021651">
        <w:rPr>
          <w:rFonts w:eastAsia="新細明體"/>
        </w:rPr>
        <w:t>Conclusion</w:t>
      </w:r>
    </w:p>
    <w:p w:rsidR="004F0A9C" w:rsidRPr="00B02DBE" w:rsidRDefault="004F0A9C" w:rsidP="004F0A9C">
      <w:pPr>
        <w:pStyle w:val="-11"/>
        <w:ind w:left="0"/>
        <w:jc w:val="both"/>
        <w:rPr>
          <w:rFonts w:asciiTheme="majorBidi" w:eastAsia="新細明體" w:hAnsiTheme="majorBidi" w:cstheme="majorBidi"/>
          <w:kern w:val="2"/>
          <w:lang w:eastAsia="zh-TW"/>
        </w:rPr>
      </w:pPr>
    </w:p>
    <w:p w:rsidR="004F0A9C" w:rsidRPr="00B02DBE" w:rsidRDefault="004F0A9C" w:rsidP="00742FD4">
      <w:pPr>
        <w:pStyle w:val="-11"/>
        <w:ind w:left="0"/>
        <w:jc w:val="both"/>
        <w:rPr>
          <w:rFonts w:asciiTheme="majorBidi" w:eastAsia="新細明體" w:hAnsiTheme="majorBidi" w:cstheme="majorBidi"/>
          <w:kern w:val="2"/>
          <w:lang w:eastAsia="zh-TW"/>
        </w:rPr>
      </w:pPr>
      <w:r w:rsidRPr="00B02DBE">
        <w:rPr>
          <w:rFonts w:asciiTheme="majorBidi" w:eastAsia="新細明體" w:hAnsiTheme="majorBidi" w:cstheme="majorBidi"/>
          <w:kern w:val="2"/>
          <w:lang w:eastAsia="zh-TW"/>
        </w:rPr>
        <w:t xml:space="preserve">In this contribution, </w:t>
      </w:r>
      <w:r w:rsidR="00021651">
        <w:rPr>
          <w:rFonts w:asciiTheme="majorBidi" w:eastAsia="新細明體" w:hAnsiTheme="majorBidi" w:cstheme="majorBidi"/>
          <w:kern w:val="2"/>
          <w:lang w:eastAsia="zh-TW"/>
        </w:rPr>
        <w:t xml:space="preserve">the following </w:t>
      </w:r>
      <w:r w:rsidR="00846F12">
        <w:rPr>
          <w:rFonts w:asciiTheme="majorBidi" w:eastAsia="新細明體" w:hAnsiTheme="majorBidi" w:cstheme="majorBidi"/>
          <w:kern w:val="2"/>
          <w:lang w:eastAsia="zh-TW"/>
        </w:rPr>
        <w:t>proposals are provided</w:t>
      </w:r>
      <w:r w:rsidR="00021651">
        <w:rPr>
          <w:rFonts w:asciiTheme="majorBidi" w:eastAsia="新細明體" w:hAnsiTheme="majorBidi" w:cstheme="majorBidi"/>
          <w:kern w:val="2"/>
          <w:lang w:eastAsia="zh-TW"/>
        </w:rPr>
        <w:t>:</w:t>
      </w:r>
    </w:p>
    <w:p w:rsidR="00846F12" w:rsidRDefault="00846F12" w:rsidP="00846F12">
      <w:pPr>
        <w:pStyle w:val="Observation"/>
        <w:numPr>
          <w:ilvl w:val="0"/>
          <w:numId w:val="0"/>
        </w:numPr>
        <w:tabs>
          <w:tab w:val="clear" w:pos="1701"/>
        </w:tabs>
        <w:ind w:left="1134" w:hanging="1134"/>
        <w:rPr>
          <w:rFonts w:eastAsiaTheme="minorEastAsia"/>
          <w:lang w:val="en-US" w:eastAsia="zh-TW"/>
        </w:rPr>
      </w:pPr>
      <w:r>
        <w:rPr>
          <w:rFonts w:eastAsiaTheme="minorEastAsia"/>
          <w:lang w:val="en-US" w:eastAsia="zh-TW"/>
        </w:rPr>
        <w:t>Proposal 1: CBR reporting for NR IDLE and INACTIVE UEs should be considered, along with the V1and V2 event.</w:t>
      </w:r>
    </w:p>
    <w:p w:rsidR="00846F12" w:rsidRDefault="00846F12" w:rsidP="00846F12">
      <w:pPr>
        <w:pStyle w:val="Observation"/>
        <w:numPr>
          <w:ilvl w:val="0"/>
          <w:numId w:val="0"/>
        </w:numPr>
        <w:tabs>
          <w:tab w:val="clear" w:pos="1701"/>
        </w:tabs>
        <w:ind w:left="1276" w:hanging="1276"/>
        <w:rPr>
          <w:rFonts w:eastAsiaTheme="minorEastAsia"/>
          <w:lang w:val="en-US" w:eastAsia="zh-TW"/>
        </w:rPr>
      </w:pPr>
      <w:r>
        <w:rPr>
          <w:rFonts w:eastAsiaTheme="minorEastAsia"/>
          <w:lang w:val="en-US" w:eastAsia="zh-TW"/>
        </w:rPr>
        <w:t>P</w:t>
      </w:r>
      <w:r w:rsidR="0098717A">
        <w:rPr>
          <w:rFonts w:eastAsiaTheme="minorEastAsia"/>
          <w:lang w:val="en-US" w:eastAsia="zh-TW"/>
        </w:rPr>
        <w:t xml:space="preserve">roposal </w:t>
      </w:r>
      <w:r>
        <w:rPr>
          <w:rFonts w:eastAsiaTheme="minorEastAsia"/>
          <w:lang w:val="en-US" w:eastAsia="zh-TW"/>
        </w:rPr>
        <w:t>2: The method and parameters of CBR determination helps achieve the desired QoS requirement.</w:t>
      </w:r>
    </w:p>
    <w:p w:rsidR="00021651" w:rsidRPr="00846F12" w:rsidRDefault="00021651" w:rsidP="00CD1C8F">
      <w:pPr>
        <w:tabs>
          <w:tab w:val="num" w:pos="2160"/>
        </w:tabs>
        <w:rPr>
          <w:rFonts w:asciiTheme="majorBidi" w:eastAsia="新細明體" w:hAnsiTheme="majorBidi" w:cstheme="majorBidi"/>
          <w:color w:val="000000"/>
          <w:kern w:val="2"/>
          <w:sz w:val="22"/>
          <w:szCs w:val="22"/>
          <w:lang w:val="en-US" w:eastAsia="zh-TW"/>
        </w:rPr>
      </w:pPr>
    </w:p>
    <w:p w:rsidR="004F0A9C" w:rsidRPr="00B02DBE" w:rsidRDefault="004F0A9C" w:rsidP="004F0A9C">
      <w:pPr>
        <w:pStyle w:val="1"/>
        <w:jc w:val="both"/>
        <w:rPr>
          <w:rFonts w:asciiTheme="majorBidi" w:hAnsiTheme="majorBidi" w:cstheme="majorBidi"/>
          <w:color w:val="000000"/>
        </w:rPr>
      </w:pPr>
      <w:r w:rsidRPr="00B02DBE">
        <w:rPr>
          <w:rFonts w:asciiTheme="majorBidi" w:eastAsia="新細明體" w:hAnsiTheme="majorBidi" w:cstheme="majorBidi"/>
          <w:color w:val="000000"/>
          <w:lang w:val="en-US" w:eastAsia="zh-TW"/>
        </w:rPr>
        <w:tab/>
      </w:r>
      <w:r w:rsidRPr="00B02DBE">
        <w:rPr>
          <w:rFonts w:asciiTheme="majorBidi" w:hAnsiTheme="majorBidi" w:cstheme="majorBidi"/>
          <w:color w:val="000000"/>
          <w:lang w:val="en-US" w:eastAsia="ko-KR"/>
        </w:rPr>
        <w:t>Reference</w:t>
      </w:r>
    </w:p>
    <w:p w:rsidR="000A30AF" w:rsidRPr="000A30AF" w:rsidRDefault="002A2F3C" w:rsidP="004F0A9C">
      <w:pPr>
        <w:pStyle w:val="Reference"/>
        <w:numPr>
          <w:ilvl w:val="0"/>
          <w:numId w:val="42"/>
        </w:numPr>
        <w:rPr>
          <w:rFonts w:asciiTheme="majorBidi" w:eastAsia="新細明體" w:hAnsiTheme="majorBidi" w:cstheme="majorBidi"/>
          <w:lang w:val="en-US" w:eastAsia="zh-TW"/>
        </w:rPr>
      </w:pPr>
      <w:bookmarkStart w:id="2" w:name="_Ref7705411"/>
      <w:r>
        <w:rPr>
          <w:rFonts w:ascii="Times New Roman" w:hAnsi="Times New Roman"/>
          <w:lang w:val="en-US"/>
        </w:rPr>
        <w:t>Draft Minutes Report RAN1 #97 v0.3.0</w:t>
      </w:r>
      <w:bookmarkEnd w:id="2"/>
    </w:p>
    <w:p w:rsidR="006C2F9E" w:rsidRPr="006C2F9E" w:rsidRDefault="006C2F9E" w:rsidP="004F0A9C">
      <w:pPr>
        <w:pStyle w:val="Reference"/>
        <w:numPr>
          <w:ilvl w:val="0"/>
          <w:numId w:val="42"/>
        </w:numPr>
        <w:rPr>
          <w:rFonts w:asciiTheme="majorBidi" w:eastAsia="新細明體" w:hAnsiTheme="majorBidi" w:cstheme="majorBidi"/>
          <w:lang w:val="en-US" w:eastAsia="zh-TW"/>
        </w:rPr>
      </w:pPr>
      <w:bookmarkStart w:id="3" w:name="_Ref7707714"/>
      <w:bookmarkStart w:id="4" w:name="_Ref7707363"/>
      <w:r>
        <w:rPr>
          <w:rFonts w:asciiTheme="majorBidi" w:eastAsia="新細明體" w:hAnsiTheme="majorBidi" w:cstheme="majorBidi"/>
          <w:lang w:val="en-US" w:eastAsia="zh-TW"/>
        </w:rPr>
        <w:t>ETSI TS 102 687 V1.2.1, Apr. 2018</w:t>
      </w:r>
      <w:bookmarkEnd w:id="3"/>
    </w:p>
    <w:p w:rsidR="006C2F9E" w:rsidRDefault="006C2F9E" w:rsidP="004F0A9C">
      <w:pPr>
        <w:pStyle w:val="Reference"/>
        <w:numPr>
          <w:ilvl w:val="0"/>
          <w:numId w:val="42"/>
        </w:numPr>
        <w:rPr>
          <w:rFonts w:asciiTheme="majorBidi" w:eastAsia="新細明體" w:hAnsiTheme="majorBidi" w:cstheme="majorBidi"/>
          <w:lang w:val="en-US" w:eastAsia="zh-TW"/>
        </w:rPr>
      </w:pPr>
      <w:bookmarkStart w:id="5" w:name="_Ref7707739"/>
      <w:r>
        <w:rPr>
          <w:rFonts w:ascii="Times New Roman" w:hAnsi="Times New Roman"/>
          <w:lang w:val="en-US"/>
        </w:rPr>
        <w:t>TS 36.214 V15.3.0, Sept. 2018.</w:t>
      </w:r>
      <w:bookmarkEnd w:id="4"/>
      <w:bookmarkEnd w:id="5"/>
    </w:p>
    <w:p w:rsidR="004F0A9C" w:rsidRPr="00B02DBE" w:rsidRDefault="004F0A9C" w:rsidP="004F0A9C">
      <w:pPr>
        <w:pStyle w:val="Reference"/>
        <w:numPr>
          <w:ilvl w:val="0"/>
          <w:numId w:val="42"/>
        </w:numPr>
        <w:rPr>
          <w:rFonts w:asciiTheme="majorBidi" w:eastAsia="新細明體" w:hAnsiTheme="majorBidi" w:cstheme="majorBidi"/>
          <w:lang w:val="en-US" w:eastAsia="zh-TW"/>
        </w:rPr>
      </w:pPr>
      <w:bookmarkStart w:id="6" w:name="_Ref7708450"/>
      <w:r w:rsidRPr="00B02DBE">
        <w:rPr>
          <w:rFonts w:asciiTheme="majorBidi" w:eastAsia="新細明體" w:hAnsiTheme="majorBidi" w:cstheme="majorBidi"/>
          <w:lang w:val="en-US" w:eastAsia="zh-TW"/>
        </w:rPr>
        <w:t>TR 22.886 V16.0.0, Jun. 2018.</w:t>
      </w:r>
      <w:bookmarkEnd w:id="6"/>
      <w:r w:rsidRPr="00B02DBE">
        <w:rPr>
          <w:rFonts w:asciiTheme="majorBidi" w:eastAsia="新細明體" w:hAnsiTheme="majorBidi" w:cstheme="majorBidi"/>
          <w:lang w:val="en-US" w:eastAsia="zh-TW"/>
        </w:rPr>
        <w:t xml:space="preserve">  </w:t>
      </w:r>
    </w:p>
    <w:sectPr w:rsidR="004F0A9C" w:rsidRPr="00B02DBE" w:rsidSect="00701470">
      <w:foot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0973" w:rsidRDefault="00720973">
      <w:r>
        <w:separator/>
      </w:r>
    </w:p>
  </w:endnote>
  <w:endnote w:type="continuationSeparator" w:id="0">
    <w:p w:rsidR="00720973" w:rsidRDefault="00720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GulimChe">
    <w:charset w:val="81"/>
    <w:family w:val="modern"/>
    <w:pitch w:val="fixed"/>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126C" w:rsidRDefault="00EC4D6A">
    <w:pPr>
      <w:pStyle w:val="ad"/>
    </w:pPr>
    <w:r>
      <w:fldChar w:fldCharType="begin"/>
    </w:r>
    <w:r>
      <w:instrText xml:space="preserve"> PAGE   \* MERGEFORMAT </w:instrText>
    </w:r>
    <w:r>
      <w:fldChar w:fldCharType="separate"/>
    </w:r>
    <w:r w:rsidR="00695B41">
      <w:t>1</w:t>
    </w:r>
    <w:r>
      <w:fldChar w:fldCharType="end"/>
    </w:r>
  </w:p>
  <w:p w:rsidR="00C0126C" w:rsidRDefault="00C0126C" w:rsidP="00313FD6">
    <w:pPr>
      <w:pStyle w:val="ad"/>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0973" w:rsidRDefault="00720973"/>
  </w:footnote>
  <w:footnote w:type="continuationSeparator" w:id="0">
    <w:p w:rsidR="00720973" w:rsidRDefault="00720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E964790"/>
    <w:multiLevelType w:val="hybridMultilevel"/>
    <w:tmpl w:val="556EC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FC5E6D"/>
    <w:multiLevelType w:val="hybridMultilevel"/>
    <w:tmpl w:val="A2FAF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hybridMultilevel"/>
    <w:tmpl w:val="D66A3F00"/>
    <w:lvl w:ilvl="0" w:tplc="1D187C7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1" w15:restartNumberingAfterBreak="0">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27"/>
  </w:num>
  <w:num w:numId="3">
    <w:abstractNumId w:val="19"/>
  </w:num>
  <w:num w:numId="4">
    <w:abstractNumId w:val="20"/>
  </w:num>
  <w:num w:numId="5">
    <w:abstractNumId w:val="16"/>
  </w:num>
  <w:num w:numId="6">
    <w:abstractNumId w:val="23"/>
  </w:num>
  <w:num w:numId="7">
    <w:abstractNumId w:val="32"/>
  </w:num>
  <w:num w:numId="8">
    <w:abstractNumId w:val="17"/>
  </w:num>
  <w:num w:numId="9">
    <w:abstractNumId w:val="40"/>
  </w:num>
  <w:num w:numId="10">
    <w:abstractNumId w:val="22"/>
  </w:num>
  <w:num w:numId="11">
    <w:abstractNumId w:val="12"/>
  </w:num>
  <w:num w:numId="12">
    <w:abstractNumId w:val="2"/>
  </w:num>
  <w:num w:numId="13">
    <w:abstractNumId w:val="1"/>
  </w:num>
  <w:num w:numId="14">
    <w:abstractNumId w:val="0"/>
  </w:num>
  <w:num w:numId="15">
    <w:abstractNumId w:val="29"/>
  </w:num>
  <w:num w:numId="16">
    <w:abstractNumId w:val="42"/>
  </w:num>
  <w:num w:numId="17">
    <w:abstractNumId w:val="37"/>
  </w:num>
  <w:num w:numId="18">
    <w:abstractNumId w:val="25"/>
  </w:num>
  <w:num w:numId="19">
    <w:abstractNumId w:val="31"/>
  </w:num>
  <w:num w:numId="20">
    <w:abstractNumId w:val="18"/>
  </w:num>
  <w:num w:numId="21">
    <w:abstractNumId w:val="36"/>
  </w:num>
  <w:num w:numId="22">
    <w:abstractNumId w:val="14"/>
  </w:num>
  <w:num w:numId="23">
    <w:abstractNumId w:val="5"/>
  </w:num>
  <w:num w:numId="24">
    <w:abstractNumId w:val="5"/>
  </w:num>
  <w:num w:numId="25">
    <w:abstractNumId w:val="7"/>
  </w:num>
  <w:num w:numId="26">
    <w:abstractNumId w:val="5"/>
  </w:num>
  <w:num w:numId="27">
    <w:abstractNumId w:val="15"/>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6"/>
  </w:num>
  <w:num w:numId="31">
    <w:abstractNumId w:val="4"/>
  </w:num>
  <w:num w:numId="32">
    <w:abstractNumId w:val="3"/>
  </w:num>
  <w:num w:numId="33">
    <w:abstractNumId w:val="9"/>
  </w:num>
  <w:num w:numId="34">
    <w:abstractNumId w:val="28"/>
  </w:num>
  <w:num w:numId="35">
    <w:abstractNumId w:val="11"/>
  </w:num>
  <w:num w:numId="36">
    <w:abstractNumId w:val="30"/>
  </w:num>
  <w:num w:numId="37">
    <w:abstractNumId w:val="34"/>
  </w:num>
  <w:num w:numId="38">
    <w:abstractNumId w:val="41"/>
  </w:num>
  <w:num w:numId="39">
    <w:abstractNumId w:val="24"/>
  </w:num>
  <w:num w:numId="40">
    <w:abstractNumId w:val="35"/>
  </w:num>
  <w:num w:numId="41">
    <w:abstractNumId w:val="38"/>
  </w:num>
  <w:num w:numId="42">
    <w:abstractNumId w:val="6"/>
  </w:num>
  <w:num w:numId="43">
    <w:abstractNumId w:val="39"/>
  </w:num>
  <w:num w:numId="44">
    <w:abstractNumId w:val="13"/>
  </w:num>
  <w:num w:numId="45">
    <w:abstractNumId w:val="27"/>
  </w:num>
  <w:num w:numId="46">
    <w:abstractNumId w:val="33"/>
  </w:num>
  <w:num w:numId="47">
    <w:abstractNumId w:val="29"/>
    <w:lvlOverride w:ilvl="0">
      <w:startOverride w:val="1"/>
    </w:lvlOverride>
  </w:num>
  <w:num w:numId="4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xsDSwMDc3NTU2tzBV0lEKTi0uzszPAykwrgUAo1wzYiw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4DF3"/>
    <w:rsid w:val="00015D15"/>
    <w:rsid w:val="000200AB"/>
    <w:rsid w:val="000207A1"/>
    <w:rsid w:val="0002138F"/>
    <w:rsid w:val="000213E1"/>
    <w:rsid w:val="0002165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22E2"/>
    <w:rsid w:val="000428EB"/>
    <w:rsid w:val="00042F22"/>
    <w:rsid w:val="00043281"/>
    <w:rsid w:val="000435A4"/>
    <w:rsid w:val="000444EF"/>
    <w:rsid w:val="0004471E"/>
    <w:rsid w:val="000450D7"/>
    <w:rsid w:val="00045284"/>
    <w:rsid w:val="00047DE0"/>
    <w:rsid w:val="000512D4"/>
    <w:rsid w:val="000516F1"/>
    <w:rsid w:val="00052A07"/>
    <w:rsid w:val="000534E3"/>
    <w:rsid w:val="00055A7F"/>
    <w:rsid w:val="0005606A"/>
    <w:rsid w:val="00057117"/>
    <w:rsid w:val="00057956"/>
    <w:rsid w:val="0006059C"/>
    <w:rsid w:val="000616E7"/>
    <w:rsid w:val="00061710"/>
    <w:rsid w:val="00061711"/>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C95"/>
    <w:rsid w:val="0009510F"/>
    <w:rsid w:val="00096477"/>
    <w:rsid w:val="00097C44"/>
    <w:rsid w:val="000A1B7B"/>
    <w:rsid w:val="000A30AF"/>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1E5F"/>
    <w:rsid w:val="000F3BE9"/>
    <w:rsid w:val="000F3F6C"/>
    <w:rsid w:val="000F4ED5"/>
    <w:rsid w:val="000F501C"/>
    <w:rsid w:val="000F5820"/>
    <w:rsid w:val="000F5EBC"/>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1B36"/>
    <w:rsid w:val="001234BC"/>
    <w:rsid w:val="0012377F"/>
    <w:rsid w:val="00123DDE"/>
    <w:rsid w:val="00124314"/>
    <w:rsid w:val="00124D13"/>
    <w:rsid w:val="0012590E"/>
    <w:rsid w:val="00126126"/>
    <w:rsid w:val="00126876"/>
    <w:rsid w:val="00126B4A"/>
    <w:rsid w:val="00132166"/>
    <w:rsid w:val="00132280"/>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7F3D"/>
    <w:rsid w:val="001617B9"/>
    <w:rsid w:val="00161966"/>
    <w:rsid w:val="00162493"/>
    <w:rsid w:val="00162CEE"/>
    <w:rsid w:val="00163F0F"/>
    <w:rsid w:val="00164312"/>
    <w:rsid w:val="001649E0"/>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5DD6"/>
    <w:rsid w:val="001B7233"/>
    <w:rsid w:val="001B78E9"/>
    <w:rsid w:val="001C00B9"/>
    <w:rsid w:val="001C055B"/>
    <w:rsid w:val="001C0A5F"/>
    <w:rsid w:val="001C1B84"/>
    <w:rsid w:val="001C1BD8"/>
    <w:rsid w:val="001C1CE5"/>
    <w:rsid w:val="001C3019"/>
    <w:rsid w:val="001C3857"/>
    <w:rsid w:val="001C3D2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534F"/>
    <w:rsid w:val="001E58E2"/>
    <w:rsid w:val="001E631A"/>
    <w:rsid w:val="001E6FB0"/>
    <w:rsid w:val="001E7446"/>
    <w:rsid w:val="001E7498"/>
    <w:rsid w:val="001E7AED"/>
    <w:rsid w:val="001F10D7"/>
    <w:rsid w:val="001F2DFF"/>
    <w:rsid w:val="001F3916"/>
    <w:rsid w:val="001F3F53"/>
    <w:rsid w:val="001F459C"/>
    <w:rsid w:val="001F54C5"/>
    <w:rsid w:val="001F6015"/>
    <w:rsid w:val="001F61DB"/>
    <w:rsid w:val="001F662C"/>
    <w:rsid w:val="001F7074"/>
    <w:rsid w:val="001F7160"/>
    <w:rsid w:val="001F7346"/>
    <w:rsid w:val="001F7A7A"/>
    <w:rsid w:val="0020020B"/>
    <w:rsid w:val="00200490"/>
    <w:rsid w:val="00201707"/>
    <w:rsid w:val="00201E53"/>
    <w:rsid w:val="00201F3A"/>
    <w:rsid w:val="00202DFC"/>
    <w:rsid w:val="00203676"/>
    <w:rsid w:val="00203F96"/>
    <w:rsid w:val="00205719"/>
    <w:rsid w:val="00205BBC"/>
    <w:rsid w:val="00206976"/>
    <w:rsid w:val="002069B2"/>
    <w:rsid w:val="0020724B"/>
    <w:rsid w:val="00207FA3"/>
    <w:rsid w:val="002110E1"/>
    <w:rsid w:val="002111E0"/>
    <w:rsid w:val="002130BC"/>
    <w:rsid w:val="00213396"/>
    <w:rsid w:val="00214DA8"/>
    <w:rsid w:val="00215423"/>
    <w:rsid w:val="002155AF"/>
    <w:rsid w:val="002158FA"/>
    <w:rsid w:val="0021626A"/>
    <w:rsid w:val="002165A9"/>
    <w:rsid w:val="0021668A"/>
    <w:rsid w:val="00217AD0"/>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614E"/>
    <w:rsid w:val="00246D80"/>
    <w:rsid w:val="002500C8"/>
    <w:rsid w:val="002502D7"/>
    <w:rsid w:val="00250818"/>
    <w:rsid w:val="00251592"/>
    <w:rsid w:val="00251598"/>
    <w:rsid w:val="00251FA1"/>
    <w:rsid w:val="00252845"/>
    <w:rsid w:val="00252B82"/>
    <w:rsid w:val="002541DD"/>
    <w:rsid w:val="00256664"/>
    <w:rsid w:val="00256B41"/>
    <w:rsid w:val="00257100"/>
    <w:rsid w:val="00257543"/>
    <w:rsid w:val="0026050F"/>
    <w:rsid w:val="00260691"/>
    <w:rsid w:val="002617E7"/>
    <w:rsid w:val="00264228"/>
    <w:rsid w:val="00264334"/>
    <w:rsid w:val="0026473E"/>
    <w:rsid w:val="00265220"/>
    <w:rsid w:val="00265AE7"/>
    <w:rsid w:val="00265C9E"/>
    <w:rsid w:val="00265E5B"/>
    <w:rsid w:val="00266214"/>
    <w:rsid w:val="00266398"/>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6527"/>
    <w:rsid w:val="00286ACD"/>
    <w:rsid w:val="002876DB"/>
    <w:rsid w:val="00287838"/>
    <w:rsid w:val="002907B5"/>
    <w:rsid w:val="00292EB7"/>
    <w:rsid w:val="0029342C"/>
    <w:rsid w:val="00295B61"/>
    <w:rsid w:val="00296113"/>
    <w:rsid w:val="00296227"/>
    <w:rsid w:val="00296F44"/>
    <w:rsid w:val="0029702E"/>
    <w:rsid w:val="002974BD"/>
    <w:rsid w:val="0029777D"/>
    <w:rsid w:val="002A055E"/>
    <w:rsid w:val="002A0D36"/>
    <w:rsid w:val="002A0DB4"/>
    <w:rsid w:val="002A199F"/>
    <w:rsid w:val="002A1D4E"/>
    <w:rsid w:val="002A2869"/>
    <w:rsid w:val="002A2F3C"/>
    <w:rsid w:val="002A3DD8"/>
    <w:rsid w:val="002A678A"/>
    <w:rsid w:val="002A7228"/>
    <w:rsid w:val="002A7A0A"/>
    <w:rsid w:val="002A7D9F"/>
    <w:rsid w:val="002B0E67"/>
    <w:rsid w:val="002B1C18"/>
    <w:rsid w:val="002B2273"/>
    <w:rsid w:val="002B24D6"/>
    <w:rsid w:val="002B2652"/>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876"/>
    <w:rsid w:val="002D7637"/>
    <w:rsid w:val="002E0BE7"/>
    <w:rsid w:val="002E0FD9"/>
    <w:rsid w:val="002E17F2"/>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341B"/>
    <w:rsid w:val="00323CAB"/>
    <w:rsid w:val="00323DE5"/>
    <w:rsid w:val="00324226"/>
    <w:rsid w:val="00324D23"/>
    <w:rsid w:val="003268E3"/>
    <w:rsid w:val="00327425"/>
    <w:rsid w:val="00327C83"/>
    <w:rsid w:val="00327E76"/>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1D9F"/>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BF0"/>
    <w:rsid w:val="00386477"/>
    <w:rsid w:val="0038666F"/>
    <w:rsid w:val="00386EB0"/>
    <w:rsid w:val="003873A4"/>
    <w:rsid w:val="00387593"/>
    <w:rsid w:val="00387684"/>
    <w:rsid w:val="003939FF"/>
    <w:rsid w:val="00395BE9"/>
    <w:rsid w:val="003A0191"/>
    <w:rsid w:val="003A074A"/>
    <w:rsid w:val="003A0B80"/>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6799"/>
    <w:rsid w:val="003B7FE5"/>
    <w:rsid w:val="003C11C8"/>
    <w:rsid w:val="003C2702"/>
    <w:rsid w:val="003C5273"/>
    <w:rsid w:val="003C577F"/>
    <w:rsid w:val="003C6D8B"/>
    <w:rsid w:val="003C7400"/>
    <w:rsid w:val="003C7806"/>
    <w:rsid w:val="003C7CAF"/>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5A24"/>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AAC"/>
    <w:rsid w:val="004149C1"/>
    <w:rsid w:val="004150EF"/>
    <w:rsid w:val="00415C31"/>
    <w:rsid w:val="00421105"/>
    <w:rsid w:val="00421427"/>
    <w:rsid w:val="004215C6"/>
    <w:rsid w:val="004235EA"/>
    <w:rsid w:val="004242F4"/>
    <w:rsid w:val="00424797"/>
    <w:rsid w:val="00424CE4"/>
    <w:rsid w:val="004255FF"/>
    <w:rsid w:val="00425C0F"/>
    <w:rsid w:val="00427248"/>
    <w:rsid w:val="00430CB0"/>
    <w:rsid w:val="00432A00"/>
    <w:rsid w:val="00432D3F"/>
    <w:rsid w:val="00435884"/>
    <w:rsid w:val="00437447"/>
    <w:rsid w:val="0044025C"/>
    <w:rsid w:val="00441A92"/>
    <w:rsid w:val="00441AC4"/>
    <w:rsid w:val="00444F56"/>
    <w:rsid w:val="0044511E"/>
    <w:rsid w:val="00445505"/>
    <w:rsid w:val="00446488"/>
    <w:rsid w:val="0044775D"/>
    <w:rsid w:val="0045015A"/>
    <w:rsid w:val="004517AA"/>
    <w:rsid w:val="00451D80"/>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80CEF"/>
    <w:rsid w:val="00481528"/>
    <w:rsid w:val="00481785"/>
    <w:rsid w:val="00481851"/>
    <w:rsid w:val="00483326"/>
    <w:rsid w:val="0048334A"/>
    <w:rsid w:val="00483BB4"/>
    <w:rsid w:val="0048510D"/>
    <w:rsid w:val="004866E3"/>
    <w:rsid w:val="00491000"/>
    <w:rsid w:val="004919DB"/>
    <w:rsid w:val="00491E26"/>
    <w:rsid w:val="004927B8"/>
    <w:rsid w:val="00492BC5"/>
    <w:rsid w:val="00493B53"/>
    <w:rsid w:val="00493B6B"/>
    <w:rsid w:val="00493BDC"/>
    <w:rsid w:val="00494347"/>
    <w:rsid w:val="00495B24"/>
    <w:rsid w:val="004964F1"/>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A9C"/>
    <w:rsid w:val="004F0B4E"/>
    <w:rsid w:val="004F0B6C"/>
    <w:rsid w:val="004F0F1E"/>
    <w:rsid w:val="004F2078"/>
    <w:rsid w:val="004F252F"/>
    <w:rsid w:val="004F3B83"/>
    <w:rsid w:val="004F4A2E"/>
    <w:rsid w:val="004F4DA3"/>
    <w:rsid w:val="004F4EA4"/>
    <w:rsid w:val="004F4F21"/>
    <w:rsid w:val="004F6EC3"/>
    <w:rsid w:val="004F7AA1"/>
    <w:rsid w:val="00500898"/>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3FA4"/>
    <w:rsid w:val="00524438"/>
    <w:rsid w:val="00524B2A"/>
    <w:rsid w:val="005257C5"/>
    <w:rsid w:val="00526C00"/>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564FE"/>
    <w:rsid w:val="0056121F"/>
    <w:rsid w:val="00561937"/>
    <w:rsid w:val="00561B01"/>
    <w:rsid w:val="005621AD"/>
    <w:rsid w:val="005649A3"/>
    <w:rsid w:val="00571170"/>
    <w:rsid w:val="0057197E"/>
    <w:rsid w:val="00572505"/>
    <w:rsid w:val="00573188"/>
    <w:rsid w:val="00575047"/>
    <w:rsid w:val="00576C7D"/>
    <w:rsid w:val="0057725D"/>
    <w:rsid w:val="00581405"/>
    <w:rsid w:val="00581CD7"/>
    <w:rsid w:val="00582809"/>
    <w:rsid w:val="005849DA"/>
    <w:rsid w:val="00585C95"/>
    <w:rsid w:val="005874E2"/>
    <w:rsid w:val="0058798C"/>
    <w:rsid w:val="00587A67"/>
    <w:rsid w:val="005900FA"/>
    <w:rsid w:val="00591963"/>
    <w:rsid w:val="00592460"/>
    <w:rsid w:val="00592D18"/>
    <w:rsid w:val="005935A4"/>
    <w:rsid w:val="00593A25"/>
    <w:rsid w:val="005948C2"/>
    <w:rsid w:val="00595142"/>
    <w:rsid w:val="00595302"/>
    <w:rsid w:val="0059570A"/>
    <w:rsid w:val="00595766"/>
    <w:rsid w:val="00595DCA"/>
    <w:rsid w:val="0059779B"/>
    <w:rsid w:val="005A1C04"/>
    <w:rsid w:val="005A209A"/>
    <w:rsid w:val="005A305A"/>
    <w:rsid w:val="005A4241"/>
    <w:rsid w:val="005A467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5BEA"/>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3257"/>
    <w:rsid w:val="0061472D"/>
    <w:rsid w:val="0061579F"/>
    <w:rsid w:val="00617EB2"/>
    <w:rsid w:val="00620A71"/>
    <w:rsid w:val="00620D80"/>
    <w:rsid w:val="00620F3F"/>
    <w:rsid w:val="00620F51"/>
    <w:rsid w:val="00621241"/>
    <w:rsid w:val="00621427"/>
    <w:rsid w:val="00621738"/>
    <w:rsid w:val="006234A6"/>
    <w:rsid w:val="00623A67"/>
    <w:rsid w:val="00623D5D"/>
    <w:rsid w:val="00624AC6"/>
    <w:rsid w:val="00625461"/>
    <w:rsid w:val="00625C52"/>
    <w:rsid w:val="00627691"/>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624E"/>
    <w:rsid w:val="00650AB9"/>
    <w:rsid w:val="00650B5A"/>
    <w:rsid w:val="00650DF2"/>
    <w:rsid w:val="00652F1E"/>
    <w:rsid w:val="00654884"/>
    <w:rsid w:val="00655733"/>
    <w:rsid w:val="00655ACD"/>
    <w:rsid w:val="00655D5E"/>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71F9"/>
    <w:rsid w:val="006776D7"/>
    <w:rsid w:val="006800F5"/>
    <w:rsid w:val="00681003"/>
    <w:rsid w:val="006817C9"/>
    <w:rsid w:val="0068307D"/>
    <w:rsid w:val="00683ECE"/>
    <w:rsid w:val="006859AD"/>
    <w:rsid w:val="00685F56"/>
    <w:rsid w:val="00686B7A"/>
    <w:rsid w:val="00687FF0"/>
    <w:rsid w:val="00691B14"/>
    <w:rsid w:val="00692E73"/>
    <w:rsid w:val="00695B41"/>
    <w:rsid w:val="00695CCD"/>
    <w:rsid w:val="00695FC2"/>
    <w:rsid w:val="00696949"/>
    <w:rsid w:val="00697052"/>
    <w:rsid w:val="00697A31"/>
    <w:rsid w:val="006A0AE8"/>
    <w:rsid w:val="006A12AF"/>
    <w:rsid w:val="006A14FA"/>
    <w:rsid w:val="006A150B"/>
    <w:rsid w:val="006A2059"/>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2F9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720"/>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973"/>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2FD4"/>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604B2"/>
    <w:rsid w:val="00762E75"/>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25EA"/>
    <w:rsid w:val="00792BEF"/>
    <w:rsid w:val="00793CD8"/>
    <w:rsid w:val="00793CE5"/>
    <w:rsid w:val="00794B0F"/>
    <w:rsid w:val="00794E1E"/>
    <w:rsid w:val="0079500F"/>
    <w:rsid w:val="00795928"/>
    <w:rsid w:val="00795C92"/>
    <w:rsid w:val="00796231"/>
    <w:rsid w:val="0079661A"/>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54B8"/>
    <w:rsid w:val="008011EC"/>
    <w:rsid w:val="00803FAE"/>
    <w:rsid w:val="008049C1"/>
    <w:rsid w:val="0080605F"/>
    <w:rsid w:val="00807786"/>
    <w:rsid w:val="00807796"/>
    <w:rsid w:val="00807B8E"/>
    <w:rsid w:val="00811F01"/>
    <w:rsid w:val="00811FCB"/>
    <w:rsid w:val="00812CE0"/>
    <w:rsid w:val="00812EAF"/>
    <w:rsid w:val="00814B06"/>
    <w:rsid w:val="008151C2"/>
    <w:rsid w:val="008158D6"/>
    <w:rsid w:val="00816E6B"/>
    <w:rsid w:val="00817196"/>
    <w:rsid w:val="008203B8"/>
    <w:rsid w:val="00820F1E"/>
    <w:rsid w:val="008221D2"/>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12"/>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5F74"/>
    <w:rsid w:val="008677FD"/>
    <w:rsid w:val="008706D4"/>
    <w:rsid w:val="00870C22"/>
    <w:rsid w:val="00870F8A"/>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3C"/>
    <w:rsid w:val="00883647"/>
    <w:rsid w:val="008840A7"/>
    <w:rsid w:val="00884124"/>
    <w:rsid w:val="008847BA"/>
    <w:rsid w:val="0088689E"/>
    <w:rsid w:val="0088691A"/>
    <w:rsid w:val="0089042D"/>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0FE5"/>
    <w:rsid w:val="00911814"/>
    <w:rsid w:val="00911DFB"/>
    <w:rsid w:val="0091248A"/>
    <w:rsid w:val="00912FC9"/>
    <w:rsid w:val="009139D9"/>
    <w:rsid w:val="00914AD8"/>
    <w:rsid w:val="00914E39"/>
    <w:rsid w:val="0091528A"/>
    <w:rsid w:val="00916079"/>
    <w:rsid w:val="009164D5"/>
    <w:rsid w:val="00916E21"/>
    <w:rsid w:val="00917627"/>
    <w:rsid w:val="00917CE9"/>
    <w:rsid w:val="0092076B"/>
    <w:rsid w:val="00920BF2"/>
    <w:rsid w:val="009214CD"/>
    <w:rsid w:val="00921FE1"/>
    <w:rsid w:val="00922010"/>
    <w:rsid w:val="00924BA8"/>
    <w:rsid w:val="0092561A"/>
    <w:rsid w:val="009257D6"/>
    <w:rsid w:val="00925D92"/>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01BE"/>
    <w:rsid w:val="0097123A"/>
    <w:rsid w:val="00971F08"/>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17A"/>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D20"/>
    <w:rsid w:val="009B1F30"/>
    <w:rsid w:val="009B2C43"/>
    <w:rsid w:val="009B2FD5"/>
    <w:rsid w:val="009B3AC2"/>
    <w:rsid w:val="009B4DF4"/>
    <w:rsid w:val="009B4F64"/>
    <w:rsid w:val="009B51D4"/>
    <w:rsid w:val="009B529A"/>
    <w:rsid w:val="009B564E"/>
    <w:rsid w:val="009B6329"/>
    <w:rsid w:val="009B7E87"/>
    <w:rsid w:val="009C1203"/>
    <w:rsid w:val="009C2552"/>
    <w:rsid w:val="009C403E"/>
    <w:rsid w:val="009C4F81"/>
    <w:rsid w:val="009C552C"/>
    <w:rsid w:val="009C58B0"/>
    <w:rsid w:val="009C5974"/>
    <w:rsid w:val="009C6CC5"/>
    <w:rsid w:val="009C7741"/>
    <w:rsid w:val="009D3572"/>
    <w:rsid w:val="009D372F"/>
    <w:rsid w:val="009D4352"/>
    <w:rsid w:val="009D4FF0"/>
    <w:rsid w:val="009D703C"/>
    <w:rsid w:val="009D718F"/>
    <w:rsid w:val="009D7A56"/>
    <w:rsid w:val="009D7BBD"/>
    <w:rsid w:val="009E068F"/>
    <w:rsid w:val="009E14E0"/>
    <w:rsid w:val="009E1E75"/>
    <w:rsid w:val="009E2A60"/>
    <w:rsid w:val="009E35DB"/>
    <w:rsid w:val="009E47A3"/>
    <w:rsid w:val="009E600C"/>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10C2D"/>
    <w:rsid w:val="00A13E54"/>
    <w:rsid w:val="00A149E7"/>
    <w:rsid w:val="00A150C2"/>
    <w:rsid w:val="00A17F63"/>
    <w:rsid w:val="00A205F7"/>
    <w:rsid w:val="00A20C83"/>
    <w:rsid w:val="00A2193B"/>
    <w:rsid w:val="00A225C2"/>
    <w:rsid w:val="00A22C9B"/>
    <w:rsid w:val="00A23389"/>
    <w:rsid w:val="00A2351A"/>
    <w:rsid w:val="00A247CC"/>
    <w:rsid w:val="00A25B6D"/>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2E1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1D66"/>
    <w:rsid w:val="00A837AD"/>
    <w:rsid w:val="00A8380C"/>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5EC3"/>
    <w:rsid w:val="00AB655E"/>
    <w:rsid w:val="00AC007F"/>
    <w:rsid w:val="00AC04AD"/>
    <w:rsid w:val="00AC064B"/>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67F"/>
    <w:rsid w:val="00AE1AD1"/>
    <w:rsid w:val="00AE27AC"/>
    <w:rsid w:val="00AE40E0"/>
    <w:rsid w:val="00AE4DBA"/>
    <w:rsid w:val="00AE4F07"/>
    <w:rsid w:val="00AE575D"/>
    <w:rsid w:val="00AF016C"/>
    <w:rsid w:val="00AF0689"/>
    <w:rsid w:val="00AF06C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DBE"/>
    <w:rsid w:val="00B02FA3"/>
    <w:rsid w:val="00B0436A"/>
    <w:rsid w:val="00B05084"/>
    <w:rsid w:val="00B052D1"/>
    <w:rsid w:val="00B0541B"/>
    <w:rsid w:val="00B076FF"/>
    <w:rsid w:val="00B113B1"/>
    <w:rsid w:val="00B12152"/>
    <w:rsid w:val="00B12BC8"/>
    <w:rsid w:val="00B1348E"/>
    <w:rsid w:val="00B143CC"/>
    <w:rsid w:val="00B14421"/>
    <w:rsid w:val="00B14596"/>
    <w:rsid w:val="00B157F9"/>
    <w:rsid w:val="00B15A5E"/>
    <w:rsid w:val="00B15D22"/>
    <w:rsid w:val="00B16925"/>
    <w:rsid w:val="00B17998"/>
    <w:rsid w:val="00B17DF0"/>
    <w:rsid w:val="00B17F23"/>
    <w:rsid w:val="00B17FD2"/>
    <w:rsid w:val="00B20256"/>
    <w:rsid w:val="00B20D09"/>
    <w:rsid w:val="00B20F60"/>
    <w:rsid w:val="00B210A3"/>
    <w:rsid w:val="00B219EA"/>
    <w:rsid w:val="00B23219"/>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1788"/>
    <w:rsid w:val="00B5748A"/>
    <w:rsid w:val="00B57BF6"/>
    <w:rsid w:val="00B61D3B"/>
    <w:rsid w:val="00B6225D"/>
    <w:rsid w:val="00B63428"/>
    <w:rsid w:val="00B63FB6"/>
    <w:rsid w:val="00B65B44"/>
    <w:rsid w:val="00B664C7"/>
    <w:rsid w:val="00B71B97"/>
    <w:rsid w:val="00B71E54"/>
    <w:rsid w:val="00B7236A"/>
    <w:rsid w:val="00B739F6"/>
    <w:rsid w:val="00B74B41"/>
    <w:rsid w:val="00B74C3A"/>
    <w:rsid w:val="00B74CE0"/>
    <w:rsid w:val="00B75044"/>
    <w:rsid w:val="00B76ABB"/>
    <w:rsid w:val="00B80F47"/>
    <w:rsid w:val="00B81A6C"/>
    <w:rsid w:val="00B836E7"/>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2FB7"/>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FA6"/>
    <w:rsid w:val="00BE333F"/>
    <w:rsid w:val="00BE3973"/>
    <w:rsid w:val="00BE40F6"/>
    <w:rsid w:val="00BE6F14"/>
    <w:rsid w:val="00BE7406"/>
    <w:rsid w:val="00BE7603"/>
    <w:rsid w:val="00BF3279"/>
    <w:rsid w:val="00BF36D4"/>
    <w:rsid w:val="00BF37C8"/>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2107"/>
    <w:rsid w:val="00C12CD1"/>
    <w:rsid w:val="00C13A2C"/>
    <w:rsid w:val="00C14827"/>
    <w:rsid w:val="00C14D4B"/>
    <w:rsid w:val="00C154BB"/>
    <w:rsid w:val="00C15569"/>
    <w:rsid w:val="00C20F41"/>
    <w:rsid w:val="00C22B2E"/>
    <w:rsid w:val="00C22BD5"/>
    <w:rsid w:val="00C22BDA"/>
    <w:rsid w:val="00C22CC9"/>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4EAC"/>
    <w:rsid w:val="00C45B59"/>
    <w:rsid w:val="00C466C0"/>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66C65"/>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0118"/>
    <w:rsid w:val="00CA1C33"/>
    <w:rsid w:val="00CA1ED8"/>
    <w:rsid w:val="00CA2DE0"/>
    <w:rsid w:val="00CA2F85"/>
    <w:rsid w:val="00CA37DD"/>
    <w:rsid w:val="00CA40F4"/>
    <w:rsid w:val="00CA46C5"/>
    <w:rsid w:val="00CA48A6"/>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329"/>
    <w:rsid w:val="00CC3EA0"/>
    <w:rsid w:val="00CC4580"/>
    <w:rsid w:val="00CC7B45"/>
    <w:rsid w:val="00CC7FA8"/>
    <w:rsid w:val="00CD1188"/>
    <w:rsid w:val="00CD1616"/>
    <w:rsid w:val="00CD1C8F"/>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1CBB"/>
    <w:rsid w:val="00D0349B"/>
    <w:rsid w:val="00D034B7"/>
    <w:rsid w:val="00D04BFA"/>
    <w:rsid w:val="00D06945"/>
    <w:rsid w:val="00D06EA0"/>
    <w:rsid w:val="00D07C98"/>
    <w:rsid w:val="00D10249"/>
    <w:rsid w:val="00D10876"/>
    <w:rsid w:val="00D10DDA"/>
    <w:rsid w:val="00D115C3"/>
    <w:rsid w:val="00D11897"/>
    <w:rsid w:val="00D13135"/>
    <w:rsid w:val="00D138FA"/>
    <w:rsid w:val="00D13E4E"/>
    <w:rsid w:val="00D162E4"/>
    <w:rsid w:val="00D17598"/>
    <w:rsid w:val="00D17C35"/>
    <w:rsid w:val="00D203D0"/>
    <w:rsid w:val="00D20755"/>
    <w:rsid w:val="00D21237"/>
    <w:rsid w:val="00D22614"/>
    <w:rsid w:val="00D239A7"/>
    <w:rsid w:val="00D23F47"/>
    <w:rsid w:val="00D267C5"/>
    <w:rsid w:val="00D2758E"/>
    <w:rsid w:val="00D27FEE"/>
    <w:rsid w:val="00D3079B"/>
    <w:rsid w:val="00D3363A"/>
    <w:rsid w:val="00D34968"/>
    <w:rsid w:val="00D36D5C"/>
    <w:rsid w:val="00D36E71"/>
    <w:rsid w:val="00D375EA"/>
    <w:rsid w:val="00D37D87"/>
    <w:rsid w:val="00D40B33"/>
    <w:rsid w:val="00D418A0"/>
    <w:rsid w:val="00D42D0D"/>
    <w:rsid w:val="00D4318F"/>
    <w:rsid w:val="00D438BF"/>
    <w:rsid w:val="00D440F8"/>
    <w:rsid w:val="00D443C1"/>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5726"/>
    <w:rsid w:val="00D96A91"/>
    <w:rsid w:val="00D96C6C"/>
    <w:rsid w:val="00D96DF4"/>
    <w:rsid w:val="00D97946"/>
    <w:rsid w:val="00DA0B7F"/>
    <w:rsid w:val="00DA305E"/>
    <w:rsid w:val="00DA3C1F"/>
    <w:rsid w:val="00DA43BC"/>
    <w:rsid w:val="00DA5417"/>
    <w:rsid w:val="00DA56E8"/>
    <w:rsid w:val="00DA5E1B"/>
    <w:rsid w:val="00DA73A9"/>
    <w:rsid w:val="00DA7FAC"/>
    <w:rsid w:val="00DB0D6A"/>
    <w:rsid w:val="00DB377D"/>
    <w:rsid w:val="00DB47D8"/>
    <w:rsid w:val="00DB5533"/>
    <w:rsid w:val="00DB5F55"/>
    <w:rsid w:val="00DB69B5"/>
    <w:rsid w:val="00DB72FA"/>
    <w:rsid w:val="00DB78DA"/>
    <w:rsid w:val="00DC2D36"/>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27F6"/>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2A96"/>
    <w:rsid w:val="00DF37A0"/>
    <w:rsid w:val="00DF3A1E"/>
    <w:rsid w:val="00DF4276"/>
    <w:rsid w:val="00DF45A1"/>
    <w:rsid w:val="00DF59C6"/>
    <w:rsid w:val="00DF60BC"/>
    <w:rsid w:val="00DF6758"/>
    <w:rsid w:val="00DF79AF"/>
    <w:rsid w:val="00DF7C40"/>
    <w:rsid w:val="00E0032B"/>
    <w:rsid w:val="00E006AA"/>
    <w:rsid w:val="00E007B8"/>
    <w:rsid w:val="00E01224"/>
    <w:rsid w:val="00E01B23"/>
    <w:rsid w:val="00E020F3"/>
    <w:rsid w:val="00E02CF6"/>
    <w:rsid w:val="00E04689"/>
    <w:rsid w:val="00E067DE"/>
    <w:rsid w:val="00E06D01"/>
    <w:rsid w:val="00E077B5"/>
    <w:rsid w:val="00E07D70"/>
    <w:rsid w:val="00E10139"/>
    <w:rsid w:val="00E110E7"/>
    <w:rsid w:val="00E11B20"/>
    <w:rsid w:val="00E11BA5"/>
    <w:rsid w:val="00E133E4"/>
    <w:rsid w:val="00E1370F"/>
    <w:rsid w:val="00E13F7B"/>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06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CE3"/>
    <w:rsid w:val="00E96DFF"/>
    <w:rsid w:val="00E979AC"/>
    <w:rsid w:val="00EA116D"/>
    <w:rsid w:val="00EA1343"/>
    <w:rsid w:val="00EA26A5"/>
    <w:rsid w:val="00EA31FF"/>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935"/>
    <w:rsid w:val="00ED7A2C"/>
    <w:rsid w:val="00EE020E"/>
    <w:rsid w:val="00EE0858"/>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F00B77"/>
    <w:rsid w:val="00F04DB5"/>
    <w:rsid w:val="00F0528D"/>
    <w:rsid w:val="00F0546B"/>
    <w:rsid w:val="00F06C67"/>
    <w:rsid w:val="00F06DFD"/>
    <w:rsid w:val="00F071D1"/>
    <w:rsid w:val="00F07533"/>
    <w:rsid w:val="00F07BE2"/>
    <w:rsid w:val="00F10209"/>
    <w:rsid w:val="00F10629"/>
    <w:rsid w:val="00F10C28"/>
    <w:rsid w:val="00F10F13"/>
    <w:rsid w:val="00F1123E"/>
    <w:rsid w:val="00F12C5F"/>
    <w:rsid w:val="00F1364C"/>
    <w:rsid w:val="00F143EA"/>
    <w:rsid w:val="00F14E86"/>
    <w:rsid w:val="00F15FA5"/>
    <w:rsid w:val="00F168C3"/>
    <w:rsid w:val="00F16AAE"/>
    <w:rsid w:val="00F16C0E"/>
    <w:rsid w:val="00F16C5B"/>
    <w:rsid w:val="00F16D8C"/>
    <w:rsid w:val="00F209B7"/>
    <w:rsid w:val="00F21A30"/>
    <w:rsid w:val="00F21A71"/>
    <w:rsid w:val="00F2376F"/>
    <w:rsid w:val="00F23DE0"/>
    <w:rsid w:val="00F243D8"/>
    <w:rsid w:val="00F2447D"/>
    <w:rsid w:val="00F25F17"/>
    <w:rsid w:val="00F26885"/>
    <w:rsid w:val="00F27116"/>
    <w:rsid w:val="00F27410"/>
    <w:rsid w:val="00F306F6"/>
    <w:rsid w:val="00F30828"/>
    <w:rsid w:val="00F313D6"/>
    <w:rsid w:val="00F316FD"/>
    <w:rsid w:val="00F322BC"/>
    <w:rsid w:val="00F32950"/>
    <w:rsid w:val="00F334AA"/>
    <w:rsid w:val="00F33D3B"/>
    <w:rsid w:val="00F33D81"/>
    <w:rsid w:val="00F35301"/>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366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427"/>
    <w:rsid w:val="00F87B1D"/>
    <w:rsid w:val="00F90089"/>
    <w:rsid w:val="00F9056A"/>
    <w:rsid w:val="00F90F8D"/>
    <w:rsid w:val="00F91B1A"/>
    <w:rsid w:val="00F92782"/>
    <w:rsid w:val="00F930D0"/>
    <w:rsid w:val="00F9388A"/>
    <w:rsid w:val="00F93AA9"/>
    <w:rsid w:val="00F9524C"/>
    <w:rsid w:val="00F9538C"/>
    <w:rsid w:val="00F966AA"/>
    <w:rsid w:val="00F96985"/>
    <w:rsid w:val="00F96B91"/>
    <w:rsid w:val="00F97838"/>
    <w:rsid w:val="00FA1379"/>
    <w:rsid w:val="00FA1965"/>
    <w:rsid w:val="00FA2BB3"/>
    <w:rsid w:val="00FA41F9"/>
    <w:rsid w:val="00FA571D"/>
    <w:rsid w:val="00FA57BF"/>
    <w:rsid w:val="00FA5E07"/>
    <w:rsid w:val="00FA7362"/>
    <w:rsid w:val="00FB1CCB"/>
    <w:rsid w:val="00FB2389"/>
    <w:rsid w:val="00FB2B6B"/>
    <w:rsid w:val="00FB4C80"/>
    <w:rsid w:val="00FB57F9"/>
    <w:rsid w:val="00FB58E0"/>
    <w:rsid w:val="00FB5BA0"/>
    <w:rsid w:val="00FB6773"/>
    <w:rsid w:val="00FB6A6A"/>
    <w:rsid w:val="00FB7CB8"/>
    <w:rsid w:val="00FC5052"/>
    <w:rsid w:val="00FC5F9A"/>
    <w:rsid w:val="00FC6CAE"/>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4A60E0"/>
  <w15:docId w15:val="{59ECBF2F-8186-429E-B7E0-AE991AC0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sid w:val="00A533D1"/>
    <w:rPr>
      <w:b/>
      <w:bCs/>
      <w:position w:val="6"/>
      <w:sz w:val="16"/>
      <w:szCs w:val="16"/>
    </w:rPr>
  </w:style>
  <w:style w:type="paragraph" w:styleId="ab">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c"/>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d">
    <w:name w:val="footer"/>
    <w:basedOn w:val="a8"/>
    <w:link w:val="ae"/>
    <w:uiPriority w:val="99"/>
    <w:rsid w:val="00A533D1"/>
    <w:pPr>
      <w:jc w:val="center"/>
    </w:pPr>
    <w:rPr>
      <w:i/>
      <w:iCs/>
    </w:rPr>
  </w:style>
  <w:style w:type="paragraph" w:customStyle="1" w:styleId="Reference">
    <w:name w:val="Reference"/>
    <w:basedOn w:val="a0"/>
    <w:rsid w:val="00A533D1"/>
    <w:pPr>
      <w:numPr>
        <w:numId w:val="2"/>
      </w:numPr>
    </w:pPr>
  </w:style>
  <w:style w:type="paragraph" w:styleId="af">
    <w:name w:val="Balloon Text"/>
    <w:basedOn w:val="a0"/>
    <w:semiHidden/>
    <w:rsid w:val="00A533D1"/>
    <w:rPr>
      <w:rFonts w:ascii="Tahoma" w:hAnsi="Tahoma" w:cs="Tahoma"/>
      <w:sz w:val="16"/>
      <w:szCs w:val="16"/>
    </w:rPr>
  </w:style>
  <w:style w:type="character" w:styleId="af0">
    <w:name w:val="page number"/>
    <w:semiHidden/>
    <w:rsid w:val="00A533D1"/>
  </w:style>
  <w:style w:type="paragraph" w:styleId="ac">
    <w:name w:val="Body Text"/>
    <w:basedOn w:val="a0"/>
    <w:link w:val="af1"/>
    <w:rsid w:val="00A533D1"/>
  </w:style>
  <w:style w:type="character" w:styleId="af2">
    <w:name w:val="Hyperlink"/>
    <w:uiPriority w:val="99"/>
    <w:rsid w:val="00A533D1"/>
    <w:rPr>
      <w:color w:val="0000FF"/>
      <w:u w:val="single"/>
      <w:lang w:val="en-GB"/>
    </w:rPr>
  </w:style>
  <w:style w:type="character" w:styleId="af3">
    <w:name w:val="FollowedHyperlink"/>
    <w:semiHidden/>
    <w:rsid w:val="00A533D1"/>
    <w:rPr>
      <w:color w:val="FF0000"/>
      <w:u w:val="single"/>
    </w:rPr>
  </w:style>
  <w:style w:type="character" w:styleId="af4">
    <w:name w:val="annotation reference"/>
    <w:semiHidden/>
    <w:rsid w:val="00A533D1"/>
    <w:rPr>
      <w:sz w:val="16"/>
      <w:szCs w:val="16"/>
    </w:rPr>
  </w:style>
  <w:style w:type="paragraph" w:styleId="af5">
    <w:name w:val="annotation text"/>
    <w:basedOn w:val="a0"/>
    <w:semiHidden/>
    <w:rsid w:val="00A533D1"/>
  </w:style>
  <w:style w:type="paragraph" w:styleId="af6">
    <w:name w:val="annotation subject"/>
    <w:basedOn w:val="af5"/>
    <w:next w:val="af5"/>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1">
    <w:name w:val="本文 字元"/>
    <w:link w:val="ac"/>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7">
    <w:name w:val="table of figures"/>
    <w:basedOn w:val="a0"/>
    <w:next w:val="a0"/>
    <w:uiPriority w:val="99"/>
    <w:rsid w:val="00A533D1"/>
    <w:pPr>
      <w:ind w:left="1418" w:hanging="1418"/>
      <w:jc w:val="left"/>
    </w:pPr>
    <w:rPr>
      <w:b/>
    </w:rPr>
  </w:style>
  <w:style w:type="paragraph" w:customStyle="1" w:styleId="TableText">
    <w:name w:val="TableText"/>
    <w:basedOn w:val="af8"/>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8">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9">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a">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b">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c">
    <w:name w:val="List Paragraph"/>
    <w:basedOn w:val="a0"/>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e">
    <w:name w:val="頁尾 字元"/>
    <w:link w:val="ad"/>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11">
    <w:name w:val="彩色清單 - 輔色 11"/>
    <w:basedOn w:val="a0"/>
    <w:link w:val="-1"/>
    <w:uiPriority w:val="34"/>
    <w:qFormat/>
    <w:rsid w:val="004F0A9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1">
    <w:name w:val="彩色清單 - 輔色 1 字元"/>
    <w:link w:val="-11"/>
    <w:uiPriority w:val="34"/>
    <w:locked/>
    <w:rsid w:val="004F0A9C"/>
    <w:rPr>
      <w:rFonts w:ascii="Calibri" w:eastAsia="Calibri" w:hAnsi="Calibri"/>
      <w:sz w:val="22"/>
      <w:szCs w:val="22"/>
      <w:lang w:eastAsia="en-US"/>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695B41"/>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67010874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477989118">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657AAF-8FD6-44F3-AED7-67A9737F6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102</TotalTime>
  <Pages>2</Pages>
  <Words>646</Words>
  <Characters>3686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ITRI</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Samer Talat</dc:creator>
  <cp:lastModifiedBy>Administrator</cp:lastModifiedBy>
  <cp:revision>9</cp:revision>
  <cp:lastPrinted>2012-05-02T15:54:00Z</cp:lastPrinted>
  <dcterms:created xsi:type="dcterms:W3CDTF">2019-08-15T17:06:00Z</dcterms:created>
  <dcterms:modified xsi:type="dcterms:W3CDTF">2019-08-16T06:46:00Z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