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5187C091" w:rsidR="007F637A" w:rsidRPr="00FD3DDC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9040EE">
        <w:rPr>
          <w:rFonts w:ascii="Arial" w:hAnsi="Arial" w:cs="Arial"/>
          <w:b/>
          <w:sz w:val="24"/>
          <w:szCs w:val="24"/>
        </w:rPr>
        <w:t>8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2D3C0D">
        <w:rPr>
          <w:rFonts w:ascii="Arial" w:hAnsi="Arial" w:cs="Arial"/>
          <w:b/>
          <w:sz w:val="24"/>
          <w:szCs w:val="24"/>
        </w:rPr>
        <w:t>19</w:t>
      </w:r>
      <w:r w:rsidR="0026343C">
        <w:rPr>
          <w:rFonts w:ascii="Arial" w:hAnsi="Arial" w:cs="Arial"/>
          <w:b/>
          <w:sz w:val="24"/>
          <w:szCs w:val="24"/>
        </w:rPr>
        <w:t>0</w:t>
      </w:r>
      <w:r w:rsidR="008705F6">
        <w:rPr>
          <w:rFonts w:ascii="Arial" w:hAnsi="Arial" w:cs="Arial"/>
          <w:b/>
          <w:sz w:val="24"/>
          <w:szCs w:val="24"/>
        </w:rPr>
        <w:t>8832</w:t>
      </w:r>
    </w:p>
    <w:p w14:paraId="7B06AEC4" w14:textId="2199B57F" w:rsidR="007F637A" w:rsidRDefault="009040EE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26</w:t>
      </w:r>
      <w:r w:rsidR="002D3C0D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2D3C0D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30</w:t>
      </w:r>
      <w:r w:rsidR="002D3C0D" w:rsidRPr="00FD3DDC">
        <w:rPr>
          <w:rFonts w:ascii="Arial" w:hAnsi="Arial" w:cs="Arial"/>
          <w:b/>
          <w:sz w:val="24"/>
          <w:szCs w:val="24"/>
          <w:vertAlign w:val="superscript"/>
        </w:rPr>
        <w:t>t</w:t>
      </w:r>
      <w:r w:rsidR="00305026">
        <w:rPr>
          <w:rFonts w:ascii="Arial" w:hAnsi="Arial" w:cs="Arial"/>
          <w:b/>
          <w:sz w:val="24"/>
          <w:szCs w:val="24"/>
          <w:vertAlign w:val="superscript"/>
        </w:rPr>
        <w:t>h</w:t>
      </w:r>
      <w:r w:rsidR="002D3C0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2D3C0D">
        <w:rPr>
          <w:rFonts w:ascii="Arial" w:hAnsi="Arial" w:cs="Arial"/>
          <w:b/>
          <w:sz w:val="24"/>
          <w:szCs w:val="24"/>
        </w:rPr>
        <w:t xml:space="preserve"> </w:t>
      </w:r>
      <w:r w:rsidR="00FD3DDC">
        <w:rPr>
          <w:rFonts w:ascii="Arial" w:hAnsi="Arial" w:cs="Arial"/>
          <w:b/>
          <w:sz w:val="24"/>
          <w:szCs w:val="24"/>
        </w:rPr>
        <w:t>2019</w:t>
      </w:r>
    </w:p>
    <w:p w14:paraId="4A6B87B1" w14:textId="721BBA1F" w:rsidR="007F637A" w:rsidRPr="00FD021C" w:rsidRDefault="009040EE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val="en-US" w:eastAsia="zh-CN"/>
        </w:rPr>
        <w:t>Prague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CZ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3794458F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</w:t>
      </w:r>
      <w:r w:rsidR="00BA445D">
        <w:rPr>
          <w:sz w:val="22"/>
          <w:szCs w:val="22"/>
          <w:lang w:val="sv-FI"/>
        </w:rPr>
        <w:t>8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12B06C67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D056D0">
        <w:rPr>
          <w:sz w:val="22"/>
          <w:szCs w:val="22"/>
        </w:rPr>
        <w:t>Use of control region</w:t>
      </w:r>
      <w:r w:rsidR="00FA0631" w:rsidRPr="00FA0631">
        <w:rPr>
          <w:sz w:val="22"/>
          <w:szCs w:val="22"/>
        </w:rPr>
        <w:t xml:space="preserve"> </w:t>
      </w:r>
      <w:r w:rsidR="00D056D0">
        <w:rPr>
          <w:sz w:val="22"/>
          <w:szCs w:val="22"/>
        </w:rPr>
        <w:t xml:space="preserve">for </w:t>
      </w:r>
      <w:proofErr w:type="spellStart"/>
      <w:r w:rsidR="00D056D0">
        <w:rPr>
          <w:sz w:val="22"/>
          <w:szCs w:val="22"/>
        </w:rPr>
        <w:t>eMTC</w:t>
      </w:r>
      <w:proofErr w:type="spellEnd"/>
      <w:r w:rsidR="00D056D0">
        <w:rPr>
          <w:sz w:val="22"/>
          <w:szCs w:val="22"/>
        </w:rPr>
        <w:t xml:space="preserve"> UEs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2D986EB" w14:textId="43A213E9" w:rsidR="00051CEA" w:rsidRDefault="003C43C6" w:rsidP="00051CEA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In RAN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1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#</w:t>
      </w:r>
      <w:r w:rsidR="002D3C0D">
        <w:rPr>
          <w:rFonts w:eastAsia="Batang"/>
          <w:snapToGrid w:val="0"/>
          <w:kern w:val="2"/>
          <w:sz w:val="22"/>
          <w:szCs w:val="22"/>
          <w:lang w:eastAsia="ko-KR"/>
        </w:rPr>
        <w:t>9</w:t>
      </w:r>
      <w:r w:rsidR="00D404F1">
        <w:rPr>
          <w:rFonts w:eastAsia="Batang"/>
          <w:snapToGrid w:val="0"/>
          <w:kern w:val="2"/>
          <w:sz w:val="22"/>
          <w:szCs w:val="22"/>
          <w:lang w:eastAsia="ko-KR"/>
        </w:rPr>
        <w:t>7</w:t>
      </w:r>
      <w:r w:rsidR="002D3C0D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meeting, the following agreements for using LTE control region for DL transmission were achieved [</w:t>
      </w:r>
      <w:r w:rsidR="00A60814">
        <w:rPr>
          <w:rFonts w:eastAsia="Batang"/>
          <w:snapToGrid w:val="0"/>
          <w:kern w:val="2"/>
          <w:sz w:val="22"/>
          <w:szCs w:val="22"/>
          <w:lang w:eastAsia="ko-KR"/>
        </w:rPr>
        <w:t>1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]. </w:t>
      </w:r>
    </w:p>
    <w:p w14:paraId="4339D02F" w14:textId="77777777" w:rsidR="00051CEA" w:rsidRDefault="00051CEA" w:rsidP="00051CEA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</w:p>
    <w:p w14:paraId="5478661A" w14:textId="77777777" w:rsidR="008F6AB2" w:rsidRPr="008F6AB2" w:rsidRDefault="008F6AB2" w:rsidP="008F6AB2">
      <w:pPr>
        <w:rPr>
          <w:b/>
          <w:sz w:val="22"/>
          <w:szCs w:val="22"/>
          <w:highlight w:val="green"/>
          <w:lang w:eastAsia="x-none"/>
        </w:rPr>
      </w:pPr>
      <w:r w:rsidRPr="008F6AB2">
        <w:rPr>
          <w:b/>
          <w:sz w:val="22"/>
          <w:szCs w:val="22"/>
          <w:highlight w:val="green"/>
          <w:lang w:eastAsia="x-none"/>
        </w:rPr>
        <w:t>Agreement</w:t>
      </w:r>
    </w:p>
    <w:p w14:paraId="29F1DDB2" w14:textId="77777777" w:rsidR="008F6AB2" w:rsidRPr="008F6AB2" w:rsidRDefault="008F6AB2" w:rsidP="008F6AB2">
      <w:pPr>
        <w:pStyle w:val="ListParagraph"/>
        <w:numPr>
          <w:ilvl w:val="0"/>
          <w:numId w:val="33"/>
        </w:numPr>
        <w:spacing w:after="120"/>
        <w:ind w:left="714" w:hanging="357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8F6AB2">
        <w:rPr>
          <w:rFonts w:ascii="Times New Roman" w:eastAsia="Batang" w:hAnsi="Times New Roman"/>
          <w:snapToGrid w:val="0"/>
          <w:kern w:val="2"/>
          <w:lang w:val="en-GB" w:eastAsia="ko-KR"/>
        </w:rPr>
        <w:t>Confirm the following working assumption with the addition of the FFS bullet for TDD special subframes</w:t>
      </w:r>
    </w:p>
    <w:p w14:paraId="3ED2BEDF" w14:textId="77777777" w:rsidR="008F6AB2" w:rsidRPr="008F6AB2" w:rsidRDefault="008F6AB2" w:rsidP="008F6AB2">
      <w:pPr>
        <w:pStyle w:val="ListParagraph"/>
        <w:numPr>
          <w:ilvl w:val="1"/>
          <w:numId w:val="33"/>
        </w:numPr>
        <w:spacing w:after="120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8F6AB2">
        <w:rPr>
          <w:rFonts w:ascii="Times New Roman" w:eastAsia="Batang" w:hAnsi="Times New Roman"/>
          <w:snapToGrid w:val="0"/>
          <w:kern w:val="2"/>
          <w:lang w:val="en-GB" w:eastAsia="ko-KR"/>
        </w:rPr>
        <w:t xml:space="preserve">For MPDCCH mapping, a fixed mapping in time is used. The resource elements used for MPDCCH in the first </w:t>
      </w:r>
      <w:proofErr w:type="spellStart"/>
      <w:r w:rsidRPr="008F6AB2">
        <w:rPr>
          <w:rFonts w:ascii="Times New Roman" w:eastAsia="Batang" w:hAnsi="Times New Roman"/>
          <w:i/>
          <w:snapToGrid w:val="0"/>
          <w:kern w:val="2"/>
          <w:lang w:val="en-GB" w:eastAsia="ko-KR"/>
        </w:rPr>
        <w:t>l</w:t>
      </w:r>
      <w:r w:rsidRPr="008F6AB2">
        <w:rPr>
          <w:rFonts w:ascii="Times New Roman" w:eastAsia="Batang" w:hAnsi="Times New Roman"/>
          <w:i/>
          <w:snapToGrid w:val="0"/>
          <w:kern w:val="2"/>
          <w:vertAlign w:val="subscript"/>
          <w:lang w:val="en-GB" w:eastAsia="ko-KR"/>
        </w:rPr>
        <w:t>MPDCCHStart</w:t>
      </w:r>
      <w:proofErr w:type="spellEnd"/>
      <w:r w:rsidRPr="008F6AB2">
        <w:rPr>
          <w:rFonts w:ascii="Times New Roman" w:eastAsia="Batang" w:hAnsi="Times New Roman"/>
          <w:snapToGrid w:val="0"/>
          <w:kern w:val="2"/>
          <w:lang w:val="en-GB" w:eastAsia="ko-KR"/>
        </w:rPr>
        <w:t xml:space="preserve"> symbols in the second slot are copied into the first </w:t>
      </w:r>
      <w:proofErr w:type="spellStart"/>
      <w:r w:rsidRPr="008F6AB2">
        <w:rPr>
          <w:rFonts w:ascii="Times New Roman" w:eastAsia="Batang" w:hAnsi="Times New Roman"/>
          <w:i/>
          <w:snapToGrid w:val="0"/>
          <w:kern w:val="2"/>
          <w:lang w:val="en-GB" w:eastAsia="ko-KR"/>
        </w:rPr>
        <w:t>l</w:t>
      </w:r>
      <w:r w:rsidRPr="008F6AB2">
        <w:rPr>
          <w:rFonts w:ascii="Times New Roman" w:eastAsia="Batang" w:hAnsi="Times New Roman"/>
          <w:i/>
          <w:snapToGrid w:val="0"/>
          <w:kern w:val="2"/>
          <w:vertAlign w:val="subscript"/>
          <w:lang w:val="en-GB" w:eastAsia="ko-KR"/>
        </w:rPr>
        <w:t>MPDCCHStart</w:t>
      </w:r>
      <w:proofErr w:type="spellEnd"/>
      <w:r w:rsidRPr="008F6AB2">
        <w:rPr>
          <w:rFonts w:ascii="Times New Roman" w:eastAsia="Batang" w:hAnsi="Times New Roman"/>
          <w:snapToGrid w:val="0"/>
          <w:kern w:val="2"/>
          <w:lang w:val="en-GB" w:eastAsia="ko-KR"/>
        </w:rPr>
        <w:t xml:space="preserve"> symbols in the first slot.</w:t>
      </w:r>
    </w:p>
    <w:p w14:paraId="35F1363F" w14:textId="77777777" w:rsidR="008F6AB2" w:rsidRPr="008F6AB2" w:rsidRDefault="008F6AB2" w:rsidP="008F6AB2">
      <w:pPr>
        <w:pStyle w:val="ListParagraph"/>
        <w:numPr>
          <w:ilvl w:val="2"/>
          <w:numId w:val="33"/>
        </w:numPr>
        <w:spacing w:after="120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8F6AB2">
        <w:rPr>
          <w:rFonts w:ascii="Times New Roman" w:eastAsia="Batang" w:hAnsi="Times New Roman"/>
          <w:snapToGrid w:val="0"/>
          <w:kern w:val="2"/>
          <w:lang w:val="en-GB" w:eastAsia="ko-KR"/>
        </w:rPr>
        <w:t>FFS: further MPDCCH mapping for TDD special subframes</w:t>
      </w:r>
    </w:p>
    <w:p w14:paraId="77C5E698" w14:textId="77777777" w:rsidR="00662586" w:rsidRPr="00662586" w:rsidRDefault="00662586" w:rsidP="00662586">
      <w:pPr>
        <w:rPr>
          <w:b/>
          <w:highlight w:val="darkYellow"/>
          <w:lang w:eastAsia="x-none"/>
        </w:rPr>
      </w:pPr>
      <w:r w:rsidRPr="00662586">
        <w:rPr>
          <w:b/>
          <w:highlight w:val="darkYellow"/>
          <w:lang w:eastAsia="x-none"/>
        </w:rPr>
        <w:t>Working Assumption</w:t>
      </w:r>
    </w:p>
    <w:p w14:paraId="397DCA3E" w14:textId="77777777" w:rsidR="00D404F1" w:rsidRPr="00D404F1" w:rsidRDefault="00D404F1" w:rsidP="00D404F1">
      <w:pPr>
        <w:pStyle w:val="ListParagraph"/>
        <w:numPr>
          <w:ilvl w:val="0"/>
          <w:numId w:val="33"/>
        </w:numPr>
        <w:spacing w:after="120"/>
        <w:ind w:left="714" w:hanging="357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D404F1">
        <w:rPr>
          <w:rFonts w:ascii="Times New Roman" w:eastAsia="Batang" w:hAnsi="Times New Roman"/>
          <w:snapToGrid w:val="0"/>
          <w:kern w:val="2"/>
          <w:lang w:val="en-GB" w:eastAsia="ko-KR"/>
        </w:rPr>
        <w:t>For MPDCCH/PDSCH transmission in LTE control region, the special subframe usage is the same as Rel-13.</w:t>
      </w:r>
    </w:p>
    <w:p w14:paraId="3D7F007C" w14:textId="77777777" w:rsidR="00662586" w:rsidRPr="00662586" w:rsidRDefault="00662586" w:rsidP="00662586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6AAF8D4" w14:textId="1455BEA5" w:rsidR="00CB61F7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0" w:name="_Ref178064866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3C43C6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continue to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</w:t>
      </w:r>
      <w:r w:rsidR="002D3C0D">
        <w:rPr>
          <w:rFonts w:eastAsia="Batang"/>
          <w:snapToGrid w:val="0"/>
          <w:kern w:val="2"/>
          <w:sz w:val="22"/>
          <w:szCs w:val="22"/>
          <w:lang w:eastAsia="ko-KR"/>
        </w:rPr>
        <w:t xml:space="preserve">remaining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 xml:space="preserve">using LTE control region for DL transmission for </w:t>
      </w:r>
      <w:r w:rsidR="00051CEA">
        <w:rPr>
          <w:rFonts w:eastAsia="Batang"/>
          <w:snapToGrid w:val="0"/>
          <w:kern w:val="2"/>
          <w:sz w:val="22"/>
          <w:szCs w:val="22"/>
          <w:lang w:eastAsia="ko-KR"/>
        </w:rPr>
        <w:t>LTE-</w:t>
      </w:r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>MTC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bookmarkEnd w:id="0"/>
    <w:p w14:paraId="6085A115" w14:textId="59ECAA73" w:rsidR="004000E8" w:rsidRPr="00690821" w:rsidRDefault="00FA0631" w:rsidP="00690821">
      <w:pPr>
        <w:pStyle w:val="Heading1"/>
        <w:numPr>
          <w:ilvl w:val="0"/>
          <w:numId w:val="39"/>
        </w:numPr>
        <w:rPr>
          <w:rFonts w:eastAsia="宋体"/>
          <w:lang w:val="en-US" w:eastAsia="en-US"/>
        </w:rPr>
      </w:pPr>
      <w:r w:rsidRPr="00690821">
        <w:rPr>
          <w:rFonts w:eastAsia="宋体"/>
          <w:lang w:val="en-US" w:eastAsia="en-US"/>
        </w:rPr>
        <w:t>Discussion</w:t>
      </w:r>
    </w:p>
    <w:p w14:paraId="3B529463" w14:textId="5BC1A60F" w:rsidR="00F54278" w:rsidRPr="00F54278" w:rsidRDefault="00F54278" w:rsidP="00F54278">
      <w:pPr>
        <w:pStyle w:val="Heading2"/>
        <w:spacing w:before="120"/>
        <w:rPr>
          <w:sz w:val="28"/>
          <w:szCs w:val="28"/>
        </w:rPr>
      </w:pPr>
      <w:r w:rsidRPr="00F54278">
        <w:rPr>
          <w:sz w:val="28"/>
          <w:szCs w:val="28"/>
        </w:rPr>
        <w:t>2.</w:t>
      </w:r>
      <w:r w:rsidR="00A60814">
        <w:rPr>
          <w:sz w:val="28"/>
          <w:szCs w:val="28"/>
        </w:rPr>
        <w:t>1</w:t>
      </w:r>
      <w:r w:rsidR="00A60814" w:rsidRPr="00F54278">
        <w:rPr>
          <w:sz w:val="28"/>
          <w:szCs w:val="28"/>
        </w:rPr>
        <w:t xml:space="preserve"> </w:t>
      </w:r>
      <w:r>
        <w:rPr>
          <w:sz w:val="28"/>
          <w:szCs w:val="28"/>
        </w:rPr>
        <w:t>MPDCCH</w:t>
      </w:r>
      <w:r w:rsidR="00A60814">
        <w:rPr>
          <w:sz w:val="28"/>
          <w:szCs w:val="28"/>
        </w:rPr>
        <w:t xml:space="preserve"> RE mapping</w:t>
      </w:r>
      <w:r>
        <w:rPr>
          <w:sz w:val="28"/>
          <w:szCs w:val="28"/>
        </w:rPr>
        <w:t xml:space="preserve"> in LTE control </w:t>
      </w:r>
      <w:r w:rsidRPr="00F54278">
        <w:rPr>
          <w:rFonts w:hint="eastAsia"/>
          <w:sz w:val="28"/>
          <w:szCs w:val="28"/>
        </w:rPr>
        <w:t>region</w:t>
      </w:r>
    </w:p>
    <w:p w14:paraId="45EDBE85" w14:textId="77777777" w:rsidR="0023338F" w:rsidRDefault="00D404F1" w:rsidP="000267C3">
      <w:pPr>
        <w:pStyle w:val="LGTdoc1"/>
        <w:spacing w:beforeLines="0" w:before="120" w:after="220" w:afterAutospacing="0"/>
        <w:rPr>
          <w:b w:val="0"/>
          <w:kern w:val="2"/>
          <w:sz w:val="22"/>
          <w:szCs w:val="22"/>
        </w:rPr>
      </w:pPr>
      <w:r>
        <w:rPr>
          <w:b w:val="0"/>
          <w:kern w:val="2"/>
          <w:sz w:val="22"/>
          <w:szCs w:val="22"/>
        </w:rPr>
        <w:t>According to the agreement</w:t>
      </w:r>
      <w:r w:rsidR="00FA2787">
        <w:rPr>
          <w:b w:val="0"/>
          <w:kern w:val="2"/>
          <w:sz w:val="22"/>
          <w:szCs w:val="22"/>
        </w:rPr>
        <w:t>s</w:t>
      </w:r>
      <w:r>
        <w:rPr>
          <w:b w:val="0"/>
          <w:kern w:val="2"/>
          <w:sz w:val="22"/>
          <w:szCs w:val="22"/>
        </w:rPr>
        <w:t xml:space="preserve"> in last meeting, a fixed mapping is used </w:t>
      </w:r>
      <w:r w:rsidR="00FA2787">
        <w:rPr>
          <w:b w:val="0"/>
          <w:kern w:val="2"/>
          <w:sz w:val="22"/>
          <w:szCs w:val="22"/>
        </w:rPr>
        <w:t>for</w:t>
      </w:r>
      <w:r>
        <w:rPr>
          <w:b w:val="0"/>
          <w:kern w:val="2"/>
          <w:sz w:val="22"/>
          <w:szCs w:val="22"/>
        </w:rPr>
        <w:t xml:space="preserve"> </w:t>
      </w:r>
      <w:r w:rsidR="00662586">
        <w:rPr>
          <w:b w:val="0"/>
          <w:kern w:val="2"/>
          <w:sz w:val="22"/>
          <w:szCs w:val="22"/>
        </w:rPr>
        <w:t xml:space="preserve">MPDCCH </w:t>
      </w:r>
      <w:r>
        <w:rPr>
          <w:b w:val="0"/>
          <w:kern w:val="2"/>
          <w:sz w:val="22"/>
          <w:szCs w:val="22"/>
        </w:rPr>
        <w:t>transmi</w:t>
      </w:r>
      <w:r w:rsidR="00FA2787">
        <w:rPr>
          <w:b w:val="0"/>
          <w:kern w:val="2"/>
          <w:sz w:val="22"/>
          <w:szCs w:val="22"/>
        </w:rPr>
        <w:t>ssion</w:t>
      </w:r>
      <w:r>
        <w:rPr>
          <w:b w:val="0"/>
          <w:kern w:val="2"/>
          <w:sz w:val="22"/>
          <w:szCs w:val="22"/>
        </w:rPr>
        <w:t xml:space="preserve"> </w:t>
      </w:r>
      <w:r w:rsidR="00662586">
        <w:rPr>
          <w:b w:val="0"/>
          <w:kern w:val="2"/>
          <w:sz w:val="22"/>
          <w:szCs w:val="22"/>
        </w:rPr>
        <w:t>in LTE control region</w:t>
      </w:r>
      <w:r w:rsidR="00FA2787">
        <w:rPr>
          <w:b w:val="0"/>
          <w:kern w:val="2"/>
          <w:sz w:val="22"/>
          <w:szCs w:val="22"/>
        </w:rPr>
        <w:t xml:space="preserve"> by copying the first </w:t>
      </w:r>
      <w:proofErr w:type="spellStart"/>
      <w:r w:rsidR="00FA2787" w:rsidRPr="00D404F1">
        <w:rPr>
          <w:b w:val="0"/>
          <w:i/>
          <w:kern w:val="2"/>
          <w:sz w:val="22"/>
          <w:szCs w:val="22"/>
        </w:rPr>
        <w:t>l</w:t>
      </w:r>
      <w:r w:rsidR="00FA2787" w:rsidRPr="00D404F1">
        <w:rPr>
          <w:b w:val="0"/>
          <w:i/>
          <w:kern w:val="2"/>
          <w:sz w:val="22"/>
          <w:szCs w:val="22"/>
          <w:vertAlign w:val="subscript"/>
        </w:rPr>
        <w:t>MPDCCHStart</w:t>
      </w:r>
      <w:proofErr w:type="spellEnd"/>
      <w:r w:rsidR="00FA2787" w:rsidRPr="00D404F1">
        <w:rPr>
          <w:b w:val="0"/>
          <w:kern w:val="2"/>
          <w:sz w:val="22"/>
          <w:szCs w:val="22"/>
        </w:rPr>
        <w:t xml:space="preserve"> symbols in the second slot</w:t>
      </w:r>
      <w:r w:rsidR="00FA2787">
        <w:rPr>
          <w:b w:val="0"/>
          <w:kern w:val="2"/>
          <w:sz w:val="22"/>
          <w:szCs w:val="22"/>
        </w:rPr>
        <w:t xml:space="preserve"> to the control region</w:t>
      </w:r>
      <w:r>
        <w:rPr>
          <w:b w:val="0"/>
          <w:kern w:val="2"/>
          <w:sz w:val="22"/>
          <w:szCs w:val="22"/>
        </w:rPr>
        <w:t xml:space="preserve">. However, </w:t>
      </w:r>
      <w:r w:rsidR="0023338F">
        <w:rPr>
          <w:b w:val="0"/>
          <w:kern w:val="2"/>
          <w:sz w:val="22"/>
          <w:szCs w:val="22"/>
        </w:rPr>
        <w:t>it is assumed that the second slot of the subframe is available for MPDCCH transmission. This is valid for normal DL subframe but not always true for TDD special subframe.</w:t>
      </w:r>
    </w:p>
    <w:p w14:paraId="46BD7CBF" w14:textId="4FEC305C" w:rsidR="0023338F" w:rsidRDefault="0023338F" w:rsidP="000267C3">
      <w:pPr>
        <w:pStyle w:val="LGTdoc1"/>
        <w:spacing w:beforeLines="0" w:before="120" w:after="220" w:afterAutospacing="0"/>
        <w:rPr>
          <w:b w:val="0"/>
          <w:kern w:val="2"/>
          <w:sz w:val="22"/>
          <w:szCs w:val="22"/>
        </w:rPr>
      </w:pPr>
      <w:r>
        <w:rPr>
          <w:b w:val="0"/>
          <w:kern w:val="2"/>
          <w:sz w:val="22"/>
          <w:szCs w:val="22"/>
        </w:rPr>
        <w:t xml:space="preserve">As </w:t>
      </w:r>
      <w:r w:rsidR="006B198B">
        <w:rPr>
          <w:b w:val="0"/>
          <w:kern w:val="2"/>
          <w:sz w:val="22"/>
          <w:szCs w:val="22"/>
        </w:rPr>
        <w:t>shown in table below,</w:t>
      </w:r>
      <w:r>
        <w:rPr>
          <w:b w:val="0"/>
          <w:kern w:val="2"/>
          <w:sz w:val="22"/>
          <w:szCs w:val="22"/>
        </w:rPr>
        <w:t xml:space="preserve"> there are total 11 different TDD special subframe configurations supported for LTE-MTC. A working assumption was made in last meeting that </w:t>
      </w:r>
      <w:r w:rsidR="00B41ED3">
        <w:rPr>
          <w:b w:val="0"/>
          <w:kern w:val="2"/>
          <w:sz w:val="22"/>
          <w:szCs w:val="22"/>
        </w:rPr>
        <w:t xml:space="preserve">the </w:t>
      </w:r>
      <w:r w:rsidR="00B41ED3" w:rsidRPr="0023338F">
        <w:rPr>
          <w:b w:val="0"/>
          <w:kern w:val="2"/>
          <w:sz w:val="22"/>
          <w:szCs w:val="22"/>
        </w:rPr>
        <w:t xml:space="preserve">special subframe usage </w:t>
      </w:r>
      <w:r w:rsidR="006B198B">
        <w:rPr>
          <w:b w:val="0"/>
          <w:kern w:val="2"/>
          <w:sz w:val="22"/>
          <w:szCs w:val="22"/>
        </w:rPr>
        <w:t>f</w:t>
      </w:r>
      <w:r w:rsidR="006B198B" w:rsidRPr="006B198B">
        <w:rPr>
          <w:b w:val="0"/>
          <w:kern w:val="2"/>
          <w:sz w:val="22"/>
          <w:szCs w:val="22"/>
        </w:rPr>
        <w:t>or MPDCCH/PDSCH transmission in LTE control region</w:t>
      </w:r>
      <w:r w:rsidR="006B198B">
        <w:rPr>
          <w:b w:val="0"/>
          <w:kern w:val="2"/>
          <w:sz w:val="22"/>
          <w:szCs w:val="22"/>
        </w:rPr>
        <w:t xml:space="preserve"> </w:t>
      </w:r>
      <w:r w:rsidRPr="0023338F">
        <w:rPr>
          <w:b w:val="0"/>
          <w:kern w:val="2"/>
          <w:sz w:val="22"/>
          <w:szCs w:val="22"/>
        </w:rPr>
        <w:t>is the same as Rel-13</w:t>
      </w:r>
      <w:r w:rsidR="006B198B">
        <w:rPr>
          <w:b w:val="0"/>
          <w:kern w:val="2"/>
          <w:sz w:val="22"/>
          <w:szCs w:val="22"/>
        </w:rPr>
        <w:t xml:space="preserve">. </w:t>
      </w:r>
      <w:r w:rsidR="00CF596F">
        <w:rPr>
          <w:b w:val="0"/>
          <w:kern w:val="2"/>
          <w:sz w:val="22"/>
          <w:szCs w:val="22"/>
        </w:rPr>
        <w:t xml:space="preserve">According to the current specification, if repetition is not configured for MPDCCH in CE mode A, MPDCCH monitoring is supported for all the TDD special subframe configurations except for configuration 0 and 5. </w:t>
      </w:r>
      <w:r w:rsidR="006B198B">
        <w:rPr>
          <w:b w:val="0"/>
          <w:kern w:val="2"/>
          <w:sz w:val="22"/>
          <w:szCs w:val="22"/>
        </w:rPr>
        <w:t xml:space="preserve">Therefore, </w:t>
      </w:r>
      <w:r w:rsidR="006B198B" w:rsidRPr="006B198B">
        <w:rPr>
          <w:b w:val="0"/>
          <w:kern w:val="2"/>
          <w:sz w:val="22"/>
          <w:szCs w:val="22"/>
        </w:rPr>
        <w:t>MPDCCH transmission in LTE control region</w:t>
      </w:r>
      <w:r w:rsidR="006B198B">
        <w:rPr>
          <w:b w:val="0"/>
          <w:kern w:val="2"/>
          <w:sz w:val="22"/>
          <w:szCs w:val="22"/>
        </w:rPr>
        <w:t xml:space="preserve"> shall be supported </w:t>
      </w:r>
      <w:r w:rsidR="00CF596F">
        <w:rPr>
          <w:b w:val="0"/>
          <w:kern w:val="2"/>
          <w:sz w:val="22"/>
          <w:szCs w:val="22"/>
        </w:rPr>
        <w:t xml:space="preserve">also </w:t>
      </w:r>
      <w:r w:rsidR="006B198B">
        <w:rPr>
          <w:b w:val="0"/>
          <w:kern w:val="2"/>
          <w:sz w:val="22"/>
          <w:szCs w:val="22"/>
        </w:rPr>
        <w:t xml:space="preserve">for all the TDD special subframe configurations </w:t>
      </w:r>
      <w:r w:rsidR="00CF596F">
        <w:rPr>
          <w:b w:val="0"/>
          <w:kern w:val="2"/>
          <w:sz w:val="22"/>
          <w:szCs w:val="22"/>
        </w:rPr>
        <w:t xml:space="preserve">other than </w:t>
      </w:r>
      <w:r w:rsidR="006B198B">
        <w:rPr>
          <w:b w:val="0"/>
          <w:kern w:val="2"/>
          <w:sz w:val="22"/>
          <w:szCs w:val="22"/>
        </w:rPr>
        <w:t xml:space="preserve">0 and 5. It is noted that for special subframe configuration 9 and 10 (i.e. ssp9 and ssp10) </w:t>
      </w:r>
      <w:r w:rsidR="00CF596F">
        <w:rPr>
          <w:b w:val="0"/>
          <w:kern w:val="2"/>
          <w:sz w:val="22"/>
          <w:szCs w:val="22"/>
        </w:rPr>
        <w:t xml:space="preserve">the length of </w:t>
      </w:r>
      <w:proofErr w:type="spellStart"/>
      <w:r w:rsidR="00CF596F">
        <w:rPr>
          <w:b w:val="0"/>
          <w:kern w:val="2"/>
          <w:sz w:val="22"/>
          <w:szCs w:val="22"/>
        </w:rPr>
        <w:t>DwPTS</w:t>
      </w:r>
      <w:proofErr w:type="spellEnd"/>
      <w:r w:rsidR="00CF596F">
        <w:rPr>
          <w:b w:val="0"/>
          <w:kern w:val="2"/>
          <w:sz w:val="22"/>
          <w:szCs w:val="22"/>
        </w:rPr>
        <w:t xml:space="preserve"> is only 6 symbols </w:t>
      </w:r>
      <w:r w:rsidR="006B198B">
        <w:rPr>
          <w:b w:val="0"/>
          <w:kern w:val="2"/>
          <w:sz w:val="22"/>
          <w:szCs w:val="22"/>
        </w:rPr>
        <w:t xml:space="preserve">and </w:t>
      </w:r>
      <w:r w:rsidR="00CF596F">
        <w:rPr>
          <w:b w:val="0"/>
          <w:kern w:val="2"/>
          <w:sz w:val="22"/>
          <w:szCs w:val="22"/>
        </w:rPr>
        <w:t>MPDCCH</w:t>
      </w:r>
      <w:r w:rsidR="006B198B">
        <w:rPr>
          <w:b w:val="0"/>
          <w:kern w:val="2"/>
          <w:sz w:val="22"/>
          <w:szCs w:val="22"/>
        </w:rPr>
        <w:t xml:space="preserve"> transmission is only allowed in the first slot of the subframe.</w:t>
      </w:r>
    </w:p>
    <w:p w14:paraId="00F0E299" w14:textId="544789E5" w:rsidR="0023338F" w:rsidRDefault="0023338F" w:rsidP="0023338F">
      <w:pPr>
        <w:pStyle w:val="TH"/>
      </w:pPr>
      <w:r>
        <w:lastRenderedPageBreak/>
        <w:t xml:space="preserve">Table 1: Configuration of special subframe (lengths of </w:t>
      </w:r>
      <w:proofErr w:type="spellStart"/>
      <w:r>
        <w:t>DwPTS</w:t>
      </w:r>
      <w:proofErr w:type="spellEnd"/>
      <w:r>
        <w:t>/GP/</w:t>
      </w:r>
      <w:proofErr w:type="spellStart"/>
      <w:r>
        <w:t>UpPTS</w:t>
      </w:r>
      <w:proofErr w:type="spellEnd"/>
      <w:r>
        <w:t>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29"/>
        <w:gridCol w:w="1024"/>
        <w:gridCol w:w="1588"/>
        <w:gridCol w:w="1588"/>
        <w:gridCol w:w="1024"/>
        <w:gridCol w:w="1588"/>
        <w:gridCol w:w="1588"/>
      </w:tblGrid>
      <w:tr w:rsidR="0023338F" w:rsidRPr="00942720" w14:paraId="6B9F1CCB" w14:textId="77777777" w:rsidTr="00903FF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31B151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r w:rsidRPr="00942720">
              <w:rPr>
                <w:sz w:val="16"/>
                <w:szCs w:val="16"/>
              </w:rPr>
              <w:t>Special subframe configuration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C50EF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r w:rsidRPr="00942720">
              <w:rPr>
                <w:sz w:val="16"/>
                <w:szCs w:val="16"/>
              </w:rPr>
              <w:t>Normal cyclic prefix in downlink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69C45D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r w:rsidRPr="00942720">
              <w:rPr>
                <w:sz w:val="16"/>
                <w:szCs w:val="16"/>
              </w:rPr>
              <w:t>Extended cyclic prefix in downlink</w:t>
            </w:r>
          </w:p>
        </w:tc>
      </w:tr>
      <w:tr w:rsidR="0023338F" w:rsidRPr="00942720" w14:paraId="2F85BBDD" w14:textId="77777777" w:rsidTr="00903F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207EFF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B4E22A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proofErr w:type="spellStart"/>
            <w:r w:rsidRPr="00942720">
              <w:rPr>
                <w:sz w:val="16"/>
                <w:szCs w:val="16"/>
              </w:rPr>
              <w:t>DwPTS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5543D2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proofErr w:type="spellStart"/>
            <w:r w:rsidRPr="00942720">
              <w:rPr>
                <w:sz w:val="16"/>
                <w:szCs w:val="16"/>
              </w:rPr>
              <w:t>UpPTS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178B9C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proofErr w:type="spellStart"/>
            <w:r w:rsidRPr="00942720">
              <w:rPr>
                <w:sz w:val="16"/>
                <w:szCs w:val="16"/>
              </w:rPr>
              <w:t>DwPTS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539B9D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proofErr w:type="spellStart"/>
            <w:r w:rsidRPr="00942720">
              <w:rPr>
                <w:sz w:val="16"/>
                <w:szCs w:val="16"/>
              </w:rPr>
              <w:t>UpPTS</w:t>
            </w:r>
            <w:proofErr w:type="spellEnd"/>
          </w:p>
        </w:tc>
      </w:tr>
      <w:tr w:rsidR="0023338F" w:rsidRPr="00942720" w14:paraId="6782ACDF" w14:textId="77777777" w:rsidTr="00903F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84E16E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C91220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C9354F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r w:rsidRPr="00942720">
              <w:rPr>
                <w:sz w:val="16"/>
                <w:szCs w:val="16"/>
              </w:rPr>
              <w:t>Normal cyclic prefix</w:t>
            </w:r>
            <w:r w:rsidRPr="00942720">
              <w:rPr>
                <w:sz w:val="16"/>
                <w:szCs w:val="16"/>
              </w:rPr>
              <w:br/>
              <w:t xml:space="preserve"> in</w:t>
            </w:r>
            <w:r>
              <w:rPr>
                <w:sz w:val="16"/>
                <w:szCs w:val="16"/>
              </w:rPr>
              <w:t xml:space="preserve"> </w:t>
            </w:r>
            <w:r w:rsidRPr="00942720">
              <w:rPr>
                <w:sz w:val="16"/>
                <w:szCs w:val="16"/>
              </w:rPr>
              <w:t>uplink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0EEFD1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r w:rsidRPr="00942720">
              <w:rPr>
                <w:sz w:val="16"/>
                <w:szCs w:val="16"/>
              </w:rPr>
              <w:t xml:space="preserve">Extended cyclic prefix </w:t>
            </w:r>
            <w:r w:rsidRPr="00942720">
              <w:rPr>
                <w:sz w:val="16"/>
                <w:szCs w:val="16"/>
              </w:rPr>
              <w:br/>
              <w:t>in uplink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EFC8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8590BF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r w:rsidRPr="00942720">
              <w:rPr>
                <w:sz w:val="16"/>
                <w:szCs w:val="16"/>
              </w:rPr>
              <w:t>Normal cyclic prefix in uplink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0E8EA2" w14:textId="77777777" w:rsidR="0023338F" w:rsidRPr="00942720" w:rsidRDefault="0023338F" w:rsidP="00903FF3">
            <w:pPr>
              <w:pStyle w:val="TAH"/>
              <w:rPr>
                <w:sz w:val="16"/>
                <w:szCs w:val="16"/>
              </w:rPr>
            </w:pPr>
            <w:r w:rsidRPr="00942720">
              <w:rPr>
                <w:sz w:val="16"/>
                <w:szCs w:val="16"/>
              </w:rPr>
              <w:t>Extended cyclic prefix in uplink</w:t>
            </w:r>
          </w:p>
        </w:tc>
      </w:tr>
      <w:tr w:rsidR="0023338F" w14:paraId="53054198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E6EB" w14:textId="77777777" w:rsidR="0023338F" w:rsidRPr="00FA462F" w:rsidRDefault="0023338F" w:rsidP="00903FF3">
            <w:pPr>
              <w:pStyle w:val="TAC"/>
            </w:pPr>
            <w:r w:rsidRPr="00FA462F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7B2B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720" w:dyaOrig="300" w14:anchorId="6E677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5.05pt" o:ole="">
                  <v:imagedata r:id="rId8" o:title=""/>
                </v:shape>
                <o:OLEObject Type="Embed" ProgID="Equation.3" ShapeID="_x0000_i1025" DrawAspect="Content" ObjectID="_1627474754" r:id="rId9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0A7F" w14:textId="77777777" w:rsidR="0023338F" w:rsidRDefault="0023338F" w:rsidP="00903FF3">
            <w:pPr>
              <w:pStyle w:val="TAC"/>
            </w:pPr>
            <w:r w:rsidRPr="008F3BE9">
              <w:rPr>
                <w:position w:val="-12"/>
              </w:rPr>
              <w:object w:dxaOrig="1359" w:dyaOrig="340" w14:anchorId="12F9248F">
                <v:shape id="_x0000_i1026" type="#_x0000_t75" style="width:67.65pt;height:17.8pt" o:ole="">
                  <v:imagedata r:id="rId10" o:title=""/>
                </v:shape>
                <o:OLEObject Type="Embed" ProgID="Equation.DSMT4" ShapeID="_x0000_i1026" DrawAspect="Content" ObjectID="_1627474755" r:id="rId11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6F1" w14:textId="77777777" w:rsidR="0023338F" w:rsidRDefault="0023338F" w:rsidP="00903FF3">
            <w:pPr>
              <w:pStyle w:val="TAC"/>
            </w:pPr>
            <w:r w:rsidRPr="008F3BE9">
              <w:rPr>
                <w:position w:val="-12"/>
              </w:rPr>
              <w:object w:dxaOrig="1359" w:dyaOrig="340" w14:anchorId="7AFC33A0">
                <v:shape id="_x0000_i1027" type="#_x0000_t75" style="width:67.65pt;height:17.8pt" o:ole="">
                  <v:imagedata r:id="rId12" o:title=""/>
                </v:shape>
                <o:OLEObject Type="Embed" ProgID="Equation.DSMT4" ShapeID="_x0000_i1027" DrawAspect="Content" ObjectID="_1627474756" r:id="rId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B5FF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720" w:dyaOrig="300" w14:anchorId="38556B60">
                <v:shape id="_x0000_i1028" type="#_x0000_t75" style="width:36pt;height:15.05pt" o:ole="">
                  <v:imagedata r:id="rId14" o:title=""/>
                </v:shape>
                <o:OLEObject Type="Embed" ProgID="Equation.3" ShapeID="_x0000_i1028" DrawAspect="Content" ObjectID="_1627474757" r:id="rId15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C530" w14:textId="77777777" w:rsidR="0023338F" w:rsidRDefault="0023338F" w:rsidP="00903FF3">
            <w:pPr>
              <w:pStyle w:val="TAC"/>
            </w:pPr>
            <w:r w:rsidRPr="008F3BE9">
              <w:rPr>
                <w:position w:val="-12"/>
              </w:rPr>
              <w:object w:dxaOrig="1359" w:dyaOrig="340" w14:anchorId="40050B3B">
                <v:shape id="_x0000_i1029" type="#_x0000_t75" style="width:67.65pt;height:17.8pt" o:ole="">
                  <v:imagedata r:id="rId16" o:title=""/>
                </v:shape>
                <o:OLEObject Type="Embed" ProgID="Equation.DSMT4" ShapeID="_x0000_i1029" DrawAspect="Content" ObjectID="_1627474758" r:id="rId17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9C33" w14:textId="77777777" w:rsidR="0023338F" w:rsidRDefault="0023338F" w:rsidP="00903FF3">
            <w:pPr>
              <w:pStyle w:val="TAC"/>
            </w:pPr>
            <w:r w:rsidRPr="008F3BE9">
              <w:rPr>
                <w:position w:val="-12"/>
              </w:rPr>
              <w:object w:dxaOrig="1359" w:dyaOrig="340" w14:anchorId="1C8CA99B">
                <v:shape id="_x0000_i1030" type="#_x0000_t75" style="width:67.65pt;height:17.8pt" o:ole="">
                  <v:imagedata r:id="rId18" o:title=""/>
                </v:shape>
                <o:OLEObject Type="Embed" ProgID="Equation.DSMT4" ShapeID="_x0000_i1030" DrawAspect="Content" ObjectID="_1627474759" r:id="rId19"/>
              </w:object>
            </w:r>
          </w:p>
        </w:tc>
      </w:tr>
      <w:tr w:rsidR="0023338F" w14:paraId="6845ABCA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41CF" w14:textId="77777777" w:rsidR="0023338F" w:rsidRPr="00FA462F" w:rsidRDefault="0023338F" w:rsidP="00903FF3">
            <w:pPr>
              <w:pStyle w:val="TAC"/>
            </w:pPr>
            <w:r w:rsidRPr="00FA462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50A7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00" w:dyaOrig="300" w14:anchorId="5B536A9C">
                <v:shape id="_x0000_i1031" type="#_x0000_t75" style="width:39.15pt;height:15.05pt" o:ole="">
                  <v:imagedata r:id="rId20" o:title=""/>
                </v:shape>
                <o:OLEObject Type="Embed" ProgID="Equation.3" ShapeID="_x0000_i1031" DrawAspect="Content" ObjectID="_1627474760" r:id="rId21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082F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D408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1264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20" w:dyaOrig="300" w14:anchorId="2A2DD191">
                <v:shape id="_x0000_i1032" type="#_x0000_t75" style="width:40.75pt;height:15.05pt" o:ole="">
                  <v:imagedata r:id="rId22" o:title=""/>
                </v:shape>
                <o:OLEObject Type="Embed" ProgID="Equation.3" ShapeID="_x0000_i1032" DrawAspect="Content" ObjectID="_1627474761" r:id="rId23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7E37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CF6F" w14:textId="77777777" w:rsidR="0023338F" w:rsidRDefault="0023338F" w:rsidP="00903FF3">
            <w:pPr>
              <w:pStyle w:val="TAC"/>
            </w:pPr>
          </w:p>
        </w:tc>
      </w:tr>
      <w:tr w:rsidR="0023338F" w14:paraId="00EEF8F1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55C0" w14:textId="77777777" w:rsidR="0023338F" w:rsidRPr="00FA462F" w:rsidRDefault="0023338F" w:rsidP="00903FF3">
            <w:pPr>
              <w:pStyle w:val="TAC"/>
            </w:pPr>
            <w:r w:rsidRPr="00FA462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79C5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20" w:dyaOrig="300" w14:anchorId="3ACD7AEC">
                <v:shape id="_x0000_i1033" type="#_x0000_t75" style="width:40.75pt;height:15.05pt" o:ole="">
                  <v:imagedata r:id="rId24" o:title=""/>
                </v:shape>
                <o:OLEObject Type="Embed" ProgID="Equation.3" ShapeID="_x0000_i1033" DrawAspect="Content" ObjectID="_1627474762" r:id="rId25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5E4D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5A63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341A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20" w:dyaOrig="300" w14:anchorId="77F18201">
                <v:shape id="_x0000_i1034" type="#_x0000_t75" style="width:40.75pt;height:15.05pt" o:ole="">
                  <v:imagedata r:id="rId26" o:title=""/>
                </v:shape>
                <o:OLEObject Type="Embed" ProgID="Equation.3" ShapeID="_x0000_i1034" DrawAspect="Content" ObjectID="_1627474763" r:id="rId27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7C65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1C51" w14:textId="77777777" w:rsidR="0023338F" w:rsidRDefault="0023338F" w:rsidP="00903FF3">
            <w:pPr>
              <w:pStyle w:val="TAC"/>
            </w:pPr>
          </w:p>
        </w:tc>
      </w:tr>
      <w:tr w:rsidR="0023338F" w14:paraId="0F5E5C30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DACA" w14:textId="77777777" w:rsidR="0023338F" w:rsidRPr="00FA462F" w:rsidRDefault="0023338F" w:rsidP="00903FF3">
            <w:pPr>
              <w:pStyle w:val="TAC"/>
            </w:pPr>
            <w:r w:rsidRPr="00FA462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5BC9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20" w:dyaOrig="300" w14:anchorId="07154B24">
                <v:shape id="_x0000_i1035" type="#_x0000_t75" style="width:40.75pt;height:15.05pt" o:ole="">
                  <v:imagedata r:id="rId28" o:title=""/>
                </v:shape>
                <o:OLEObject Type="Embed" ProgID="Equation.3" ShapeID="_x0000_i1035" DrawAspect="Content" ObjectID="_1627474764" r:id="rId29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22B0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664C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3978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20" w:dyaOrig="300" w14:anchorId="56F05169">
                <v:shape id="_x0000_i1036" type="#_x0000_t75" style="width:40.75pt;height:15.05pt" o:ole="">
                  <v:imagedata r:id="rId30" o:title=""/>
                </v:shape>
                <o:OLEObject Type="Embed" ProgID="Equation.3" ShapeID="_x0000_i1036" DrawAspect="Content" ObjectID="_1627474765" r:id="rId31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6B7E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6B69" w14:textId="77777777" w:rsidR="0023338F" w:rsidRDefault="0023338F" w:rsidP="00903FF3">
            <w:pPr>
              <w:pStyle w:val="TAC"/>
            </w:pPr>
          </w:p>
        </w:tc>
      </w:tr>
      <w:tr w:rsidR="0023338F" w14:paraId="7AA5D7D3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4407" w14:textId="77777777" w:rsidR="0023338F" w:rsidRPr="00FA462F" w:rsidRDefault="0023338F" w:rsidP="00903FF3">
            <w:pPr>
              <w:pStyle w:val="TAC"/>
            </w:pPr>
            <w:r w:rsidRPr="00FA462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88ED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20" w:dyaOrig="300" w14:anchorId="5C6FFEDC">
                <v:shape id="_x0000_i1037" type="#_x0000_t75" style="width:40.75pt;height:15.05pt" o:ole="">
                  <v:imagedata r:id="rId32" o:title=""/>
                </v:shape>
                <o:OLEObject Type="Embed" ProgID="Equation.3" ShapeID="_x0000_i1037" DrawAspect="Content" ObjectID="_1627474766" r:id="rId33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B168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BD4B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D045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720" w:dyaOrig="300" w14:anchorId="4F913655">
                <v:shape id="_x0000_i1038" type="#_x0000_t75" style="width:36pt;height:15.05pt" o:ole="">
                  <v:imagedata r:id="rId34" o:title=""/>
                </v:shape>
                <o:OLEObject Type="Embed" ProgID="Equation.3" ShapeID="_x0000_i1038" DrawAspect="Content" ObjectID="_1627474767" r:id="rId35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0C1BA" w14:textId="77777777" w:rsidR="0023338F" w:rsidRDefault="0023338F" w:rsidP="00903FF3">
            <w:pPr>
              <w:pStyle w:val="TAC"/>
              <w:rPr>
                <w:lang w:eastAsia="zh-CN"/>
              </w:rPr>
            </w:pPr>
            <w:r w:rsidRPr="008F3BE9">
              <w:rPr>
                <w:position w:val="-12"/>
              </w:rPr>
              <w:object w:dxaOrig="1400" w:dyaOrig="340" w14:anchorId="10DE30C0">
                <v:shape id="_x0000_i1039" type="#_x0000_t75" style="width:69.25pt;height:17.8pt" o:ole="">
                  <v:imagedata r:id="rId36" o:title=""/>
                </v:shape>
                <o:OLEObject Type="Embed" ProgID="Equation.DSMT4" ShapeID="_x0000_i1039" DrawAspect="Content" ObjectID="_1627474768" r:id="rId37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4F489" w14:textId="77777777" w:rsidR="0023338F" w:rsidRDefault="0023338F" w:rsidP="00903FF3">
            <w:pPr>
              <w:pStyle w:val="TAC"/>
            </w:pPr>
            <w:r w:rsidRPr="008F3BE9">
              <w:rPr>
                <w:position w:val="-12"/>
              </w:rPr>
              <w:object w:dxaOrig="1400" w:dyaOrig="340" w14:anchorId="3700EF5F">
                <v:shape id="_x0000_i1040" type="#_x0000_t75" style="width:69.25pt;height:17.8pt" o:ole="">
                  <v:imagedata r:id="rId38" o:title=""/>
                </v:shape>
                <o:OLEObject Type="Embed" ProgID="Equation.DSMT4" ShapeID="_x0000_i1040" DrawAspect="Content" ObjectID="_1627474769" r:id="rId39"/>
              </w:object>
            </w:r>
          </w:p>
        </w:tc>
      </w:tr>
      <w:tr w:rsidR="0023338F" w:rsidRPr="00E653F9" w14:paraId="069A8019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B25D" w14:textId="77777777" w:rsidR="0023338F" w:rsidRPr="00FA462F" w:rsidRDefault="0023338F" w:rsidP="00903FF3">
            <w:pPr>
              <w:pStyle w:val="TAC"/>
            </w:pPr>
            <w:r w:rsidRPr="00FA462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53D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720" w:dyaOrig="300" w14:anchorId="39EBDD23">
                <v:shape id="_x0000_i1041" type="#_x0000_t75" style="width:36pt;height:15.05pt" o:ole="">
                  <v:imagedata r:id="rId40" o:title=""/>
                </v:shape>
                <o:OLEObject Type="Embed" ProgID="Equation.3" ShapeID="_x0000_i1041" DrawAspect="Content" ObjectID="_1627474770" r:id="rId41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0ABA2" w14:textId="77777777" w:rsidR="0023338F" w:rsidRDefault="0023338F" w:rsidP="00903FF3">
            <w:pPr>
              <w:pStyle w:val="TAC"/>
            </w:pPr>
            <w:r w:rsidRPr="008F3BE9">
              <w:rPr>
                <w:position w:val="-12"/>
              </w:rPr>
              <w:object w:dxaOrig="1400" w:dyaOrig="340" w14:anchorId="288F6873">
                <v:shape id="_x0000_i1042" type="#_x0000_t75" style="width:69.25pt;height:17.8pt" o:ole="">
                  <v:imagedata r:id="rId42" o:title=""/>
                </v:shape>
                <o:OLEObject Type="Embed" ProgID="Equation.DSMT4" ShapeID="_x0000_i1042" DrawAspect="Content" ObjectID="_1627474771" r:id="rId43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50A7E" w14:textId="77777777" w:rsidR="0023338F" w:rsidRDefault="0023338F" w:rsidP="00903FF3">
            <w:pPr>
              <w:pStyle w:val="TAC"/>
            </w:pPr>
            <w:r w:rsidRPr="008F3BE9">
              <w:rPr>
                <w:position w:val="-12"/>
              </w:rPr>
              <w:object w:dxaOrig="1400" w:dyaOrig="340" w14:anchorId="20A6CA5D">
                <v:shape id="_x0000_i1043" type="#_x0000_t75" style="width:69.25pt;height:17.8pt" o:ole="">
                  <v:imagedata r:id="rId44" o:title=""/>
                </v:shape>
                <o:OLEObject Type="Embed" ProgID="Equation.DSMT4" ShapeID="_x0000_i1043" DrawAspect="Content" ObjectID="_1627474772" r:id="rId4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56CB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20" w:dyaOrig="300" w14:anchorId="39AE094F">
                <v:shape id="_x0000_i1044" type="#_x0000_t75" style="width:40.75pt;height:15.05pt" o:ole="">
                  <v:imagedata r:id="rId46" o:title=""/>
                </v:shape>
                <o:OLEObject Type="Embed" ProgID="Equation.3" ShapeID="_x0000_i1044" DrawAspect="Content" ObjectID="_1627474773" r:id="rId47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E9BDE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3957" w14:textId="77777777" w:rsidR="0023338F" w:rsidRDefault="0023338F" w:rsidP="00903FF3">
            <w:pPr>
              <w:pStyle w:val="TAC"/>
            </w:pPr>
          </w:p>
        </w:tc>
      </w:tr>
      <w:tr w:rsidR="0023338F" w:rsidRPr="00E653F9" w14:paraId="659717D3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E91D" w14:textId="77777777" w:rsidR="0023338F" w:rsidRPr="00FA462F" w:rsidRDefault="0023338F" w:rsidP="00903FF3">
            <w:pPr>
              <w:pStyle w:val="TAC"/>
            </w:pPr>
            <w:r w:rsidRPr="00FA462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F9EB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00" w:dyaOrig="300" w14:anchorId="64A7E607">
                <v:shape id="_x0000_i1045" type="#_x0000_t75" style="width:39.15pt;height:15.05pt" o:ole="">
                  <v:imagedata r:id="rId48" o:title=""/>
                </v:shape>
                <o:OLEObject Type="Embed" ProgID="Equation.3" ShapeID="_x0000_i1045" DrawAspect="Content" ObjectID="_1627474774" r:id="rId49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F73EE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F36D8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DDF4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20" w:dyaOrig="300" w14:anchorId="18307B94">
                <v:shape id="_x0000_i1046" type="#_x0000_t75" style="width:40.75pt;height:15.05pt" o:ole="">
                  <v:imagedata r:id="rId26" o:title=""/>
                </v:shape>
                <o:OLEObject Type="Embed" ProgID="Equation.3" ShapeID="_x0000_i1046" DrawAspect="Content" ObjectID="_1627474775" r:id="rId50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A992E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54C0" w14:textId="77777777" w:rsidR="0023338F" w:rsidRDefault="0023338F" w:rsidP="00903FF3">
            <w:pPr>
              <w:pStyle w:val="TAC"/>
            </w:pPr>
          </w:p>
        </w:tc>
      </w:tr>
      <w:tr w:rsidR="0023338F" w:rsidRPr="00E653F9" w14:paraId="0FA5A022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DDD4" w14:textId="77777777" w:rsidR="0023338F" w:rsidRPr="00FA462F" w:rsidRDefault="0023338F" w:rsidP="00903FF3">
            <w:pPr>
              <w:pStyle w:val="TAC"/>
            </w:pPr>
            <w:r w:rsidRPr="00FA462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089A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20" w:dyaOrig="300" w14:anchorId="170198DC">
                <v:shape id="_x0000_i1047" type="#_x0000_t75" style="width:40.75pt;height:15.05pt" o:ole="">
                  <v:imagedata r:id="rId51" o:title=""/>
                </v:shape>
                <o:OLEObject Type="Embed" ProgID="Equation.3" ShapeID="_x0000_i1047" DrawAspect="Content" ObjectID="_1627474776" r:id="rId52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6B5B7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6090B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C37D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780" w:dyaOrig="300" w14:anchorId="3351FD53">
                <v:shape id="_x0000_i1048" type="#_x0000_t75" style="width:39.15pt;height:15.05pt" o:ole="">
                  <v:imagedata r:id="rId53" o:title=""/>
                </v:shape>
                <o:OLEObject Type="Embed" ProgID="Equation.DSMT4" ShapeID="_x0000_i1048" DrawAspect="Content" ObjectID="_1627474777" r:id="rId54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9BE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A4DE" w14:textId="77777777" w:rsidR="0023338F" w:rsidRDefault="0023338F" w:rsidP="00903FF3">
            <w:pPr>
              <w:pStyle w:val="TAC"/>
            </w:pPr>
          </w:p>
        </w:tc>
      </w:tr>
      <w:tr w:rsidR="0023338F" w:rsidRPr="00E653F9" w14:paraId="61ACFA75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F6C4" w14:textId="77777777" w:rsidR="0023338F" w:rsidRPr="00FA462F" w:rsidRDefault="0023338F" w:rsidP="00903FF3">
            <w:pPr>
              <w:pStyle w:val="TAC"/>
            </w:pPr>
            <w:r w:rsidRPr="00FA462F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A2CF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820" w:dyaOrig="300" w14:anchorId="6B7024FA">
                <v:shape id="_x0000_i1049" type="#_x0000_t75" style="width:40.75pt;height:15.05pt" o:ole="">
                  <v:imagedata r:id="rId28" o:title=""/>
                </v:shape>
                <o:OLEObject Type="Embed" ProgID="Equation.3" ShapeID="_x0000_i1049" DrawAspect="Content" ObjectID="_1627474778" r:id="rId55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99E5D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D3457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F6A6" w14:textId="77777777" w:rsidR="0023338F" w:rsidRDefault="0023338F" w:rsidP="00903FF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20AF" w14:textId="77777777" w:rsidR="0023338F" w:rsidRDefault="0023338F" w:rsidP="00903FF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65F" w14:textId="77777777" w:rsidR="0023338F" w:rsidRDefault="0023338F" w:rsidP="00903FF3">
            <w:pPr>
              <w:pStyle w:val="TAC"/>
            </w:pPr>
            <w:r>
              <w:t>-</w:t>
            </w:r>
          </w:p>
        </w:tc>
      </w:tr>
      <w:tr w:rsidR="0023338F" w:rsidRPr="00E653F9" w14:paraId="30E9F3B7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5370" w14:textId="77777777" w:rsidR="0023338F" w:rsidRPr="00FA462F" w:rsidRDefault="0023338F" w:rsidP="00903F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FF8" w14:textId="77777777" w:rsidR="0023338F" w:rsidRDefault="0023338F" w:rsidP="00903FF3">
            <w:pPr>
              <w:pStyle w:val="TAC"/>
            </w:pPr>
            <w:r w:rsidRPr="00E653F9">
              <w:rPr>
                <w:position w:val="-10"/>
              </w:rPr>
              <w:object w:dxaOrig="760" w:dyaOrig="300" w14:anchorId="48478421">
                <v:shape id="_x0000_i1050" type="#_x0000_t75" style="width:38.75pt;height:15.05pt" o:ole="">
                  <v:imagedata r:id="rId56" o:title=""/>
                </v:shape>
                <o:OLEObject Type="Embed" ProgID="Equation.DSMT4" ShapeID="_x0000_i1050" DrawAspect="Content" ObjectID="_1627474779" r:id="rId57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4699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578" w14:textId="77777777" w:rsidR="0023338F" w:rsidRDefault="0023338F" w:rsidP="00903FF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94AD" w14:textId="77777777" w:rsidR="0023338F" w:rsidRDefault="0023338F" w:rsidP="00903FF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80A5" w14:textId="77777777" w:rsidR="0023338F" w:rsidRDefault="0023338F" w:rsidP="00903FF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24F1" w14:textId="77777777" w:rsidR="0023338F" w:rsidRDefault="0023338F" w:rsidP="00903FF3">
            <w:pPr>
              <w:pStyle w:val="TAC"/>
            </w:pPr>
            <w:r>
              <w:t>-</w:t>
            </w:r>
          </w:p>
        </w:tc>
      </w:tr>
      <w:tr w:rsidR="0023338F" w:rsidRPr="00E653F9" w14:paraId="29F0A634" w14:textId="77777777" w:rsidTr="00903F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75DF" w14:textId="77777777" w:rsidR="0023338F" w:rsidRDefault="0023338F" w:rsidP="00903F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9CF0" w14:textId="77777777" w:rsidR="0023338F" w:rsidRDefault="0023338F" w:rsidP="00903FF3">
            <w:pPr>
              <w:pStyle w:val="TAC"/>
            </w:pPr>
            <w:r>
              <w:rPr>
                <w:position w:val="-10"/>
              </w:rPr>
              <w:object w:dxaOrig="765" w:dyaOrig="300" w14:anchorId="7AA4C2D2">
                <v:shape id="_x0000_i1051" type="#_x0000_t75" style="width:38.75pt;height:15.05pt" o:ole="">
                  <v:imagedata r:id="rId56" o:title=""/>
                </v:shape>
                <o:OLEObject Type="Embed" ProgID="Equation.DSMT4" ShapeID="_x0000_i1051" DrawAspect="Content" ObjectID="_1627474780" r:id="rId5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947B" w14:textId="77777777" w:rsidR="0023338F" w:rsidRDefault="0023338F" w:rsidP="00903FF3">
            <w:pPr>
              <w:pStyle w:val="TAC"/>
            </w:pPr>
            <w:r>
              <w:rPr>
                <w:position w:val="-10"/>
              </w:rPr>
              <w:object w:dxaOrig="825" w:dyaOrig="300" w14:anchorId="1DD2F484">
                <v:shape id="_x0000_i1052" type="#_x0000_t75" style="width:40.75pt;height:15.05pt" o:ole="">
                  <v:imagedata r:id="rId59" o:title=""/>
                </v:shape>
                <o:OLEObject Type="Embed" ProgID="Equation.3" ShapeID="_x0000_i1052" DrawAspect="Content" ObjectID="_1627474781" r:id="rId6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FEBD" w14:textId="77777777" w:rsidR="0023338F" w:rsidRDefault="0023338F" w:rsidP="00903FF3">
            <w:pPr>
              <w:pStyle w:val="TAC"/>
            </w:pPr>
            <w:r>
              <w:rPr>
                <w:position w:val="-10"/>
              </w:rPr>
              <w:object w:dxaOrig="825" w:dyaOrig="300" w14:anchorId="40FB3A1B">
                <v:shape id="_x0000_i1053" type="#_x0000_t75" style="width:40.75pt;height:15.05pt" o:ole="">
                  <v:imagedata r:id="rId61" o:title=""/>
                </v:shape>
                <o:OLEObject Type="Embed" ProgID="Equation.3" ShapeID="_x0000_i1053" DrawAspect="Content" ObjectID="_1627474782" r:id="rId6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5A26" w14:textId="77777777" w:rsidR="0023338F" w:rsidRDefault="0023338F" w:rsidP="00903FF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3434" w14:textId="77777777" w:rsidR="0023338F" w:rsidRDefault="0023338F" w:rsidP="00903FF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84E9" w14:textId="77777777" w:rsidR="0023338F" w:rsidRDefault="0023338F" w:rsidP="00903FF3">
            <w:pPr>
              <w:pStyle w:val="TAC"/>
            </w:pPr>
            <w:r>
              <w:t>-</w:t>
            </w:r>
          </w:p>
        </w:tc>
      </w:tr>
    </w:tbl>
    <w:p w14:paraId="1E661657" w14:textId="22EAD133" w:rsidR="00D404F1" w:rsidRDefault="00FA2787" w:rsidP="00335E30">
      <w:pPr>
        <w:pStyle w:val="LGTdoc1"/>
        <w:spacing w:beforeLines="0" w:before="120" w:after="0" w:afterAutospacing="0"/>
        <w:rPr>
          <w:b w:val="0"/>
          <w:kern w:val="2"/>
          <w:sz w:val="22"/>
          <w:szCs w:val="22"/>
        </w:rPr>
      </w:pPr>
      <w:r>
        <w:rPr>
          <w:b w:val="0"/>
          <w:kern w:val="2"/>
          <w:sz w:val="22"/>
          <w:szCs w:val="22"/>
        </w:rPr>
        <w:t xml:space="preserve"> </w:t>
      </w:r>
    </w:p>
    <w:p w14:paraId="256847ED" w14:textId="0B0A4E78" w:rsidR="006B198B" w:rsidRDefault="00335E30" w:rsidP="000267C3">
      <w:pPr>
        <w:pStyle w:val="LGTdoc1"/>
        <w:spacing w:beforeLines="0" w:before="120" w:after="220" w:afterAutospacing="0"/>
        <w:rPr>
          <w:b w:val="0"/>
          <w:kern w:val="2"/>
          <w:sz w:val="22"/>
          <w:szCs w:val="22"/>
        </w:rPr>
      </w:pPr>
      <w:r>
        <w:rPr>
          <w:b w:val="0"/>
          <w:kern w:val="2"/>
          <w:sz w:val="22"/>
          <w:szCs w:val="22"/>
        </w:rPr>
        <w:t>As discussed in [2], the fixed mapping can still be used for TDD special subframe configurations other than 9 and</w:t>
      </w:r>
      <w:r w:rsidR="00CF596F">
        <w:rPr>
          <w:b w:val="0"/>
          <w:kern w:val="2"/>
          <w:sz w:val="22"/>
          <w:szCs w:val="22"/>
        </w:rPr>
        <w:t xml:space="preserve"> 10 for which </w:t>
      </w:r>
      <w:r>
        <w:rPr>
          <w:b w:val="0"/>
          <w:kern w:val="2"/>
          <w:sz w:val="22"/>
          <w:szCs w:val="22"/>
        </w:rPr>
        <w:t xml:space="preserve">a different approach shall be used </w:t>
      </w:r>
      <w:r w:rsidR="00CF596F">
        <w:rPr>
          <w:b w:val="0"/>
          <w:kern w:val="2"/>
          <w:sz w:val="22"/>
          <w:szCs w:val="22"/>
        </w:rPr>
        <w:t xml:space="preserve">due to no MPDCCH transmission </w:t>
      </w:r>
      <w:r>
        <w:rPr>
          <w:b w:val="0"/>
          <w:kern w:val="2"/>
          <w:sz w:val="22"/>
          <w:szCs w:val="22"/>
        </w:rPr>
        <w:t xml:space="preserve">in the second slot. </w:t>
      </w:r>
      <w:r w:rsidR="00E061CB">
        <w:rPr>
          <w:b w:val="0"/>
          <w:kern w:val="2"/>
          <w:sz w:val="22"/>
          <w:szCs w:val="22"/>
        </w:rPr>
        <w:t>It was proposed in [2]</w:t>
      </w:r>
      <w:r>
        <w:rPr>
          <w:b w:val="0"/>
          <w:kern w:val="2"/>
          <w:sz w:val="22"/>
          <w:szCs w:val="22"/>
        </w:rPr>
        <w:t xml:space="preserve"> to copy the last </w:t>
      </w:r>
      <w:proofErr w:type="spellStart"/>
      <w:r w:rsidRPr="00D404F1">
        <w:rPr>
          <w:b w:val="0"/>
          <w:i/>
          <w:kern w:val="2"/>
          <w:sz w:val="22"/>
          <w:szCs w:val="22"/>
        </w:rPr>
        <w:t>l</w:t>
      </w:r>
      <w:r w:rsidRPr="00D404F1">
        <w:rPr>
          <w:b w:val="0"/>
          <w:i/>
          <w:kern w:val="2"/>
          <w:sz w:val="22"/>
          <w:szCs w:val="22"/>
          <w:vertAlign w:val="subscript"/>
        </w:rPr>
        <w:t>MPDCCHStart</w:t>
      </w:r>
      <w:proofErr w:type="spellEnd"/>
      <w:r w:rsidRPr="00D404F1">
        <w:rPr>
          <w:b w:val="0"/>
          <w:kern w:val="2"/>
          <w:sz w:val="22"/>
          <w:szCs w:val="22"/>
        </w:rPr>
        <w:t xml:space="preserve"> symbols</w:t>
      </w:r>
      <w:r>
        <w:rPr>
          <w:b w:val="0"/>
          <w:kern w:val="2"/>
          <w:sz w:val="22"/>
          <w:szCs w:val="22"/>
        </w:rPr>
        <w:t xml:space="preserve"> of MPDCCH transmission </w:t>
      </w:r>
      <w:r w:rsidR="00E061CB">
        <w:rPr>
          <w:b w:val="0"/>
          <w:kern w:val="2"/>
          <w:sz w:val="22"/>
          <w:szCs w:val="22"/>
        </w:rPr>
        <w:t xml:space="preserve">region </w:t>
      </w:r>
      <w:r>
        <w:rPr>
          <w:b w:val="0"/>
          <w:kern w:val="2"/>
          <w:sz w:val="22"/>
          <w:szCs w:val="22"/>
        </w:rPr>
        <w:t xml:space="preserve">to the LTE control region as shown below. </w:t>
      </w:r>
    </w:p>
    <w:p w14:paraId="25ED9703" w14:textId="6F8594EE" w:rsidR="00335E30" w:rsidRDefault="00335E30" w:rsidP="00335E30">
      <w:pPr>
        <w:pStyle w:val="LGTdoc1"/>
        <w:spacing w:beforeLines="0" w:before="120" w:after="0" w:afterAutospacing="0"/>
        <w:jc w:val="center"/>
        <w:rPr>
          <w:b w:val="0"/>
          <w:kern w:val="2"/>
          <w:sz w:val="22"/>
          <w:szCs w:val="22"/>
        </w:rPr>
      </w:pPr>
      <w:bookmarkStart w:id="1" w:name="_GoBack"/>
      <w:bookmarkEnd w:id="1"/>
      <w:r w:rsidRPr="00335E30">
        <w:rPr>
          <w:noProof/>
        </w:rPr>
        <w:drawing>
          <wp:inline distT="0" distB="0" distL="0" distR="0" wp14:anchorId="3634C4AF" wp14:editId="003E42BC">
            <wp:extent cx="2941320" cy="25247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252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F53B0" w14:textId="52CCC404" w:rsidR="00335E30" w:rsidRDefault="00335E30" w:rsidP="00335E30">
      <w:pPr>
        <w:pStyle w:val="LGTdoc1"/>
        <w:spacing w:beforeLines="0" w:before="120" w:after="220" w:afterAutospacing="0"/>
        <w:jc w:val="center"/>
        <w:rPr>
          <w:b w:val="0"/>
          <w:kern w:val="2"/>
          <w:sz w:val="22"/>
          <w:szCs w:val="22"/>
        </w:rPr>
      </w:pPr>
      <w:r>
        <w:rPr>
          <w:sz w:val="20"/>
        </w:rPr>
        <w:t>Figure 1 MPDCCH RE mapping for special subframe configuration 9/10 (from [2])</w:t>
      </w:r>
    </w:p>
    <w:p w14:paraId="11484A95" w14:textId="583AA64C" w:rsidR="00A92B03" w:rsidRDefault="00E061CB" w:rsidP="000267C3">
      <w:pPr>
        <w:pStyle w:val="LGTdoc1"/>
        <w:spacing w:beforeLines="0" w:before="120" w:after="220" w:afterAutospacing="0"/>
        <w:rPr>
          <w:b w:val="0"/>
          <w:kern w:val="2"/>
          <w:sz w:val="22"/>
          <w:szCs w:val="22"/>
        </w:rPr>
      </w:pPr>
      <w:r>
        <w:rPr>
          <w:b w:val="0"/>
          <w:kern w:val="2"/>
          <w:sz w:val="22"/>
          <w:szCs w:val="22"/>
        </w:rPr>
        <w:t xml:space="preserve">One issue with this approach is that REs colliding with </w:t>
      </w:r>
      <w:r w:rsidR="001D7D59">
        <w:rPr>
          <w:b w:val="0"/>
          <w:kern w:val="2"/>
          <w:sz w:val="22"/>
          <w:szCs w:val="22"/>
        </w:rPr>
        <w:t xml:space="preserve">the CRS RE </w:t>
      </w:r>
      <w:r>
        <w:rPr>
          <w:b w:val="0"/>
          <w:kern w:val="2"/>
          <w:sz w:val="22"/>
          <w:szCs w:val="22"/>
        </w:rPr>
        <w:t xml:space="preserve">shall be punctured </w:t>
      </w:r>
      <w:r w:rsidR="001D7D59">
        <w:rPr>
          <w:b w:val="0"/>
          <w:kern w:val="2"/>
          <w:sz w:val="22"/>
          <w:szCs w:val="22"/>
        </w:rPr>
        <w:t xml:space="preserve">when copying the last </w:t>
      </w:r>
      <w:proofErr w:type="spellStart"/>
      <w:r w:rsidR="001D7D59" w:rsidRPr="00D404F1">
        <w:rPr>
          <w:b w:val="0"/>
          <w:i/>
          <w:kern w:val="2"/>
          <w:sz w:val="22"/>
          <w:szCs w:val="22"/>
        </w:rPr>
        <w:t>l</w:t>
      </w:r>
      <w:r w:rsidR="001D7D59" w:rsidRPr="00D404F1">
        <w:rPr>
          <w:b w:val="0"/>
          <w:i/>
          <w:kern w:val="2"/>
          <w:sz w:val="22"/>
          <w:szCs w:val="22"/>
          <w:vertAlign w:val="subscript"/>
        </w:rPr>
        <w:t>MPDCCHStart</w:t>
      </w:r>
      <w:proofErr w:type="spellEnd"/>
      <w:r w:rsidR="001D7D59" w:rsidRPr="00D404F1">
        <w:rPr>
          <w:b w:val="0"/>
          <w:kern w:val="2"/>
          <w:sz w:val="22"/>
          <w:szCs w:val="22"/>
        </w:rPr>
        <w:t xml:space="preserve"> symbols</w:t>
      </w:r>
      <w:r w:rsidR="001D7D59">
        <w:rPr>
          <w:b w:val="0"/>
          <w:kern w:val="2"/>
          <w:sz w:val="22"/>
          <w:szCs w:val="22"/>
        </w:rPr>
        <w:t xml:space="preserve"> of MPDCCH transmission to LTE control region. </w:t>
      </w:r>
      <w:r>
        <w:rPr>
          <w:b w:val="0"/>
          <w:kern w:val="2"/>
          <w:sz w:val="22"/>
          <w:szCs w:val="22"/>
        </w:rPr>
        <w:t xml:space="preserve">This </w:t>
      </w:r>
      <w:r w:rsidR="00B41ED3">
        <w:rPr>
          <w:b w:val="0"/>
          <w:kern w:val="2"/>
          <w:sz w:val="22"/>
          <w:szCs w:val="22"/>
        </w:rPr>
        <w:t>would</w:t>
      </w:r>
      <w:r>
        <w:rPr>
          <w:b w:val="0"/>
          <w:kern w:val="2"/>
          <w:sz w:val="22"/>
          <w:szCs w:val="22"/>
        </w:rPr>
        <w:t xml:space="preserve"> increase UE implementation complexity</w:t>
      </w:r>
      <w:r w:rsidR="00B41ED3">
        <w:rPr>
          <w:b w:val="0"/>
          <w:kern w:val="2"/>
          <w:sz w:val="22"/>
          <w:szCs w:val="22"/>
        </w:rPr>
        <w:t xml:space="preserve"> by using different approaches for different subframes</w:t>
      </w:r>
      <w:r>
        <w:rPr>
          <w:b w:val="0"/>
          <w:kern w:val="2"/>
          <w:sz w:val="22"/>
          <w:szCs w:val="22"/>
        </w:rPr>
        <w:t xml:space="preserve">. </w:t>
      </w:r>
      <w:r w:rsidR="004F7B38">
        <w:rPr>
          <w:b w:val="0"/>
          <w:kern w:val="2"/>
          <w:sz w:val="22"/>
          <w:szCs w:val="22"/>
        </w:rPr>
        <w:t>Considering the limited gain</w:t>
      </w:r>
      <w:r w:rsidR="00A92B03">
        <w:rPr>
          <w:b w:val="0"/>
          <w:kern w:val="2"/>
          <w:sz w:val="22"/>
          <w:szCs w:val="22"/>
        </w:rPr>
        <w:t xml:space="preserve"> for MPDCCH transmission in LTE control region in such case, an optimization </w:t>
      </w:r>
      <w:r w:rsidR="00B41ED3">
        <w:rPr>
          <w:b w:val="0"/>
          <w:kern w:val="2"/>
          <w:sz w:val="22"/>
          <w:szCs w:val="22"/>
        </w:rPr>
        <w:t xml:space="preserve">for </w:t>
      </w:r>
      <w:r w:rsidR="00B41ED3" w:rsidRPr="00B41ED3">
        <w:rPr>
          <w:b w:val="0"/>
          <w:kern w:val="2"/>
          <w:sz w:val="22"/>
          <w:szCs w:val="22"/>
        </w:rPr>
        <w:t xml:space="preserve">special subframe configuration </w:t>
      </w:r>
      <w:r w:rsidR="00B41ED3">
        <w:rPr>
          <w:b w:val="0"/>
          <w:kern w:val="2"/>
          <w:sz w:val="22"/>
          <w:szCs w:val="22"/>
        </w:rPr>
        <w:t xml:space="preserve">9 and 10 </w:t>
      </w:r>
      <w:r w:rsidR="00A92B03">
        <w:rPr>
          <w:b w:val="0"/>
          <w:kern w:val="2"/>
          <w:sz w:val="22"/>
          <w:szCs w:val="22"/>
        </w:rPr>
        <w:t>is thus not needed. Therefore, we propose:</w:t>
      </w:r>
    </w:p>
    <w:p w14:paraId="116EACB3" w14:textId="06BF2B7D" w:rsidR="00A92B03" w:rsidRDefault="00A92B03" w:rsidP="00A92B03">
      <w:pPr>
        <w:pStyle w:val="LGTdoc1"/>
        <w:spacing w:beforeLines="0" w:before="24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Pr="00A92B03">
        <w:rPr>
          <w:sz w:val="22"/>
          <w:szCs w:val="22"/>
        </w:rPr>
        <w:t xml:space="preserve">For TDD special subframe configurations with </w:t>
      </w:r>
      <w:r w:rsidRPr="00A92B03">
        <w:rPr>
          <w:i/>
          <w:sz w:val="22"/>
          <w:szCs w:val="22"/>
        </w:rPr>
        <w:t xml:space="preserve">k &lt; </w:t>
      </w:r>
      <w:proofErr w:type="spellStart"/>
      <w:r w:rsidRPr="00A92B03">
        <w:rPr>
          <w:i/>
          <w:sz w:val="22"/>
          <w:szCs w:val="22"/>
        </w:rPr>
        <w:t>l</w:t>
      </w:r>
      <w:r w:rsidRPr="00A92B03">
        <w:rPr>
          <w:i/>
          <w:sz w:val="22"/>
          <w:szCs w:val="22"/>
          <w:vertAlign w:val="subscript"/>
        </w:rPr>
        <w:t>MPDCCHStart</w:t>
      </w:r>
      <w:proofErr w:type="spellEnd"/>
      <w:r w:rsidRPr="00A92B03">
        <w:rPr>
          <w:sz w:val="22"/>
          <w:szCs w:val="22"/>
        </w:rPr>
        <w:t xml:space="preserve"> symbols in the second slot, only k symbols will be copied into the first slot (note k maybe 0)</w:t>
      </w:r>
    </w:p>
    <w:p w14:paraId="2BF3AC1C" w14:textId="7765A3C2" w:rsidR="004111C3" w:rsidRDefault="004111C3" w:rsidP="000267C3">
      <w:pPr>
        <w:pStyle w:val="LGTdoc1"/>
        <w:spacing w:beforeLines="0" w:before="120" w:after="220" w:afterAutospacing="0"/>
        <w:rPr>
          <w:b w:val="0"/>
          <w:kern w:val="2"/>
          <w:sz w:val="22"/>
          <w:szCs w:val="22"/>
        </w:rPr>
      </w:pPr>
    </w:p>
    <w:p w14:paraId="29DD28D1" w14:textId="79BC3FDF" w:rsidR="00AB4372" w:rsidRPr="00F54278" w:rsidRDefault="001A2AF4" w:rsidP="00AB4372">
      <w:pPr>
        <w:pStyle w:val="Heading2"/>
        <w:spacing w:before="120"/>
        <w:rPr>
          <w:sz w:val="28"/>
          <w:szCs w:val="28"/>
        </w:rPr>
      </w:pPr>
      <w:r w:rsidRPr="00F54278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2</w:t>
      </w:r>
      <w:r w:rsidRPr="00F54278">
        <w:rPr>
          <w:sz w:val="28"/>
          <w:szCs w:val="28"/>
        </w:rPr>
        <w:t xml:space="preserve"> </w:t>
      </w:r>
      <w:r w:rsidR="00AB4372">
        <w:rPr>
          <w:sz w:val="28"/>
          <w:szCs w:val="28"/>
        </w:rPr>
        <w:t>Configuration</w:t>
      </w:r>
    </w:p>
    <w:p w14:paraId="042EC6E0" w14:textId="331A5616" w:rsidR="00690821" w:rsidRDefault="00C47A26" w:rsidP="0069082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It was agreed that</w:t>
      </w:r>
      <w:r w:rsidR="00FA1D0C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>the usage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of 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control region for MPDCCH/PDSCH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wa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s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supported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also 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proofErr w:type="spellStart"/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 deployment w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>ith NR. Differe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nt from LTE,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downlink 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>control channel in NR is not wideband transmitted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 but based on 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>the CORESET (control resource set)</w:t>
      </w:r>
      <w:r w:rsidR="00A92B03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41ED3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configuration </w:t>
      </w:r>
      <w:r w:rsidR="00A92B03">
        <w:rPr>
          <w:rFonts w:eastAsia="Batang"/>
          <w:snapToGrid w:val="0"/>
          <w:kern w:val="2"/>
          <w:sz w:val="22"/>
          <w:szCs w:val="22"/>
          <w:lang w:eastAsia="ko-KR"/>
        </w:rPr>
        <w:t>which consist</w:t>
      </w:r>
      <w:r w:rsidR="00B41ED3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A92B03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a set of RB groups distributed across the whole band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A92B03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or </w:t>
      </w:r>
      <w:r w:rsidR="00FA1D0C">
        <w:rPr>
          <w:rFonts w:eastAsia="Batang"/>
          <w:snapToGrid w:val="0"/>
          <w:kern w:val="2"/>
          <w:sz w:val="22"/>
          <w:szCs w:val="22"/>
          <w:lang w:eastAsia="ko-KR"/>
        </w:rPr>
        <w:t>coexistence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A1D0C">
        <w:rPr>
          <w:rFonts w:eastAsia="Batang"/>
          <w:snapToGrid w:val="0"/>
          <w:kern w:val="2"/>
          <w:sz w:val="22"/>
          <w:szCs w:val="22"/>
          <w:lang w:eastAsia="ko-KR"/>
        </w:rPr>
        <w:t>with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NR, the use of control region for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LTE-MTC 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transmission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shall be </w:t>
      </w:r>
      <w:r w:rsidR="00B41ED3">
        <w:rPr>
          <w:rFonts w:eastAsia="Batang"/>
          <w:snapToGrid w:val="0"/>
          <w:kern w:val="2"/>
          <w:sz w:val="22"/>
          <w:szCs w:val="22"/>
          <w:lang w:eastAsia="ko-KR"/>
        </w:rPr>
        <w:t xml:space="preserve">more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flexible </w:t>
      </w:r>
      <w:r w:rsidR="00B41ED3">
        <w:rPr>
          <w:rFonts w:eastAsia="Batang"/>
          <w:snapToGrid w:val="0"/>
          <w:kern w:val="2"/>
          <w:sz w:val="22"/>
          <w:szCs w:val="22"/>
          <w:lang w:eastAsia="ko-KR"/>
        </w:rPr>
        <w:t xml:space="preserve">to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support resource reservation for NR CORESET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NR </w:t>
      </w:r>
      <w:r w:rsidR="00F33D50">
        <w:rPr>
          <w:rFonts w:eastAsia="Batang"/>
          <w:snapToGrid w:val="0"/>
          <w:kern w:val="2"/>
          <w:sz w:val="22"/>
          <w:szCs w:val="22"/>
          <w:lang w:eastAsia="ko-KR"/>
        </w:rPr>
        <w:t xml:space="preserve">CORESET </w:t>
      </w:r>
      <w:r w:rsidR="00B41ED3">
        <w:rPr>
          <w:rFonts w:eastAsia="Batang"/>
          <w:snapToGrid w:val="0"/>
          <w:kern w:val="2"/>
          <w:sz w:val="22"/>
          <w:szCs w:val="22"/>
          <w:lang w:eastAsia="ko-KR"/>
        </w:rPr>
        <w:t>can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be </w:t>
      </w:r>
      <w:r w:rsidR="00F33D50">
        <w:rPr>
          <w:rFonts w:eastAsia="Batang"/>
          <w:snapToGrid w:val="0"/>
          <w:kern w:val="2"/>
          <w:sz w:val="22"/>
          <w:szCs w:val="22"/>
          <w:lang w:eastAsia="ko-KR"/>
        </w:rPr>
        <w:t>configured in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some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subframes in time domain and some </w:t>
      </w:r>
      <w:proofErr w:type="spellStart"/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in frequency domain</w:t>
      </w:r>
      <w:r w:rsidR="00CC3B29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B41ED3">
        <w:rPr>
          <w:rFonts w:eastAsia="Batang"/>
          <w:snapToGrid w:val="0"/>
          <w:kern w:val="2"/>
          <w:sz w:val="22"/>
          <w:szCs w:val="22"/>
          <w:lang w:eastAsia="ko-KR"/>
        </w:rPr>
        <w:t xml:space="preserve">and the </w:t>
      </w:r>
      <w:r w:rsidR="00F33D50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configuration of using LTE control region for MPDCCH/PDSCH transmission can </w:t>
      </w:r>
      <w:r w:rsidR="00B41ED3">
        <w:rPr>
          <w:rFonts w:eastAsia="Batang"/>
          <w:snapToGrid w:val="0"/>
          <w:kern w:val="2"/>
          <w:sz w:val="22"/>
          <w:szCs w:val="22"/>
          <w:lang w:eastAsia="ko-KR"/>
        </w:rPr>
        <w:t xml:space="preserve">thus </w:t>
      </w:r>
      <w:r w:rsidR="00F33D50">
        <w:rPr>
          <w:rFonts w:eastAsia="Batang"/>
          <w:snapToGrid w:val="0"/>
          <w:kern w:val="2"/>
          <w:sz w:val="22"/>
          <w:szCs w:val="22"/>
          <w:lang w:eastAsia="ko-KR"/>
        </w:rPr>
        <w:t>be narrowband and subframe specific.</w:t>
      </w:r>
    </w:p>
    <w:p w14:paraId="4A2D56A5" w14:textId="6BA38E13" w:rsidR="00AD43FB" w:rsidRPr="0068319D" w:rsidRDefault="00AD43FB" w:rsidP="00AD43FB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A92B03">
        <w:rPr>
          <w:sz w:val="22"/>
          <w:szCs w:val="22"/>
          <w:u w:val="single"/>
        </w:rPr>
        <w:t>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</w:t>
      </w:r>
      <w:r w:rsidR="00F33D50">
        <w:rPr>
          <w:sz w:val="22"/>
          <w:szCs w:val="22"/>
        </w:rPr>
        <w:t>configuration</w:t>
      </w:r>
      <w:r>
        <w:rPr>
          <w:sz w:val="22"/>
          <w:szCs w:val="22"/>
        </w:rPr>
        <w:t xml:space="preserve"> of </w:t>
      </w:r>
      <w:r w:rsidR="00F33D50">
        <w:rPr>
          <w:sz w:val="22"/>
          <w:szCs w:val="22"/>
        </w:rPr>
        <w:t xml:space="preserve">using </w:t>
      </w:r>
      <w:r>
        <w:rPr>
          <w:sz w:val="22"/>
          <w:szCs w:val="22"/>
        </w:rPr>
        <w:t xml:space="preserve">LTE control region </w:t>
      </w:r>
      <w:r w:rsidR="00F33D50">
        <w:rPr>
          <w:sz w:val="22"/>
          <w:szCs w:val="22"/>
        </w:rPr>
        <w:t xml:space="preserve">for MPDCCH/PDSCH </w:t>
      </w:r>
      <w:r>
        <w:rPr>
          <w:sz w:val="22"/>
          <w:szCs w:val="22"/>
        </w:rPr>
        <w:t xml:space="preserve">can be narrowband </w:t>
      </w:r>
      <w:r w:rsidR="00F33D50">
        <w:rPr>
          <w:sz w:val="22"/>
          <w:szCs w:val="22"/>
        </w:rPr>
        <w:t>and subframe</w:t>
      </w:r>
      <w:r>
        <w:rPr>
          <w:sz w:val="22"/>
          <w:szCs w:val="22"/>
        </w:rPr>
        <w:t xml:space="preserve"> specific </w:t>
      </w:r>
    </w:p>
    <w:p w14:paraId="527BA53C" w14:textId="19D4682F" w:rsidR="002037A4" w:rsidRDefault="00697EBC" w:rsidP="002037A4">
      <w:pPr>
        <w:pStyle w:val="Heading1"/>
      </w:pPr>
      <w:r>
        <w:t>3</w:t>
      </w:r>
      <w:r w:rsidR="002037A4">
        <w:tab/>
        <w:t>Summary</w:t>
      </w:r>
    </w:p>
    <w:p w14:paraId="3E18BF19" w14:textId="562C6710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</w:t>
      </w:r>
      <w:r w:rsidR="00FD3DDC">
        <w:rPr>
          <w:rFonts w:eastAsia="Batang"/>
          <w:snapToGrid w:val="0"/>
          <w:kern w:val="2"/>
          <w:sz w:val="22"/>
          <w:szCs w:val="22"/>
          <w:lang w:eastAsia="ko-KR"/>
        </w:rPr>
        <w:t xml:space="preserve">remaining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 xml:space="preserve">aspects </w:t>
      </w:r>
      <w:r w:rsidR="00697EBC"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="00697EBC"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using the control region for MPDCCH/PDSCH to the BL/CE UE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We have the following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proposals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:</w:t>
      </w:r>
    </w:p>
    <w:p w14:paraId="7619371F" w14:textId="77777777" w:rsidR="00CC3B29" w:rsidRDefault="00CC3B29" w:rsidP="00CC3B29">
      <w:pPr>
        <w:pStyle w:val="LGTdoc1"/>
        <w:spacing w:beforeLines="0" w:before="240" w:after="220" w:afterAutospacing="0"/>
        <w:rPr>
          <w:sz w:val="22"/>
          <w:szCs w:val="22"/>
        </w:rPr>
      </w:pPr>
      <w:bookmarkStart w:id="2" w:name="_In-sequence_SDU_delivery"/>
      <w:bookmarkEnd w:id="2"/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Pr="00A92B03">
        <w:rPr>
          <w:sz w:val="22"/>
          <w:szCs w:val="22"/>
        </w:rPr>
        <w:t xml:space="preserve">For TDD special subframe configurations with </w:t>
      </w:r>
      <w:r w:rsidRPr="00A92B03">
        <w:rPr>
          <w:i/>
          <w:sz w:val="22"/>
          <w:szCs w:val="22"/>
        </w:rPr>
        <w:t xml:space="preserve">k &lt; </w:t>
      </w:r>
      <w:proofErr w:type="spellStart"/>
      <w:r w:rsidRPr="00A92B03">
        <w:rPr>
          <w:i/>
          <w:sz w:val="22"/>
          <w:szCs w:val="22"/>
        </w:rPr>
        <w:t>l</w:t>
      </w:r>
      <w:r w:rsidRPr="00A92B03">
        <w:rPr>
          <w:i/>
          <w:sz w:val="22"/>
          <w:szCs w:val="22"/>
          <w:vertAlign w:val="subscript"/>
        </w:rPr>
        <w:t>MPDCCHStart</w:t>
      </w:r>
      <w:proofErr w:type="spellEnd"/>
      <w:r w:rsidRPr="00A92B03">
        <w:rPr>
          <w:sz w:val="22"/>
          <w:szCs w:val="22"/>
        </w:rPr>
        <w:t xml:space="preserve"> symbols in the second slot, only k symbols will be copied into the first slot (note k maybe 0)</w:t>
      </w:r>
    </w:p>
    <w:p w14:paraId="72BA5F48" w14:textId="6C75E91E" w:rsidR="00F33D50" w:rsidRPr="0068319D" w:rsidRDefault="00F33D50" w:rsidP="00F33D50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CC3B29">
        <w:rPr>
          <w:sz w:val="22"/>
          <w:szCs w:val="22"/>
          <w:u w:val="single"/>
        </w:rPr>
        <w:t>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configuration of using LTE control region for MPDCCH/PDSCH can be narrowband and subframe specific 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321CA24" w14:textId="119D7E92" w:rsidR="00E8205F" w:rsidRDefault="005A06CE" w:rsidP="005A06CE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 w:rsidRPr="00504EAE">
        <w:rPr>
          <w:rFonts w:ascii="Times New Roman" w:hAnsi="Times New Roman"/>
          <w:snapToGrid w:val="0"/>
          <w:sz w:val="22"/>
          <w:szCs w:val="22"/>
        </w:rPr>
        <w:t>[</w:t>
      </w:r>
      <w:r w:rsidR="00A60814">
        <w:rPr>
          <w:rFonts w:ascii="Times New Roman" w:hAnsi="Times New Roman"/>
          <w:snapToGrid w:val="0"/>
          <w:sz w:val="22"/>
          <w:szCs w:val="22"/>
        </w:rPr>
        <w:t>1</w:t>
      </w:r>
      <w:r w:rsidRPr="00504EAE">
        <w:rPr>
          <w:rFonts w:ascii="Times New Roman" w:hAnsi="Times New Roman"/>
          <w:snapToGrid w:val="0"/>
          <w:sz w:val="22"/>
          <w:szCs w:val="22"/>
        </w:rPr>
        <w:t>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</w:r>
      <w:r>
        <w:rPr>
          <w:rFonts w:ascii="Times New Roman" w:hAnsi="Times New Roman"/>
          <w:snapToGrid w:val="0"/>
          <w:sz w:val="22"/>
          <w:szCs w:val="22"/>
        </w:rPr>
        <w:t>3GPP RAN1#</w:t>
      </w:r>
      <w:r w:rsidR="00A60814">
        <w:rPr>
          <w:rFonts w:ascii="Times New Roman" w:hAnsi="Times New Roman"/>
          <w:snapToGrid w:val="0"/>
          <w:sz w:val="22"/>
          <w:szCs w:val="22"/>
        </w:rPr>
        <w:t>9</w:t>
      </w:r>
      <w:r w:rsidR="00CC3B29">
        <w:rPr>
          <w:rFonts w:ascii="Times New Roman" w:hAnsi="Times New Roman"/>
          <w:snapToGrid w:val="0"/>
          <w:sz w:val="22"/>
          <w:szCs w:val="22"/>
        </w:rPr>
        <w:t>7</w:t>
      </w:r>
      <w:r>
        <w:rPr>
          <w:rFonts w:ascii="Times New Roman" w:hAnsi="Times New Roman"/>
          <w:snapToGrid w:val="0"/>
          <w:sz w:val="22"/>
          <w:szCs w:val="22"/>
        </w:rPr>
        <w:t xml:space="preserve">, Chairman’s notes, </w:t>
      </w:r>
      <w:r w:rsidR="00CC3B29">
        <w:rPr>
          <w:rFonts w:ascii="Times New Roman" w:hAnsi="Times New Roman"/>
          <w:snapToGrid w:val="0"/>
          <w:sz w:val="22"/>
          <w:szCs w:val="22"/>
        </w:rPr>
        <w:t>May</w:t>
      </w:r>
      <w:r w:rsidR="00A60814">
        <w:rPr>
          <w:rFonts w:ascii="Times New Roman" w:hAnsi="Times New Roman"/>
          <w:snapToGrid w:val="0"/>
          <w:sz w:val="22"/>
          <w:szCs w:val="22"/>
        </w:rPr>
        <w:t xml:space="preserve"> </w:t>
      </w:r>
      <w:r>
        <w:rPr>
          <w:rFonts w:ascii="Times New Roman" w:hAnsi="Times New Roman"/>
          <w:snapToGrid w:val="0"/>
          <w:sz w:val="22"/>
          <w:szCs w:val="22"/>
        </w:rPr>
        <w:t>201</w:t>
      </w:r>
      <w:r w:rsidR="00CC3B29">
        <w:rPr>
          <w:rFonts w:ascii="Times New Roman" w:hAnsi="Times New Roman"/>
          <w:snapToGrid w:val="0"/>
          <w:sz w:val="22"/>
          <w:szCs w:val="22"/>
        </w:rPr>
        <w:t>9</w:t>
      </w:r>
    </w:p>
    <w:p w14:paraId="71F5FD1D" w14:textId="7B0EF748" w:rsidR="00E8205F" w:rsidRDefault="00E8205F" w:rsidP="005A06CE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[2]</w:t>
      </w:r>
      <w:r>
        <w:rPr>
          <w:rFonts w:ascii="Times New Roman" w:hAnsi="Times New Roman"/>
          <w:snapToGrid w:val="0"/>
          <w:sz w:val="22"/>
          <w:szCs w:val="22"/>
        </w:rPr>
        <w:tab/>
      </w:r>
      <w:hyperlink r:id="rId64" w:history="1">
        <w:r w:rsidRPr="00E8205F">
          <w:rPr>
            <w:rFonts w:ascii="Times New Roman" w:hAnsi="Times New Roman"/>
            <w:snapToGrid w:val="0"/>
            <w:sz w:val="22"/>
            <w:szCs w:val="22"/>
          </w:rPr>
          <w:t>R1-190</w:t>
        </w:r>
        <w:r w:rsidR="00CC3B29">
          <w:rPr>
            <w:rFonts w:ascii="Times New Roman" w:hAnsi="Times New Roman"/>
            <w:snapToGrid w:val="0"/>
            <w:sz w:val="22"/>
            <w:szCs w:val="22"/>
          </w:rPr>
          <w:t>6502</w:t>
        </w:r>
      </w:hyperlink>
      <w:r>
        <w:rPr>
          <w:rFonts w:ascii="Times New Roman" w:hAnsi="Times New Roman"/>
          <w:snapToGrid w:val="0"/>
          <w:sz w:val="22"/>
          <w:szCs w:val="22"/>
        </w:rPr>
        <w:t>, “</w:t>
      </w:r>
      <w:r w:rsidR="00CC3B29">
        <w:rPr>
          <w:rFonts w:ascii="Times New Roman" w:hAnsi="Times New Roman"/>
          <w:snapToGrid w:val="0"/>
          <w:sz w:val="22"/>
          <w:szCs w:val="22"/>
        </w:rPr>
        <w:t>Use o</w:t>
      </w:r>
      <w:r w:rsidRPr="00E8205F">
        <w:rPr>
          <w:rFonts w:ascii="Times New Roman" w:hAnsi="Times New Roman"/>
          <w:snapToGrid w:val="0"/>
          <w:sz w:val="22"/>
          <w:szCs w:val="22"/>
        </w:rPr>
        <w:t>f LTE control channel region</w:t>
      </w:r>
      <w:r w:rsidR="00CC3B29">
        <w:rPr>
          <w:rFonts w:ascii="Times New Roman" w:hAnsi="Times New Roman"/>
          <w:snapToGrid w:val="0"/>
          <w:sz w:val="22"/>
          <w:szCs w:val="22"/>
        </w:rPr>
        <w:t xml:space="preserve"> for DL transmission</w:t>
      </w:r>
      <w:r>
        <w:rPr>
          <w:rFonts w:ascii="Times New Roman" w:hAnsi="Times New Roman"/>
          <w:snapToGrid w:val="0"/>
          <w:sz w:val="22"/>
          <w:szCs w:val="22"/>
        </w:rPr>
        <w:t xml:space="preserve">, </w:t>
      </w:r>
      <w:r w:rsidR="00CC3B29">
        <w:rPr>
          <w:rFonts w:ascii="Times New Roman" w:hAnsi="Times New Roman"/>
          <w:snapToGrid w:val="0"/>
          <w:sz w:val="22"/>
          <w:szCs w:val="22"/>
        </w:rPr>
        <w:t>ZTE</w:t>
      </w:r>
    </w:p>
    <w:sectPr w:rsidR="00E8205F" w:rsidSect="00C473A5">
      <w:headerReference w:type="even" r:id="rId65"/>
      <w:footerReference w:type="default" r:id="rId6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7F270" w14:textId="77777777" w:rsidR="00723348" w:rsidRDefault="00723348">
      <w:r>
        <w:separator/>
      </w:r>
    </w:p>
  </w:endnote>
  <w:endnote w:type="continuationSeparator" w:id="0">
    <w:p w14:paraId="70A30285" w14:textId="77777777" w:rsidR="00723348" w:rsidRDefault="007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A60814" w:rsidRDefault="00A6081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371A2" w14:textId="77777777" w:rsidR="00723348" w:rsidRDefault="00723348">
      <w:r>
        <w:separator/>
      </w:r>
    </w:p>
  </w:footnote>
  <w:footnote w:type="continuationSeparator" w:id="0">
    <w:p w14:paraId="62CE6632" w14:textId="77777777" w:rsidR="00723348" w:rsidRDefault="00723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A60814" w:rsidRDefault="00A6081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1152D18"/>
    <w:multiLevelType w:val="hybridMultilevel"/>
    <w:tmpl w:val="6E7AD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A7229C"/>
    <w:multiLevelType w:val="hybridMultilevel"/>
    <w:tmpl w:val="EAB0E71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4B3799E"/>
    <w:multiLevelType w:val="hybridMultilevel"/>
    <w:tmpl w:val="D7C05D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4F1C0B"/>
    <w:multiLevelType w:val="hybridMultilevel"/>
    <w:tmpl w:val="286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D16301"/>
    <w:multiLevelType w:val="hybridMultilevel"/>
    <w:tmpl w:val="E132EA90"/>
    <w:lvl w:ilvl="0" w:tplc="4A8061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3DA79E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AFE4CD8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B98684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3FEBB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3070C1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1B6612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19A05B7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7D0EF03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6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49273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6F216AD"/>
    <w:multiLevelType w:val="hybridMultilevel"/>
    <w:tmpl w:val="559256A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F9F7B18"/>
    <w:multiLevelType w:val="hybridMultilevel"/>
    <w:tmpl w:val="98BE50A2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B54A37"/>
    <w:multiLevelType w:val="hybridMultilevel"/>
    <w:tmpl w:val="C94CDBF8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7531583"/>
    <w:multiLevelType w:val="multilevel"/>
    <w:tmpl w:val="95FC84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36"/>
  </w:num>
  <w:num w:numId="3">
    <w:abstractNumId w:val="29"/>
  </w:num>
  <w:num w:numId="4">
    <w:abstractNumId w:val="30"/>
  </w:num>
  <w:num w:numId="5">
    <w:abstractNumId w:val="23"/>
  </w:num>
  <w:num w:numId="6">
    <w:abstractNumId w:val="35"/>
  </w:num>
  <w:num w:numId="7">
    <w:abstractNumId w:val="40"/>
  </w:num>
  <w:num w:numId="8">
    <w:abstractNumId w:val="24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37"/>
  </w:num>
  <w:num w:numId="14">
    <w:abstractNumId w:val="39"/>
  </w:num>
  <w:num w:numId="15">
    <w:abstractNumId w:val="31"/>
  </w:num>
  <w:num w:numId="16">
    <w:abstractNumId w:val="42"/>
  </w:num>
  <w:num w:numId="17">
    <w:abstractNumId w:val="16"/>
  </w:num>
  <w:num w:numId="18">
    <w:abstractNumId w:val="19"/>
  </w:num>
  <w:num w:numId="19">
    <w:abstractNumId w:val="11"/>
  </w:num>
  <w:num w:numId="20">
    <w:abstractNumId w:val="45"/>
  </w:num>
  <w:num w:numId="21">
    <w:abstractNumId w:val="26"/>
  </w:num>
  <w:num w:numId="22">
    <w:abstractNumId w:val="44"/>
  </w:num>
  <w:num w:numId="23">
    <w:abstractNumId w:val="17"/>
  </w:num>
  <w:num w:numId="24">
    <w:abstractNumId w:val="33"/>
  </w:num>
  <w:num w:numId="25">
    <w:abstractNumId w:val="46"/>
  </w:num>
  <w:num w:numId="26">
    <w:abstractNumId w:val="3"/>
  </w:num>
  <w:num w:numId="27">
    <w:abstractNumId w:val="14"/>
  </w:num>
  <w:num w:numId="28">
    <w:abstractNumId w:val="41"/>
  </w:num>
  <w:num w:numId="29">
    <w:abstractNumId w:val="8"/>
  </w:num>
  <w:num w:numId="30">
    <w:abstractNumId w:val="10"/>
  </w:num>
  <w:num w:numId="31">
    <w:abstractNumId w:val="38"/>
  </w:num>
  <w:num w:numId="32">
    <w:abstractNumId w:val="13"/>
  </w:num>
  <w:num w:numId="33">
    <w:abstractNumId w:val="34"/>
  </w:num>
  <w:num w:numId="34">
    <w:abstractNumId w:val="20"/>
  </w:num>
  <w:num w:numId="35">
    <w:abstractNumId w:val="12"/>
  </w:num>
  <w:num w:numId="36">
    <w:abstractNumId w:val="4"/>
  </w:num>
  <w:num w:numId="37">
    <w:abstractNumId w:val="28"/>
  </w:num>
  <w:num w:numId="38">
    <w:abstractNumId w:val="27"/>
  </w:num>
  <w:num w:numId="39">
    <w:abstractNumId w:val="43"/>
  </w:num>
  <w:num w:numId="40">
    <w:abstractNumId w:val="22"/>
  </w:num>
  <w:num w:numId="41">
    <w:abstractNumId w:val="6"/>
  </w:num>
  <w:num w:numId="42">
    <w:abstractNumId w:val="9"/>
  </w:num>
  <w:num w:numId="43">
    <w:abstractNumId w:val="36"/>
  </w:num>
  <w:num w:numId="44">
    <w:abstractNumId w:val="7"/>
  </w:num>
  <w:num w:numId="45">
    <w:abstractNumId w:val="25"/>
  </w:num>
  <w:num w:numId="46">
    <w:abstractNumId w:val="15"/>
  </w:num>
  <w:num w:numId="47">
    <w:abstractNumId w:val="32"/>
  </w:num>
  <w:num w:numId="4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267C3"/>
    <w:rsid w:val="000325B8"/>
    <w:rsid w:val="00034C15"/>
    <w:rsid w:val="00036BA1"/>
    <w:rsid w:val="00037DC6"/>
    <w:rsid w:val="000422E2"/>
    <w:rsid w:val="00042F22"/>
    <w:rsid w:val="00043CB7"/>
    <w:rsid w:val="000444EF"/>
    <w:rsid w:val="00045FC2"/>
    <w:rsid w:val="00047A9F"/>
    <w:rsid w:val="00051CEA"/>
    <w:rsid w:val="00052A07"/>
    <w:rsid w:val="000534E3"/>
    <w:rsid w:val="0005606A"/>
    <w:rsid w:val="00057117"/>
    <w:rsid w:val="00061512"/>
    <w:rsid w:val="000616E7"/>
    <w:rsid w:val="00061A5C"/>
    <w:rsid w:val="0006487E"/>
    <w:rsid w:val="00065E1A"/>
    <w:rsid w:val="00073D3A"/>
    <w:rsid w:val="00076617"/>
    <w:rsid w:val="000774F0"/>
    <w:rsid w:val="00077E5F"/>
    <w:rsid w:val="0008036A"/>
    <w:rsid w:val="00081AE6"/>
    <w:rsid w:val="00083055"/>
    <w:rsid w:val="00084D3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1E2F"/>
    <w:rsid w:val="000B2719"/>
    <w:rsid w:val="000B3A8F"/>
    <w:rsid w:val="000B4AB9"/>
    <w:rsid w:val="000B4C0A"/>
    <w:rsid w:val="000B58C3"/>
    <w:rsid w:val="000B61E9"/>
    <w:rsid w:val="000C165A"/>
    <w:rsid w:val="000C2E19"/>
    <w:rsid w:val="000C3CAE"/>
    <w:rsid w:val="000D0D07"/>
    <w:rsid w:val="000D4797"/>
    <w:rsid w:val="000D6251"/>
    <w:rsid w:val="000E0527"/>
    <w:rsid w:val="000E1E92"/>
    <w:rsid w:val="000E32C2"/>
    <w:rsid w:val="000E5728"/>
    <w:rsid w:val="000F06D6"/>
    <w:rsid w:val="000F0EB1"/>
    <w:rsid w:val="000F1106"/>
    <w:rsid w:val="000F360A"/>
    <w:rsid w:val="000F3BE9"/>
    <w:rsid w:val="000F3F6C"/>
    <w:rsid w:val="000F43F8"/>
    <w:rsid w:val="000F6DF3"/>
    <w:rsid w:val="001005FF"/>
    <w:rsid w:val="00104AC5"/>
    <w:rsid w:val="001062FB"/>
    <w:rsid w:val="001063E6"/>
    <w:rsid w:val="00113CF4"/>
    <w:rsid w:val="001153EA"/>
    <w:rsid w:val="00115643"/>
    <w:rsid w:val="00115A67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23E"/>
    <w:rsid w:val="00144EF9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2AF4"/>
    <w:rsid w:val="001A6173"/>
    <w:rsid w:val="001A6CBA"/>
    <w:rsid w:val="001B0D97"/>
    <w:rsid w:val="001B5A5D"/>
    <w:rsid w:val="001B7F7F"/>
    <w:rsid w:val="001C0423"/>
    <w:rsid w:val="001C1CE5"/>
    <w:rsid w:val="001C3D2A"/>
    <w:rsid w:val="001D3E9B"/>
    <w:rsid w:val="001D51BA"/>
    <w:rsid w:val="001D5298"/>
    <w:rsid w:val="001D53E7"/>
    <w:rsid w:val="001D6342"/>
    <w:rsid w:val="001D6CFA"/>
    <w:rsid w:val="001D6D53"/>
    <w:rsid w:val="001D7D59"/>
    <w:rsid w:val="001E58E2"/>
    <w:rsid w:val="001E7AED"/>
    <w:rsid w:val="001F3916"/>
    <w:rsid w:val="001F54C5"/>
    <w:rsid w:val="001F5ABC"/>
    <w:rsid w:val="001F662C"/>
    <w:rsid w:val="001F707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6E3"/>
    <w:rsid w:val="00225C54"/>
    <w:rsid w:val="002263DF"/>
    <w:rsid w:val="00230765"/>
    <w:rsid w:val="00230D18"/>
    <w:rsid w:val="002319E4"/>
    <w:rsid w:val="0023338F"/>
    <w:rsid w:val="00235632"/>
    <w:rsid w:val="00235872"/>
    <w:rsid w:val="00241559"/>
    <w:rsid w:val="002435B3"/>
    <w:rsid w:val="002458EB"/>
    <w:rsid w:val="002500C8"/>
    <w:rsid w:val="00257543"/>
    <w:rsid w:val="002617E7"/>
    <w:rsid w:val="0026343C"/>
    <w:rsid w:val="00264228"/>
    <w:rsid w:val="00264334"/>
    <w:rsid w:val="0026473E"/>
    <w:rsid w:val="00266214"/>
    <w:rsid w:val="00267C83"/>
    <w:rsid w:val="0027100C"/>
    <w:rsid w:val="0027144F"/>
    <w:rsid w:val="00271813"/>
    <w:rsid w:val="00271F3A"/>
    <w:rsid w:val="00272F7E"/>
    <w:rsid w:val="00273278"/>
    <w:rsid w:val="002737F4"/>
    <w:rsid w:val="00274FE5"/>
    <w:rsid w:val="002801E1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B6F1F"/>
    <w:rsid w:val="002B7627"/>
    <w:rsid w:val="002C14BD"/>
    <w:rsid w:val="002C41E6"/>
    <w:rsid w:val="002D071A"/>
    <w:rsid w:val="002D34B2"/>
    <w:rsid w:val="002D3C0D"/>
    <w:rsid w:val="002D4118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5026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3EB6"/>
    <w:rsid w:val="00334579"/>
    <w:rsid w:val="00335858"/>
    <w:rsid w:val="00335E30"/>
    <w:rsid w:val="00336BDA"/>
    <w:rsid w:val="00342BD7"/>
    <w:rsid w:val="003448C6"/>
    <w:rsid w:val="00346DB5"/>
    <w:rsid w:val="00347712"/>
    <w:rsid w:val="003477B1"/>
    <w:rsid w:val="00357380"/>
    <w:rsid w:val="003602D9"/>
    <w:rsid w:val="003604CE"/>
    <w:rsid w:val="003623B1"/>
    <w:rsid w:val="00370E47"/>
    <w:rsid w:val="00372E27"/>
    <w:rsid w:val="003742AC"/>
    <w:rsid w:val="003752FC"/>
    <w:rsid w:val="00377CE1"/>
    <w:rsid w:val="00382F26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D7D"/>
    <w:rsid w:val="003B159C"/>
    <w:rsid w:val="003B369F"/>
    <w:rsid w:val="003B36A3"/>
    <w:rsid w:val="003B64BB"/>
    <w:rsid w:val="003B6FD1"/>
    <w:rsid w:val="003B7FE5"/>
    <w:rsid w:val="003C007D"/>
    <w:rsid w:val="003C11C8"/>
    <w:rsid w:val="003C2702"/>
    <w:rsid w:val="003C3487"/>
    <w:rsid w:val="003C43C6"/>
    <w:rsid w:val="003C6BA0"/>
    <w:rsid w:val="003C7806"/>
    <w:rsid w:val="003C7A67"/>
    <w:rsid w:val="003D0B8C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11C3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2D7"/>
    <w:rsid w:val="00444F56"/>
    <w:rsid w:val="00446488"/>
    <w:rsid w:val="00450020"/>
    <w:rsid w:val="004517AA"/>
    <w:rsid w:val="00452CAC"/>
    <w:rsid w:val="004533D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4892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4F4FD6"/>
    <w:rsid w:val="004F7B38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06CE"/>
    <w:rsid w:val="005A209A"/>
    <w:rsid w:val="005A240F"/>
    <w:rsid w:val="005A662D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167ED"/>
    <w:rsid w:val="00620A71"/>
    <w:rsid w:val="00620D80"/>
    <w:rsid w:val="006234A6"/>
    <w:rsid w:val="00630001"/>
    <w:rsid w:val="006302E2"/>
    <w:rsid w:val="006311B3"/>
    <w:rsid w:val="0063284C"/>
    <w:rsid w:val="006349E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1073"/>
    <w:rsid w:val="00655733"/>
    <w:rsid w:val="00655ACD"/>
    <w:rsid w:val="00656A92"/>
    <w:rsid w:val="00656DDE"/>
    <w:rsid w:val="0066011D"/>
    <w:rsid w:val="006607C0"/>
    <w:rsid w:val="006613A6"/>
    <w:rsid w:val="00662586"/>
    <w:rsid w:val="006627A2"/>
    <w:rsid w:val="006633E1"/>
    <w:rsid w:val="006634E6"/>
    <w:rsid w:val="006655EE"/>
    <w:rsid w:val="00667EE7"/>
    <w:rsid w:val="00670922"/>
    <w:rsid w:val="00670BE1"/>
    <w:rsid w:val="00670DDA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821"/>
    <w:rsid w:val="006917FB"/>
    <w:rsid w:val="00694A9F"/>
    <w:rsid w:val="00695FC2"/>
    <w:rsid w:val="00696949"/>
    <w:rsid w:val="00697052"/>
    <w:rsid w:val="00697876"/>
    <w:rsid w:val="00697EBC"/>
    <w:rsid w:val="006A46FB"/>
    <w:rsid w:val="006A5E28"/>
    <w:rsid w:val="006A697B"/>
    <w:rsid w:val="006A776B"/>
    <w:rsid w:val="006A7AFF"/>
    <w:rsid w:val="006B1816"/>
    <w:rsid w:val="006B198B"/>
    <w:rsid w:val="006B2099"/>
    <w:rsid w:val="006B50CF"/>
    <w:rsid w:val="006C03B8"/>
    <w:rsid w:val="006C5152"/>
    <w:rsid w:val="006C5AE5"/>
    <w:rsid w:val="006C5EC9"/>
    <w:rsid w:val="006C6059"/>
    <w:rsid w:val="006C7522"/>
    <w:rsid w:val="006D0F2A"/>
    <w:rsid w:val="006D6F08"/>
    <w:rsid w:val="006D79A7"/>
    <w:rsid w:val="006E062C"/>
    <w:rsid w:val="006E15EB"/>
    <w:rsid w:val="006E1C82"/>
    <w:rsid w:val="006E229F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BF3"/>
    <w:rsid w:val="00723348"/>
    <w:rsid w:val="00723BDE"/>
    <w:rsid w:val="007257D0"/>
    <w:rsid w:val="00726EA6"/>
    <w:rsid w:val="00727208"/>
    <w:rsid w:val="00727680"/>
    <w:rsid w:val="007311FE"/>
    <w:rsid w:val="007348B1"/>
    <w:rsid w:val="007362A6"/>
    <w:rsid w:val="00736D7D"/>
    <w:rsid w:val="00740E58"/>
    <w:rsid w:val="00744270"/>
    <w:rsid w:val="007445A0"/>
    <w:rsid w:val="00745140"/>
    <w:rsid w:val="0074524B"/>
    <w:rsid w:val="00747D8B"/>
    <w:rsid w:val="00751182"/>
    <w:rsid w:val="00751228"/>
    <w:rsid w:val="007571E1"/>
    <w:rsid w:val="007604B2"/>
    <w:rsid w:val="00765281"/>
    <w:rsid w:val="00766BAD"/>
    <w:rsid w:val="007729A2"/>
    <w:rsid w:val="00773A4B"/>
    <w:rsid w:val="007755F2"/>
    <w:rsid w:val="00776971"/>
    <w:rsid w:val="007800DC"/>
    <w:rsid w:val="00780A80"/>
    <w:rsid w:val="0078177E"/>
    <w:rsid w:val="0078304C"/>
    <w:rsid w:val="00783673"/>
    <w:rsid w:val="00785490"/>
    <w:rsid w:val="007861EB"/>
    <w:rsid w:val="007925EA"/>
    <w:rsid w:val="00793CD8"/>
    <w:rsid w:val="00795C92"/>
    <w:rsid w:val="00796231"/>
    <w:rsid w:val="00797B27"/>
    <w:rsid w:val="007A1CB3"/>
    <w:rsid w:val="007A306F"/>
    <w:rsid w:val="007A43A6"/>
    <w:rsid w:val="007A58A6"/>
    <w:rsid w:val="007A6B63"/>
    <w:rsid w:val="007B08F6"/>
    <w:rsid w:val="007B3D2D"/>
    <w:rsid w:val="007B50AE"/>
    <w:rsid w:val="007B51DF"/>
    <w:rsid w:val="007B7A4F"/>
    <w:rsid w:val="007B7EB2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18F8"/>
    <w:rsid w:val="007D5736"/>
    <w:rsid w:val="007D5901"/>
    <w:rsid w:val="007D7526"/>
    <w:rsid w:val="007E4610"/>
    <w:rsid w:val="007E4715"/>
    <w:rsid w:val="007E505B"/>
    <w:rsid w:val="007E7091"/>
    <w:rsid w:val="007F637A"/>
    <w:rsid w:val="007F7B75"/>
    <w:rsid w:val="00803FAE"/>
    <w:rsid w:val="0080605F"/>
    <w:rsid w:val="00807786"/>
    <w:rsid w:val="00811FCB"/>
    <w:rsid w:val="00813E86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512A"/>
    <w:rsid w:val="00856911"/>
    <w:rsid w:val="00863A5E"/>
    <w:rsid w:val="008677FD"/>
    <w:rsid w:val="008705F6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8F6AB2"/>
    <w:rsid w:val="00900302"/>
    <w:rsid w:val="00902350"/>
    <w:rsid w:val="0090336B"/>
    <w:rsid w:val="009040EE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154"/>
    <w:rsid w:val="00931BD9"/>
    <w:rsid w:val="00935F86"/>
    <w:rsid w:val="009368F3"/>
    <w:rsid w:val="00937364"/>
    <w:rsid w:val="00941636"/>
    <w:rsid w:val="00942F81"/>
    <w:rsid w:val="009431E4"/>
    <w:rsid w:val="00943742"/>
    <w:rsid w:val="00945C05"/>
    <w:rsid w:val="00946945"/>
    <w:rsid w:val="00947713"/>
    <w:rsid w:val="00950DE7"/>
    <w:rsid w:val="0095351C"/>
    <w:rsid w:val="00953920"/>
    <w:rsid w:val="00953D47"/>
    <w:rsid w:val="0095681E"/>
    <w:rsid w:val="009572D4"/>
    <w:rsid w:val="00961158"/>
    <w:rsid w:val="00961921"/>
    <w:rsid w:val="0096430A"/>
    <w:rsid w:val="00964A15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90630"/>
    <w:rsid w:val="00991761"/>
    <w:rsid w:val="00994DCA"/>
    <w:rsid w:val="00995758"/>
    <w:rsid w:val="009960EC"/>
    <w:rsid w:val="0099654E"/>
    <w:rsid w:val="009970DD"/>
    <w:rsid w:val="009A0FBA"/>
    <w:rsid w:val="009A1601"/>
    <w:rsid w:val="009A39A1"/>
    <w:rsid w:val="009A3BB6"/>
    <w:rsid w:val="009A3CCF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8E4"/>
    <w:rsid w:val="009E598E"/>
    <w:rsid w:val="009F0779"/>
    <w:rsid w:val="009F08F3"/>
    <w:rsid w:val="009F1360"/>
    <w:rsid w:val="009F344F"/>
    <w:rsid w:val="00A031D8"/>
    <w:rsid w:val="00A048A8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D9B"/>
    <w:rsid w:val="00A52E1D"/>
    <w:rsid w:val="00A56AD4"/>
    <w:rsid w:val="00A56D68"/>
    <w:rsid w:val="00A60814"/>
    <w:rsid w:val="00A61499"/>
    <w:rsid w:val="00A62A77"/>
    <w:rsid w:val="00A63483"/>
    <w:rsid w:val="00A657D7"/>
    <w:rsid w:val="00A660AC"/>
    <w:rsid w:val="00A6689A"/>
    <w:rsid w:val="00A67E6C"/>
    <w:rsid w:val="00A71B99"/>
    <w:rsid w:val="00A72EC2"/>
    <w:rsid w:val="00A739D0"/>
    <w:rsid w:val="00A761D4"/>
    <w:rsid w:val="00A77EC4"/>
    <w:rsid w:val="00A81818"/>
    <w:rsid w:val="00A918B5"/>
    <w:rsid w:val="00A91D64"/>
    <w:rsid w:val="00A92879"/>
    <w:rsid w:val="00A92B03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372"/>
    <w:rsid w:val="00AB4AB8"/>
    <w:rsid w:val="00AB655E"/>
    <w:rsid w:val="00AB731D"/>
    <w:rsid w:val="00AC007F"/>
    <w:rsid w:val="00AC14AD"/>
    <w:rsid w:val="00AC2ECD"/>
    <w:rsid w:val="00AC3119"/>
    <w:rsid w:val="00AC4852"/>
    <w:rsid w:val="00AC49FB"/>
    <w:rsid w:val="00AC5A10"/>
    <w:rsid w:val="00AC7D49"/>
    <w:rsid w:val="00AD0AA3"/>
    <w:rsid w:val="00AD2ED0"/>
    <w:rsid w:val="00AD3F94"/>
    <w:rsid w:val="00AD3FE3"/>
    <w:rsid w:val="00AD43FB"/>
    <w:rsid w:val="00AD4A5A"/>
    <w:rsid w:val="00AE27AC"/>
    <w:rsid w:val="00AE40E0"/>
    <w:rsid w:val="00AE4DBA"/>
    <w:rsid w:val="00AE4F07"/>
    <w:rsid w:val="00AE5C8C"/>
    <w:rsid w:val="00AE60EC"/>
    <w:rsid w:val="00AF1C5D"/>
    <w:rsid w:val="00AF42D7"/>
    <w:rsid w:val="00B00159"/>
    <w:rsid w:val="00B006FE"/>
    <w:rsid w:val="00B007CB"/>
    <w:rsid w:val="00B02AA9"/>
    <w:rsid w:val="00B02FA3"/>
    <w:rsid w:val="00B041DD"/>
    <w:rsid w:val="00B04628"/>
    <w:rsid w:val="00B05084"/>
    <w:rsid w:val="00B1268A"/>
    <w:rsid w:val="00B12997"/>
    <w:rsid w:val="00B157F9"/>
    <w:rsid w:val="00B20256"/>
    <w:rsid w:val="00B20D09"/>
    <w:rsid w:val="00B2763F"/>
    <w:rsid w:val="00B27AAC"/>
    <w:rsid w:val="00B30929"/>
    <w:rsid w:val="00B342D0"/>
    <w:rsid w:val="00B372AA"/>
    <w:rsid w:val="00B40081"/>
    <w:rsid w:val="00B40445"/>
    <w:rsid w:val="00B409E0"/>
    <w:rsid w:val="00B412EB"/>
    <w:rsid w:val="00B41888"/>
    <w:rsid w:val="00B41DE5"/>
    <w:rsid w:val="00B41ED3"/>
    <w:rsid w:val="00B43958"/>
    <w:rsid w:val="00B45A52"/>
    <w:rsid w:val="00B46175"/>
    <w:rsid w:val="00B509B4"/>
    <w:rsid w:val="00B548B7"/>
    <w:rsid w:val="00B61DD3"/>
    <w:rsid w:val="00B664C7"/>
    <w:rsid w:val="00B66B6E"/>
    <w:rsid w:val="00B739F6"/>
    <w:rsid w:val="00B74EBA"/>
    <w:rsid w:val="00B81A6C"/>
    <w:rsid w:val="00B82D26"/>
    <w:rsid w:val="00B85DE5"/>
    <w:rsid w:val="00B8750A"/>
    <w:rsid w:val="00B90F73"/>
    <w:rsid w:val="00B93B59"/>
    <w:rsid w:val="00B9406A"/>
    <w:rsid w:val="00BA2280"/>
    <w:rsid w:val="00BA2A08"/>
    <w:rsid w:val="00BA445D"/>
    <w:rsid w:val="00BA56D2"/>
    <w:rsid w:val="00BA6E5F"/>
    <w:rsid w:val="00BA76E0"/>
    <w:rsid w:val="00BB0390"/>
    <w:rsid w:val="00BB2A25"/>
    <w:rsid w:val="00BB51E9"/>
    <w:rsid w:val="00BB5E3F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4A7B"/>
    <w:rsid w:val="00C2682C"/>
    <w:rsid w:val="00C279B5"/>
    <w:rsid w:val="00C27C45"/>
    <w:rsid w:val="00C3719D"/>
    <w:rsid w:val="00C37CB2"/>
    <w:rsid w:val="00C37F70"/>
    <w:rsid w:val="00C405AB"/>
    <w:rsid w:val="00C417E1"/>
    <w:rsid w:val="00C464AA"/>
    <w:rsid w:val="00C473A5"/>
    <w:rsid w:val="00C47A26"/>
    <w:rsid w:val="00C52930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B40"/>
    <w:rsid w:val="00CA03EB"/>
    <w:rsid w:val="00CA1A04"/>
    <w:rsid w:val="00CA1ED8"/>
    <w:rsid w:val="00CA512D"/>
    <w:rsid w:val="00CB1F63"/>
    <w:rsid w:val="00CB5142"/>
    <w:rsid w:val="00CB5E40"/>
    <w:rsid w:val="00CB61F7"/>
    <w:rsid w:val="00CB7170"/>
    <w:rsid w:val="00CC040E"/>
    <w:rsid w:val="00CC111F"/>
    <w:rsid w:val="00CC2011"/>
    <w:rsid w:val="00CC3B29"/>
    <w:rsid w:val="00CC3EA0"/>
    <w:rsid w:val="00CC7B45"/>
    <w:rsid w:val="00CD1188"/>
    <w:rsid w:val="00CD2ED1"/>
    <w:rsid w:val="00CD337B"/>
    <w:rsid w:val="00CD5A48"/>
    <w:rsid w:val="00CE0424"/>
    <w:rsid w:val="00CE179F"/>
    <w:rsid w:val="00CE3997"/>
    <w:rsid w:val="00CE7561"/>
    <w:rsid w:val="00CF1354"/>
    <w:rsid w:val="00CF3B1F"/>
    <w:rsid w:val="00CF3BF6"/>
    <w:rsid w:val="00CF3DB1"/>
    <w:rsid w:val="00CF596F"/>
    <w:rsid w:val="00CF625B"/>
    <w:rsid w:val="00CF687E"/>
    <w:rsid w:val="00D0349B"/>
    <w:rsid w:val="00D056D0"/>
    <w:rsid w:val="00D10249"/>
    <w:rsid w:val="00D115C3"/>
    <w:rsid w:val="00D11897"/>
    <w:rsid w:val="00D13135"/>
    <w:rsid w:val="00D13E4E"/>
    <w:rsid w:val="00D165E7"/>
    <w:rsid w:val="00D239A7"/>
    <w:rsid w:val="00D23F47"/>
    <w:rsid w:val="00D24F79"/>
    <w:rsid w:val="00D36E71"/>
    <w:rsid w:val="00D37D87"/>
    <w:rsid w:val="00D404F1"/>
    <w:rsid w:val="00D40B33"/>
    <w:rsid w:val="00D41AA9"/>
    <w:rsid w:val="00D4318F"/>
    <w:rsid w:val="00D438BF"/>
    <w:rsid w:val="00D440F8"/>
    <w:rsid w:val="00D4520A"/>
    <w:rsid w:val="00D50B47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49C"/>
    <w:rsid w:val="00DA56E8"/>
    <w:rsid w:val="00DA69F4"/>
    <w:rsid w:val="00DB0A9F"/>
    <w:rsid w:val="00DB377D"/>
    <w:rsid w:val="00DC2D36"/>
    <w:rsid w:val="00DC53EF"/>
    <w:rsid w:val="00DC71C8"/>
    <w:rsid w:val="00DD19EC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0588"/>
    <w:rsid w:val="00E029CE"/>
    <w:rsid w:val="00E061CB"/>
    <w:rsid w:val="00E07B58"/>
    <w:rsid w:val="00E110E7"/>
    <w:rsid w:val="00E11B20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05F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91C"/>
    <w:rsid w:val="00E93FFE"/>
    <w:rsid w:val="00E94F8A"/>
    <w:rsid w:val="00EA0473"/>
    <w:rsid w:val="00EA5F9D"/>
    <w:rsid w:val="00EA7A41"/>
    <w:rsid w:val="00EB077B"/>
    <w:rsid w:val="00EB2ADC"/>
    <w:rsid w:val="00EB388E"/>
    <w:rsid w:val="00EB4EA2"/>
    <w:rsid w:val="00EC1D6E"/>
    <w:rsid w:val="00EC24D5"/>
    <w:rsid w:val="00EC27C6"/>
    <w:rsid w:val="00EC3B6F"/>
    <w:rsid w:val="00EC4207"/>
    <w:rsid w:val="00EC5653"/>
    <w:rsid w:val="00EC71CE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33D50"/>
    <w:rsid w:val="00F37BC5"/>
    <w:rsid w:val="00F40F0C"/>
    <w:rsid w:val="00F44C12"/>
    <w:rsid w:val="00F4766C"/>
    <w:rsid w:val="00F5060E"/>
    <w:rsid w:val="00F507D1"/>
    <w:rsid w:val="00F519CE"/>
    <w:rsid w:val="00F51ADA"/>
    <w:rsid w:val="00F54278"/>
    <w:rsid w:val="00F60203"/>
    <w:rsid w:val="00F607C5"/>
    <w:rsid w:val="00F60DEA"/>
    <w:rsid w:val="00F6302A"/>
    <w:rsid w:val="00F63950"/>
    <w:rsid w:val="00F63EFF"/>
    <w:rsid w:val="00F64705"/>
    <w:rsid w:val="00F64C2B"/>
    <w:rsid w:val="00F651BE"/>
    <w:rsid w:val="00F676AC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12E2"/>
    <w:rsid w:val="00F817CE"/>
    <w:rsid w:val="00F8446A"/>
    <w:rsid w:val="00F8456C"/>
    <w:rsid w:val="00F859D8"/>
    <w:rsid w:val="00F868F5"/>
    <w:rsid w:val="00F86C84"/>
    <w:rsid w:val="00F9056A"/>
    <w:rsid w:val="00F90E38"/>
    <w:rsid w:val="00F90F8D"/>
    <w:rsid w:val="00F92782"/>
    <w:rsid w:val="00F93AA9"/>
    <w:rsid w:val="00F96985"/>
    <w:rsid w:val="00F97838"/>
    <w:rsid w:val="00FA0631"/>
    <w:rsid w:val="00FA1D0C"/>
    <w:rsid w:val="00FA2787"/>
    <w:rsid w:val="00FA2BB3"/>
    <w:rsid w:val="00FA5B81"/>
    <w:rsid w:val="00FA761F"/>
    <w:rsid w:val="00FB4C80"/>
    <w:rsid w:val="00FB6A6A"/>
    <w:rsid w:val="00FC7429"/>
    <w:rsid w:val="00FD07F6"/>
    <w:rsid w:val="00FD1EC8"/>
    <w:rsid w:val="00FD2B99"/>
    <w:rsid w:val="00FD3120"/>
    <w:rsid w:val="00FD3DDC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20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Heading1Char1">
    <w:name w:val="Heading 1 Char1"/>
    <w:rsid w:val="00F54278"/>
    <w:rPr>
      <w:rFonts w:ascii="Arial" w:hAnsi="Arial"/>
      <w:sz w:val="36"/>
      <w:lang w:val="en-GB" w:eastAsia="en-US"/>
    </w:rPr>
  </w:style>
  <w:style w:type="paragraph" w:styleId="NoSpacing">
    <w:name w:val="No Spacing"/>
    <w:uiPriority w:val="1"/>
    <w:qFormat/>
    <w:rsid w:val="00662586"/>
    <w:pPr>
      <w:ind w:left="720" w:hanging="360"/>
    </w:pPr>
    <w:rPr>
      <w:rFonts w:ascii="Calibri" w:eastAsia="宋体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23338F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7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07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89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image" Target="media/image27.e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6.bin"/><Relationship Id="rId61" Type="http://schemas.openxmlformats.org/officeDocument/2006/relationships/image" Target="media/image26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4.wmf"/><Relationship Id="rId64" Type="http://schemas.openxmlformats.org/officeDocument/2006/relationships/hyperlink" Target="file:///C:\Users\weichao\AppData\Local\Microsoft\Windows\Temporary%20Internet%20Files\Docs\R1-1901960.zip" TargetMode="Externa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5.wmf"/><Relationship Id="rId67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4578E-3612-44E7-A9A3-0F90F8A5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2383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weichao@qti.qualcomm.com</dc:creator>
  <cp:keywords>3GPP; Ericsson; TDoc</cp:keywords>
  <dc:description/>
  <cp:lastModifiedBy>Chao Wei</cp:lastModifiedBy>
  <cp:revision>18</cp:revision>
  <cp:lastPrinted>2008-01-31T07:09:00Z</cp:lastPrinted>
  <dcterms:created xsi:type="dcterms:W3CDTF">2018-11-02T04:48:00Z</dcterms:created>
  <dcterms:modified xsi:type="dcterms:W3CDTF">2019-08-16T05:40:00Z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