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1D5A47F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8E6BF5">
        <w:rPr>
          <w:rFonts w:ascii="Arial" w:hAnsi="Arial" w:cs="Arial"/>
          <w:b/>
          <w:kern w:val="2"/>
          <w:lang w:eastAsia="zh-CN"/>
        </w:rPr>
        <w:t>8</w:t>
      </w:r>
      <w:r w:rsidR="00972929" w:rsidRPr="00D74B92">
        <w:rPr>
          <w:rFonts w:ascii="Arial" w:hAnsi="Arial" w:cs="Arial"/>
          <w:b/>
          <w:kern w:val="2"/>
          <w:lang w:eastAsia="zh-CN"/>
        </w:rPr>
        <w:tab/>
      </w:r>
      <w:r w:rsidR="0031350F" w:rsidRPr="0031350F">
        <w:rPr>
          <w:rFonts w:ascii="Arial" w:hAnsi="Arial" w:cs="Arial"/>
          <w:b/>
          <w:kern w:val="2"/>
          <w:lang w:eastAsia="zh-CN"/>
        </w:rPr>
        <w:t>R1-1908738</w:t>
      </w:r>
    </w:p>
    <w:p w14:paraId="2A9D85E6" w14:textId="662B3D5F" w:rsidR="009C0564" w:rsidRPr="007F5EC6" w:rsidRDefault="008E6BF5" w:rsidP="00DA0712">
      <w:pPr>
        <w:jc w:val="left"/>
        <w:rPr>
          <w:rFonts w:ascii="Arial" w:hAnsi="Arial" w:cs="Arial"/>
          <w:b/>
          <w:kern w:val="2"/>
          <w:lang w:eastAsia="zh-CN"/>
        </w:rPr>
      </w:pPr>
      <w:r>
        <w:rPr>
          <w:rFonts w:ascii="Arial" w:hAnsi="Arial" w:cs="Arial"/>
          <w:b/>
          <w:kern w:val="2"/>
          <w:lang w:eastAsia="zh-CN"/>
        </w:rPr>
        <w:t>Prague</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Czech Republic</w:t>
      </w:r>
      <w:r w:rsidR="00753191" w:rsidRPr="00D74B92">
        <w:rPr>
          <w:rFonts w:ascii="Arial" w:hAnsi="Arial" w:cs="Arial"/>
          <w:b/>
          <w:kern w:val="2"/>
          <w:lang w:eastAsia="zh-CN"/>
        </w:rPr>
        <w:t xml:space="preserve">, </w:t>
      </w:r>
      <w:r>
        <w:rPr>
          <w:rFonts w:ascii="Arial" w:hAnsi="Arial" w:cs="Arial"/>
          <w:b/>
          <w:kern w:val="2"/>
          <w:lang w:eastAsia="zh-CN"/>
        </w:rPr>
        <w:t>August</w:t>
      </w:r>
      <w:r w:rsidRPr="00D74B92">
        <w:rPr>
          <w:rFonts w:ascii="Arial" w:hAnsi="Arial" w:cs="Arial"/>
          <w:b/>
          <w:kern w:val="2"/>
          <w:lang w:eastAsia="zh-CN"/>
        </w:rPr>
        <w:t xml:space="preserve"> </w:t>
      </w:r>
      <w:r>
        <w:rPr>
          <w:rFonts w:ascii="Arial" w:hAnsi="Arial" w:cs="Arial"/>
          <w:b/>
          <w:kern w:val="2"/>
          <w:lang w:eastAsia="zh-CN"/>
        </w:rPr>
        <w:t>26</w:t>
      </w:r>
      <w:r w:rsidR="00822944" w:rsidRPr="00D74B92">
        <w:rPr>
          <w:rFonts w:ascii="Arial" w:hAnsi="Arial" w:cs="Arial"/>
          <w:b/>
          <w:kern w:val="2"/>
          <w:lang w:eastAsia="zh-CN"/>
        </w:rPr>
        <w:t>-</w:t>
      </w:r>
      <w:r>
        <w:rPr>
          <w:rFonts w:ascii="Arial" w:hAnsi="Arial" w:cs="Arial"/>
          <w:b/>
          <w:kern w:val="2"/>
          <w:lang w:eastAsia="zh-CN"/>
        </w:rPr>
        <w:t>30</w:t>
      </w:r>
      <w:r w:rsidR="00E07679" w:rsidRPr="00D74B92">
        <w:rPr>
          <w:rFonts w:ascii="Arial" w:hAnsi="Arial" w:cs="Arial"/>
          <w:b/>
          <w:kern w:val="2"/>
          <w:lang w:eastAsia="zh-CN"/>
        </w:rPr>
        <w:t>, 2019</w:t>
      </w:r>
    </w:p>
    <w:p w14:paraId="7826937B" w14:textId="1D0F32BB"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2119C5">
        <w:rPr>
          <w:rFonts w:ascii="Arial" w:hAnsi="Arial" w:cs="Arial"/>
          <w:b/>
          <w:lang w:eastAsia="zh-CN"/>
        </w:rPr>
        <w:t>7.2.4.2.1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0A8D66C7" w14:textId="77777777" w:rsidR="002119C5"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119C5" w:rsidRPr="002119C5">
        <w:rPr>
          <w:rFonts w:ascii="Arial" w:hAnsi="Arial" w:cs="Arial"/>
          <w:b/>
          <w:lang w:eastAsia="zh-CN"/>
        </w:rPr>
        <w:t>Views on mode-1 resource allocation</w:t>
      </w:r>
    </w:p>
    <w:p w14:paraId="62BCD72B" w14:textId="5D5E6D21"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F1D73DE" w14:textId="33EE35F9" w:rsidR="00A06E12" w:rsidRDefault="00FA0C75" w:rsidP="00C02F76">
      <w:pPr>
        <w:rPr>
          <w:lang w:eastAsia="zh-CN"/>
        </w:rPr>
      </w:pPr>
      <w:r>
        <w:rPr>
          <w:lang w:eastAsia="zh-CN"/>
        </w:rPr>
        <w:t xml:space="preserve">Mode-1 resource allocation was discussed </w:t>
      </w:r>
      <w:r w:rsidRPr="00AD6249">
        <w:rPr>
          <w:lang w:eastAsia="zh-CN"/>
        </w:rPr>
        <w:t>in RA</w:t>
      </w:r>
      <w:r w:rsidR="00AD6249">
        <w:rPr>
          <w:lang w:eastAsia="zh-CN"/>
        </w:rPr>
        <w:t>N</w:t>
      </w:r>
      <w:r w:rsidRPr="00AD6249">
        <w:rPr>
          <w:lang w:eastAsia="zh-CN"/>
        </w:rPr>
        <w:t>1#97</w:t>
      </w:r>
      <w:r>
        <w:rPr>
          <w:lang w:eastAsia="zh-CN"/>
        </w:rPr>
        <w:t>. In particular, two important decisions were made: per RAN2’s request, RAN1 reverted a WA on using the BSR to convey SL HARQ feedback to the gNB:</w:t>
      </w:r>
    </w:p>
    <w:p w14:paraId="1B3F2201" w14:textId="77777777" w:rsidR="00FA0C75" w:rsidRPr="00AD6249" w:rsidRDefault="00FA0C75" w:rsidP="00FA0C75">
      <w:pPr>
        <w:pStyle w:val="ListParagraph"/>
        <w:numPr>
          <w:ilvl w:val="0"/>
          <w:numId w:val="21"/>
        </w:numPr>
        <w:spacing w:after="0" w:line="240" w:lineRule="auto"/>
        <w:contextualSpacing w:val="0"/>
        <w:rPr>
          <w:rFonts w:ascii="Times New Roman" w:hAnsi="Times New Roman"/>
          <w:i/>
          <w:szCs w:val="20"/>
          <w:lang w:eastAsia="ja-JP"/>
        </w:rPr>
      </w:pPr>
      <w:r w:rsidRPr="00AD6249">
        <w:rPr>
          <w:rFonts w:ascii="Times New Roman" w:hAnsi="Times New Roman"/>
          <w:i/>
          <w:szCs w:val="20"/>
          <w:lang w:eastAsia="ja-JP"/>
        </w:rPr>
        <w:t>Sidelink HARQ ACK/NACK report from transmitter UE to gNB is supported with details FFS.</w:t>
      </w:r>
    </w:p>
    <w:p w14:paraId="4B0D0864" w14:textId="5E7A0536" w:rsidR="00C504F8" w:rsidRDefault="00C504F8" w:rsidP="00C02F76">
      <w:r>
        <w:t>RAN2’s rationale is that traditionally, the gNB allocates resources to the UE based on the SR/BSR, and that the UE decides how to use the resources allocated by the gNB. Using the SR/BSR for HARQ feedback would have gone against this mode of operation, and that traditionally, physical layer signaling is used for scheduling HARQ feedback. In addition, the feedback is sent by the transmitter UE and not the receiver UE since the receiver UE could be out-of-coverage.</w:t>
      </w:r>
    </w:p>
    <w:p w14:paraId="7D7C98C1" w14:textId="2B86F26C" w:rsidR="00FA0C75" w:rsidRPr="00AD6249" w:rsidRDefault="00FA0C75" w:rsidP="00C02F76">
      <w:r w:rsidRPr="00AD6249">
        <w:t xml:space="preserve">Based on </w:t>
      </w:r>
      <w:r w:rsidR="00C504F8">
        <w:t>RAN2</w:t>
      </w:r>
      <w:r w:rsidR="00C504F8" w:rsidRPr="00AD6249">
        <w:t xml:space="preserve"> </w:t>
      </w:r>
      <w:r w:rsidRPr="00AD6249">
        <w:t>decision, RAN1 needs to define a mechanism to convey HARQ feedback to the gNB.</w:t>
      </w:r>
    </w:p>
    <w:p w14:paraId="3BE11309" w14:textId="6A35F2F3" w:rsidR="00FA0C75" w:rsidRDefault="00FA0C75" w:rsidP="00C02F76">
      <w:r>
        <w:t>In addition, for dynamic scheduling, the purpose of the DCI was clarified:</w:t>
      </w:r>
    </w:p>
    <w:p w14:paraId="69DF579E" w14:textId="77777777" w:rsidR="00FA0C75" w:rsidRPr="00FA0C75" w:rsidRDefault="00FA0C75" w:rsidP="00FA0C75">
      <w:pPr>
        <w:pStyle w:val="ListParagraph"/>
        <w:numPr>
          <w:ilvl w:val="0"/>
          <w:numId w:val="21"/>
        </w:numPr>
        <w:spacing w:after="0" w:line="240" w:lineRule="auto"/>
        <w:contextualSpacing w:val="0"/>
        <w:rPr>
          <w:rFonts w:ascii="Times New Roman" w:hAnsi="Times New Roman"/>
          <w:i/>
          <w:szCs w:val="20"/>
          <w:lang w:eastAsia="ja-JP"/>
        </w:rPr>
      </w:pPr>
      <w:r w:rsidRPr="00FA0C75">
        <w:rPr>
          <w:rFonts w:ascii="Times New Roman" w:hAnsi="Times New Roman"/>
          <w:i/>
          <w:szCs w:val="20"/>
          <w:lang w:eastAsia="ja-JP"/>
        </w:rPr>
        <w:t>For mode 1:</w:t>
      </w:r>
    </w:p>
    <w:p w14:paraId="7F322EE6" w14:textId="3831272F" w:rsidR="00FA0C75" w:rsidRPr="00FA0C75" w:rsidRDefault="00FA0C75" w:rsidP="00FA0C75">
      <w:pPr>
        <w:pStyle w:val="ListParagraph"/>
        <w:numPr>
          <w:ilvl w:val="1"/>
          <w:numId w:val="21"/>
        </w:numPr>
        <w:rPr>
          <w:rFonts w:ascii="Times New Roman" w:hAnsi="Times New Roman"/>
          <w:i/>
        </w:rPr>
      </w:pPr>
      <w:r w:rsidRPr="00FA0C75">
        <w:rPr>
          <w:rFonts w:ascii="Times New Roman" w:hAnsi="Times New Roman"/>
          <w:i/>
          <w:szCs w:val="20"/>
          <w:lang w:eastAsia="ja-JP"/>
        </w:rPr>
        <w:t>A dynamic grant by the gNB provides resources for transmission of PSCCH and PSSCH.</w:t>
      </w:r>
    </w:p>
    <w:p w14:paraId="7EA95162" w14:textId="19DA5159" w:rsidR="00B87EC9" w:rsidRDefault="00FA0C75" w:rsidP="007F5EC6">
      <w:r>
        <w:t>With this decision, RAN1 can start designing the DCI(s) for sidelink resource allocation.</w:t>
      </w:r>
    </w:p>
    <w:p w14:paraId="676F8917" w14:textId="77777777" w:rsidR="00CE6FD9" w:rsidRPr="007F5EC6" w:rsidRDefault="00CE6FD9" w:rsidP="007F5EC6"/>
    <w:p w14:paraId="35954F20" w14:textId="14AF1258" w:rsidR="00816E9B" w:rsidRDefault="00FA0C75" w:rsidP="00493C77">
      <w:pPr>
        <w:pStyle w:val="Heading1"/>
      </w:pPr>
      <w:r>
        <w:t>Sidelink feedback to the gNB</w:t>
      </w:r>
    </w:p>
    <w:p w14:paraId="1B5F7311" w14:textId="394E0DFD" w:rsidR="00FA0C75" w:rsidRDefault="00FA0C75" w:rsidP="00FA0C75">
      <w:pPr>
        <w:pStyle w:val="Heading2"/>
      </w:pPr>
      <w:r>
        <w:t>HARQ feedback</w:t>
      </w:r>
    </w:p>
    <w:p w14:paraId="64F3C77D" w14:textId="222DF9AE" w:rsidR="000D3C6F" w:rsidRDefault="00FA0C75" w:rsidP="00FA0C75">
      <w:r>
        <w:t xml:space="preserve">RAN1 agreed that sidelink HARQ feedback was sent </w:t>
      </w:r>
      <w:r w:rsidR="00A13079">
        <w:t xml:space="preserve">from </w:t>
      </w:r>
      <w:r>
        <w:t>the transmitte</w:t>
      </w:r>
      <w:r w:rsidR="00A13079">
        <w:t>r</w:t>
      </w:r>
      <w:r>
        <w:t xml:space="preserve"> UE to the gNB. Thus, a mechanism to convey HARQ feedback from the transmitter UE to the gNB needs to be defined</w:t>
      </w:r>
      <w:r w:rsidR="000D3C6F">
        <w:t xml:space="preserve"> to support the configuration shown in Figure 1</w:t>
      </w:r>
      <w:r>
        <w:t>.</w:t>
      </w:r>
    </w:p>
    <w:p w14:paraId="37270DDE" w14:textId="77777777" w:rsidR="000D3C6F" w:rsidRDefault="000D3C6F" w:rsidP="000D3C6F">
      <w:pPr>
        <w:pStyle w:val="Caption"/>
        <w:keepNext/>
      </w:pPr>
      <w:r>
        <w:rPr>
          <w:noProof/>
        </w:rPr>
        <w:drawing>
          <wp:inline distT="0" distB="0" distL="0" distR="0" wp14:anchorId="3448F704" wp14:editId="5D61D93D">
            <wp:extent cx="4443730" cy="2374625"/>
            <wp:effectExtent l="0" t="0" r="0" b="698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8493" cy="2387858"/>
                    </a:xfrm>
                    <a:prstGeom prst="rect">
                      <a:avLst/>
                    </a:prstGeom>
                    <a:noFill/>
                  </pic:spPr>
                </pic:pic>
              </a:graphicData>
            </a:graphic>
          </wp:inline>
        </w:drawing>
      </w:r>
    </w:p>
    <w:p w14:paraId="5CCEBF9C" w14:textId="0F50E14E" w:rsidR="000D3C6F" w:rsidRDefault="000D3C6F" w:rsidP="000D3C6F">
      <w:pPr>
        <w:pStyle w:val="Caption"/>
      </w:pPr>
      <w:r>
        <w:t xml:space="preserve">Figure </w:t>
      </w:r>
      <w:fldSimple w:instr=" SEQ Figure \* ARABIC ">
        <w:r>
          <w:rPr>
            <w:noProof/>
          </w:rPr>
          <w:t>1</w:t>
        </w:r>
      </w:fldSimple>
      <w:r>
        <w:t>. Mode-1 operation</w:t>
      </w:r>
    </w:p>
    <w:p w14:paraId="5BB7EB30" w14:textId="77777777" w:rsidR="000D3C6F" w:rsidRDefault="000D3C6F" w:rsidP="00FA0C75"/>
    <w:p w14:paraId="027B641A" w14:textId="0299A768" w:rsidR="00FA0C75" w:rsidRDefault="00FA0C75" w:rsidP="00FA0C75">
      <w:r>
        <w:t xml:space="preserve"> Several possibilities can be derived:</w:t>
      </w:r>
    </w:p>
    <w:p w14:paraId="6CCA0E94" w14:textId="30574179" w:rsidR="00FA0C75" w:rsidRPr="00562B1C" w:rsidRDefault="00FA0C75" w:rsidP="00FA0C75">
      <w:pPr>
        <w:pStyle w:val="ListParagraph"/>
        <w:numPr>
          <w:ilvl w:val="0"/>
          <w:numId w:val="21"/>
        </w:numPr>
        <w:rPr>
          <w:rFonts w:ascii="Times New Roman" w:hAnsi="Times New Roman"/>
        </w:rPr>
      </w:pPr>
      <w:r w:rsidRPr="00562B1C">
        <w:rPr>
          <w:rFonts w:ascii="Times New Roman" w:hAnsi="Times New Roman"/>
        </w:rPr>
        <w:lastRenderedPageBreak/>
        <w:t xml:space="preserve">Option 1: use of the </w:t>
      </w:r>
      <w:r w:rsidR="00EA6185" w:rsidRPr="00562B1C">
        <w:rPr>
          <w:rFonts w:ascii="Times New Roman" w:hAnsi="Times New Roman"/>
        </w:rPr>
        <w:t>PUSCH. The DCI or configured grant received by the transmitter UE contains a resource allocation for a PUSCH to transmit HARQ feedback</w:t>
      </w:r>
    </w:p>
    <w:p w14:paraId="1E777BA7" w14:textId="54EDD18C" w:rsidR="00EA6185" w:rsidRPr="00562B1C" w:rsidRDefault="00EA6185" w:rsidP="00FA0C75">
      <w:pPr>
        <w:pStyle w:val="ListParagraph"/>
        <w:numPr>
          <w:ilvl w:val="0"/>
          <w:numId w:val="21"/>
        </w:numPr>
        <w:rPr>
          <w:rFonts w:ascii="Times New Roman" w:hAnsi="Times New Roman"/>
        </w:rPr>
      </w:pPr>
      <w:r w:rsidRPr="00562B1C">
        <w:rPr>
          <w:rFonts w:ascii="Times New Roman" w:hAnsi="Times New Roman"/>
        </w:rPr>
        <w:t>Option 2: use of the PUCCH.</w:t>
      </w:r>
      <w:r w:rsidR="00562B1C" w:rsidRPr="00562B1C">
        <w:rPr>
          <w:rFonts w:ascii="Times New Roman" w:hAnsi="Times New Roman"/>
        </w:rPr>
        <w:t xml:space="preserve"> Sidelink HARQ feedback can be carried on the PUCCH in a similar manner than Uu HARQ </w:t>
      </w:r>
      <w:r w:rsidR="00562B1C" w:rsidRPr="00A13079">
        <w:rPr>
          <w:rFonts w:ascii="Times New Roman" w:hAnsi="Times New Roman"/>
        </w:rPr>
        <w:t>fee</w:t>
      </w:r>
      <w:r w:rsidR="00A13079">
        <w:rPr>
          <w:rFonts w:ascii="Times New Roman" w:hAnsi="Times New Roman"/>
        </w:rPr>
        <w:t>db</w:t>
      </w:r>
      <w:r w:rsidR="00562B1C" w:rsidRPr="00A13079">
        <w:rPr>
          <w:rFonts w:ascii="Times New Roman" w:hAnsi="Times New Roman"/>
        </w:rPr>
        <w:t>ack</w:t>
      </w:r>
      <w:r w:rsidR="00562B1C" w:rsidRPr="00562B1C">
        <w:rPr>
          <w:rFonts w:ascii="Times New Roman" w:hAnsi="Times New Roman"/>
        </w:rPr>
        <w:t xml:space="preserve"> is transmitted</w:t>
      </w:r>
    </w:p>
    <w:p w14:paraId="46BBAA66" w14:textId="3FFA6F1C" w:rsidR="00562B1C" w:rsidRPr="00562B1C" w:rsidRDefault="00562B1C" w:rsidP="00FA0C75">
      <w:pPr>
        <w:pStyle w:val="ListParagraph"/>
        <w:numPr>
          <w:ilvl w:val="0"/>
          <w:numId w:val="21"/>
        </w:numPr>
        <w:rPr>
          <w:rFonts w:ascii="Times New Roman" w:hAnsi="Times New Roman"/>
        </w:rPr>
      </w:pPr>
      <w:r w:rsidRPr="00562B1C">
        <w:rPr>
          <w:rFonts w:ascii="Times New Roman" w:hAnsi="Times New Roman"/>
        </w:rPr>
        <w:t>Option 3: definition of a new control channel to send sidelink feedback to the gNB</w:t>
      </w:r>
    </w:p>
    <w:p w14:paraId="05855473" w14:textId="58D0419B" w:rsidR="00562B1C" w:rsidRDefault="00562B1C" w:rsidP="00562B1C">
      <w:r>
        <w:t xml:space="preserve">Option 1 requires the minimum amount of specification work. However, it requires significant overhead since the sidelink feedback is only a handful of bits. Thus, this solution does not appear to be attractive. Option 3, on the other hand, would limit overhead to the minimum since the channel can be designed to carry the sidelink feedback in the most efficient manner. However, the standardization work is </w:t>
      </w:r>
      <w:r w:rsidR="00A13079">
        <w:t>expected to be significant</w:t>
      </w:r>
      <w:r>
        <w:t xml:space="preserve">. Option 2 is a good compromise: given that the sidelink HARQ feedback is not that different than the Uu sidelink feedback, the PUCCH can carry the sidelink feedback in an effective manner. There is some specification work needed to standardize how to send the sidelink feedback, the multiplexing rules with HARQ Uu feedback, the priority rules, if needed, etc. However, </w:t>
      </w:r>
      <w:r w:rsidR="00E64DF8">
        <w:t>this is a problem that RAN1 has tackled multiple times in the past (e.g., LTE TDD support, carrier aggregation), and the principles used in the past can be adopted for sidelink feedback, thus making the standardization effort manageable. Consequently, we propose the following:</w:t>
      </w:r>
    </w:p>
    <w:p w14:paraId="5A416EB5" w14:textId="5DE145C2" w:rsidR="00E64DF8" w:rsidRDefault="00E64DF8" w:rsidP="00562B1C">
      <w:pPr>
        <w:rPr>
          <w:b/>
          <w:i/>
        </w:rPr>
      </w:pPr>
      <w:r w:rsidRPr="00E64DF8">
        <w:rPr>
          <w:b/>
          <w:i/>
        </w:rPr>
        <w:t>Proposal 1: Sidelink HARQ feedback is sent by the transmitter UE to the gNB using the PUCCH.</w:t>
      </w:r>
    </w:p>
    <w:p w14:paraId="263E19DD" w14:textId="77777777" w:rsidR="00CE6FD9" w:rsidRPr="00E64DF8" w:rsidRDefault="00CE6FD9" w:rsidP="00562B1C">
      <w:pPr>
        <w:rPr>
          <w:b/>
          <w:i/>
        </w:rPr>
      </w:pPr>
    </w:p>
    <w:p w14:paraId="177CB693" w14:textId="6CEC347F" w:rsidR="00E64DF8" w:rsidRDefault="00E912C1" w:rsidP="00E64DF8">
      <w:pPr>
        <w:pStyle w:val="Heading2"/>
      </w:pPr>
      <w:r>
        <w:t>Scheduling</w:t>
      </w:r>
      <w:r w:rsidR="00E64DF8">
        <w:t xml:space="preserve"> Request feedback</w:t>
      </w:r>
    </w:p>
    <w:p w14:paraId="30F79136" w14:textId="42A58B68" w:rsidR="00E64DF8" w:rsidRDefault="00E64DF8" w:rsidP="00E64DF8">
      <w:r>
        <w:t>The resource allocation process on LTE sidelink is time consuming, as explained in R1-1906935: in order to get a scheduled sidelink transmission, a UE has first to request UL resources (using an UL SR), then has to get granted PUSCH res</w:t>
      </w:r>
      <w:r w:rsidR="00E912C1">
        <w:t>ources. It can then transmit its SL SR. As shown in R1-1906935, this time-consuming procedure cannot meet the stringiest NR latency requirements. Note that this issue was already discussed for LTE (e.g., in R1-162122). However, given that the LTE latency requirements are looser than for NR, it was not considered necessary to standardize a faster SR procedure.</w:t>
      </w:r>
    </w:p>
    <w:p w14:paraId="63E1F447" w14:textId="72C53D8D" w:rsidR="002F0BF1" w:rsidRDefault="002F0BF1" w:rsidP="00E64DF8">
      <w:r>
        <w:t>A simple solution to reduce the latency is to send the SR using physical layer channels. The problem and solutions are somewhat similar than the ones described in Section 2.1. Similarly, using the PUCCH for SR feedback appears to be the best option.</w:t>
      </w:r>
    </w:p>
    <w:p w14:paraId="13D74063" w14:textId="5A7CD159" w:rsidR="002F0BF1" w:rsidRDefault="002F0BF1" w:rsidP="00E64DF8">
      <w:pPr>
        <w:rPr>
          <w:b/>
          <w:i/>
        </w:rPr>
      </w:pPr>
      <w:r w:rsidRPr="002F0BF1">
        <w:rPr>
          <w:b/>
          <w:i/>
        </w:rPr>
        <w:t>Proposal 2: Sidelink SR is sent</w:t>
      </w:r>
      <w:r w:rsidRPr="00E64DF8">
        <w:rPr>
          <w:b/>
          <w:i/>
        </w:rPr>
        <w:t xml:space="preserve"> by the transmitter UE to the gNB using the PUCCH.</w:t>
      </w:r>
    </w:p>
    <w:p w14:paraId="017824D1" w14:textId="77777777" w:rsidR="00E209A6" w:rsidRDefault="00E209A6" w:rsidP="00E64DF8"/>
    <w:p w14:paraId="65F2AAC8" w14:textId="31027FB7" w:rsidR="00CF4191" w:rsidRDefault="00A43759" w:rsidP="00750CEE">
      <w:pPr>
        <w:pStyle w:val="Heading1"/>
      </w:pPr>
      <w:r>
        <w:t>DCI design and principles</w:t>
      </w:r>
    </w:p>
    <w:p w14:paraId="0447DDF3" w14:textId="2B80617F" w:rsidR="00A43759" w:rsidRDefault="00E02B20" w:rsidP="00750CEE">
      <w:r>
        <w:t>RAN1 has agreed that the DCI carries resources for the PSSCH and PSCCH. It is early to decide on the exact DCI content, since many design decisions have yet to be taken by RAN1. However, some general principles and guidelines can be defined.</w:t>
      </w:r>
    </w:p>
    <w:p w14:paraId="772908DE" w14:textId="1DB609A2" w:rsidR="00E02B20" w:rsidRDefault="004F54C6" w:rsidP="004F54C6">
      <w:pPr>
        <w:pStyle w:val="Heading2"/>
      </w:pPr>
      <w:r>
        <w:t>DCI size</w:t>
      </w:r>
    </w:p>
    <w:p w14:paraId="6B9C5AAC" w14:textId="6DEFDB3C" w:rsidR="004F54C6" w:rsidRDefault="004F54C6" w:rsidP="004F54C6">
      <w:r>
        <w:t>For LTE, sidelink V2X transmissions are scheduled using DCI format 5A. DCI format 5A was designed to be the same size as DCI format 0. This way, a UE transmitting on the sidelink does not have to monitor an additional DCI size.</w:t>
      </w:r>
    </w:p>
    <w:p w14:paraId="25BA86DB" w14:textId="6A5EDEB9" w:rsidR="004F54C6" w:rsidRDefault="004F54C6" w:rsidP="004F54C6">
      <w:r>
        <w:t>For NR, it should be possible to reuse a similar design principle. The V2X DCI(s) should be designed in such a way that they are the same size as an existing NR DCI. Padding should be used, if necessary. While it is too early to decide what the V2X DCI size should be, using the size of DCI 0_0 (ideally), or 0_1 should be possible. In order to differentiate the V2X DCI from other DCIs of the same size, the CRC can be scrambled with a SL-RNTI in a similar manner than what is done for LTE.</w:t>
      </w:r>
    </w:p>
    <w:p w14:paraId="54933C91" w14:textId="1FBA0E32" w:rsidR="004F54C6" w:rsidRPr="00D14FDD" w:rsidRDefault="004F54C6" w:rsidP="004F54C6">
      <w:pPr>
        <w:rPr>
          <w:b/>
          <w:i/>
        </w:rPr>
      </w:pPr>
      <w:r w:rsidRPr="00D14FDD">
        <w:rPr>
          <w:b/>
          <w:i/>
        </w:rPr>
        <w:t xml:space="preserve">Proposal 3: </w:t>
      </w:r>
    </w:p>
    <w:p w14:paraId="3FBF5DF8" w14:textId="74C20914" w:rsidR="004F54C6" w:rsidRPr="00D14FDD" w:rsidRDefault="004F54C6" w:rsidP="004F54C6">
      <w:pPr>
        <w:pStyle w:val="ListParagraph"/>
        <w:numPr>
          <w:ilvl w:val="0"/>
          <w:numId w:val="22"/>
        </w:numPr>
        <w:rPr>
          <w:rFonts w:ascii="Times New Roman" w:hAnsi="Times New Roman"/>
          <w:b/>
          <w:i/>
        </w:rPr>
      </w:pPr>
      <w:r w:rsidRPr="00D14FDD">
        <w:rPr>
          <w:rFonts w:ascii="Times New Roman" w:hAnsi="Times New Roman"/>
          <w:b/>
          <w:i/>
        </w:rPr>
        <w:t>The V2X DCI siz</w:t>
      </w:r>
      <w:r w:rsidR="00D14FDD" w:rsidRPr="00D14FDD">
        <w:rPr>
          <w:rFonts w:ascii="Times New Roman" w:hAnsi="Times New Roman"/>
          <w:b/>
          <w:i/>
        </w:rPr>
        <w:t>e is the same as an existing NR DCI</w:t>
      </w:r>
    </w:p>
    <w:p w14:paraId="52E33734" w14:textId="49068859" w:rsidR="00D14FDD" w:rsidRDefault="00D14FDD" w:rsidP="004F54C6">
      <w:pPr>
        <w:pStyle w:val="ListParagraph"/>
        <w:numPr>
          <w:ilvl w:val="0"/>
          <w:numId w:val="22"/>
        </w:numPr>
        <w:rPr>
          <w:rFonts w:ascii="Times New Roman" w:hAnsi="Times New Roman"/>
          <w:b/>
          <w:i/>
        </w:rPr>
      </w:pPr>
      <w:r w:rsidRPr="00D14FDD">
        <w:rPr>
          <w:rFonts w:ascii="Times New Roman" w:hAnsi="Times New Roman"/>
          <w:b/>
          <w:i/>
        </w:rPr>
        <w:t>The V2C DCI CRC is scrambled by an SL-RNTI</w:t>
      </w:r>
    </w:p>
    <w:p w14:paraId="1AA99B82" w14:textId="77777777" w:rsidR="00CE6FD9" w:rsidRPr="00CE6FD9" w:rsidRDefault="00CE6FD9" w:rsidP="00CE6FD9">
      <w:pPr>
        <w:rPr>
          <w:b/>
          <w:i/>
        </w:rPr>
      </w:pPr>
    </w:p>
    <w:p w14:paraId="2BE23DA8" w14:textId="45510E32" w:rsidR="00D14FDD" w:rsidRDefault="00FC1468" w:rsidP="00FC1468">
      <w:pPr>
        <w:pStyle w:val="Heading2"/>
      </w:pPr>
      <w:r>
        <w:t>Cross-carrier scheduling</w:t>
      </w:r>
    </w:p>
    <w:p w14:paraId="519A6BFB" w14:textId="4871B664" w:rsidR="00FC1468" w:rsidRDefault="00FC1468" w:rsidP="00FC1468">
      <w:r>
        <w:t xml:space="preserve">One aspect to decide is whether cross carrier scheduling is defined for mode-1. From a practical deployment perspective, it seems that the scenarios of </w:t>
      </w:r>
      <w:r w:rsidRPr="00A13079">
        <w:t xml:space="preserve">Figure </w:t>
      </w:r>
      <w:r w:rsidR="00A13079">
        <w:t>2</w:t>
      </w:r>
      <w:r>
        <w:t xml:space="preserve"> can are beneficial:</w:t>
      </w:r>
    </w:p>
    <w:p w14:paraId="0A01478B" w14:textId="1E2531F6" w:rsidR="00FC1468" w:rsidRPr="005F6672" w:rsidRDefault="00FC1468" w:rsidP="00FC1468">
      <w:pPr>
        <w:pStyle w:val="ListParagraph"/>
        <w:numPr>
          <w:ilvl w:val="0"/>
          <w:numId w:val="23"/>
        </w:numPr>
        <w:rPr>
          <w:rFonts w:ascii="Times New Roman" w:hAnsi="Times New Roman"/>
        </w:rPr>
      </w:pPr>
      <w:r w:rsidRPr="005F6672">
        <w:rPr>
          <w:rFonts w:ascii="Times New Roman" w:hAnsi="Times New Roman"/>
        </w:rPr>
        <w:t>Scenario 1: a shared carrier, where some resources are reserved for UL transmission, and other resources are reserved for SL transmission</w:t>
      </w:r>
    </w:p>
    <w:p w14:paraId="13FA7440" w14:textId="614DCE03" w:rsidR="00FC1468" w:rsidRDefault="00FC1468" w:rsidP="00FC1468">
      <w:pPr>
        <w:pStyle w:val="ListParagraph"/>
        <w:numPr>
          <w:ilvl w:val="0"/>
          <w:numId w:val="23"/>
        </w:numPr>
        <w:rPr>
          <w:rFonts w:ascii="Times New Roman" w:hAnsi="Times New Roman"/>
        </w:rPr>
      </w:pPr>
      <w:r w:rsidRPr="005F6672">
        <w:rPr>
          <w:rFonts w:ascii="Times New Roman" w:hAnsi="Times New Roman"/>
        </w:rPr>
        <w:t>Scenario 2: two independent carriers: one Uu and one SL. The control information for SL is sent on the Uu carrier, and SL data transmission happens on the SL carrier.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6"/>
        <w:gridCol w:w="4541"/>
      </w:tblGrid>
      <w:tr w:rsidR="008C33BC" w14:paraId="2D3AA114" w14:textId="77777777" w:rsidTr="008C33BC">
        <w:tc>
          <w:tcPr>
            <w:tcW w:w="4653" w:type="dxa"/>
            <w:vAlign w:val="center"/>
          </w:tcPr>
          <w:p w14:paraId="5CC40A7D" w14:textId="64435C56" w:rsidR="005F6672" w:rsidRDefault="008C33BC" w:rsidP="005F6672">
            <w:r>
              <w:rPr>
                <w:noProof/>
              </w:rPr>
              <w:drawing>
                <wp:inline distT="0" distB="0" distL="0" distR="0" wp14:anchorId="7578ED06" wp14:editId="748B3D9E">
                  <wp:extent cx="2895600" cy="422713"/>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2441" cy="429551"/>
                          </a:xfrm>
                          <a:prstGeom prst="rect">
                            <a:avLst/>
                          </a:prstGeom>
                          <a:noFill/>
                        </pic:spPr>
                      </pic:pic>
                    </a:graphicData>
                  </a:graphic>
                </wp:inline>
              </w:drawing>
            </w:r>
          </w:p>
        </w:tc>
        <w:tc>
          <w:tcPr>
            <w:tcW w:w="4654" w:type="dxa"/>
            <w:vAlign w:val="center"/>
          </w:tcPr>
          <w:p w14:paraId="67D338E5" w14:textId="6DD38D20" w:rsidR="005F6672" w:rsidRDefault="008C33BC" w:rsidP="005F6672">
            <w:r>
              <w:rPr>
                <w:noProof/>
              </w:rPr>
              <w:drawing>
                <wp:inline distT="0" distB="0" distL="0" distR="0" wp14:anchorId="4AB76D8E" wp14:editId="55C6A004">
                  <wp:extent cx="2708275" cy="1400634"/>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13697" cy="1403438"/>
                          </a:xfrm>
                          <a:prstGeom prst="rect">
                            <a:avLst/>
                          </a:prstGeom>
                          <a:noFill/>
                        </pic:spPr>
                      </pic:pic>
                    </a:graphicData>
                  </a:graphic>
                </wp:inline>
              </w:drawing>
            </w:r>
          </w:p>
        </w:tc>
      </w:tr>
      <w:tr w:rsidR="008C33BC" w14:paraId="78D1AC10" w14:textId="77777777" w:rsidTr="008C33BC">
        <w:tc>
          <w:tcPr>
            <w:tcW w:w="4653" w:type="dxa"/>
            <w:vAlign w:val="center"/>
          </w:tcPr>
          <w:p w14:paraId="3D4247B8" w14:textId="19CC8A74" w:rsidR="005F6672" w:rsidRDefault="008C33BC" w:rsidP="005F6672">
            <w:r>
              <w:t>(1) Shared carrier</w:t>
            </w:r>
          </w:p>
        </w:tc>
        <w:tc>
          <w:tcPr>
            <w:tcW w:w="4654" w:type="dxa"/>
            <w:vAlign w:val="center"/>
          </w:tcPr>
          <w:p w14:paraId="32C63450" w14:textId="5519B12C" w:rsidR="005F6672" w:rsidRDefault="008C33BC" w:rsidP="008C33BC">
            <w:pPr>
              <w:keepNext/>
            </w:pPr>
            <w:r>
              <w:t>(2) Dedicated carrier</w:t>
            </w:r>
          </w:p>
        </w:tc>
      </w:tr>
    </w:tbl>
    <w:p w14:paraId="00E544BA" w14:textId="0DBC8406" w:rsidR="005F6672" w:rsidRDefault="008C33BC" w:rsidP="008C33BC">
      <w:pPr>
        <w:pStyle w:val="Caption"/>
      </w:pPr>
      <w:r>
        <w:t xml:space="preserve">Figure </w:t>
      </w:r>
      <w:fldSimple w:instr=" SEQ Figure \* ARABIC ">
        <w:r w:rsidR="000D3C6F">
          <w:rPr>
            <w:noProof/>
          </w:rPr>
          <w:t>2</w:t>
        </w:r>
      </w:fldSimple>
      <w:r>
        <w:t>. Deployment scenarios</w:t>
      </w:r>
    </w:p>
    <w:p w14:paraId="70E2B012" w14:textId="4389A284" w:rsidR="005F6672" w:rsidRDefault="005F6672" w:rsidP="005F6672"/>
    <w:p w14:paraId="122C8516" w14:textId="50FA5C61" w:rsidR="005F6672" w:rsidRDefault="005F6672" w:rsidP="005F6672"/>
    <w:p w14:paraId="2FB6E8B4" w14:textId="77777777" w:rsidR="005F6672" w:rsidRPr="005F6672" w:rsidRDefault="005F6672" w:rsidP="005F6672"/>
    <w:p w14:paraId="71B611A7" w14:textId="16671106" w:rsidR="00FC1468" w:rsidRDefault="00FC1468" w:rsidP="00FC1468">
      <w:r>
        <w:t>There might be cases where both a shared and a dedicated carrier are available, thus making it necessary to indicate in the DCI if the grant is for the shared or for the dedicated carrier, thus a cross-carrier scheduling indication is needed in the DCI. If such a mechanism is supported, and there is no difficulty in scheduling more than one dedicated (or shared) carrier. Thus, it is beneficial to support cross-carrier scheduling</w:t>
      </w:r>
    </w:p>
    <w:p w14:paraId="0B04D0C6" w14:textId="01A0D371" w:rsidR="00FC1468" w:rsidRDefault="00FC1468" w:rsidP="00FC1468">
      <w:pPr>
        <w:rPr>
          <w:b/>
          <w:i/>
        </w:rPr>
      </w:pPr>
      <w:r w:rsidRPr="00FC1468">
        <w:rPr>
          <w:b/>
          <w:i/>
        </w:rPr>
        <w:t>Proposal 4: cross-carrier scheduling is supported</w:t>
      </w:r>
    </w:p>
    <w:p w14:paraId="11DC3C6B" w14:textId="77777777" w:rsidR="00CE6FD9" w:rsidRPr="00FC1468" w:rsidRDefault="00CE6FD9" w:rsidP="00FC1468">
      <w:pPr>
        <w:rPr>
          <w:b/>
          <w:i/>
        </w:rPr>
      </w:pPr>
    </w:p>
    <w:p w14:paraId="6366546C" w14:textId="225849EB" w:rsidR="00FC1468" w:rsidRDefault="00D83276" w:rsidP="00D83276">
      <w:pPr>
        <w:pStyle w:val="Heading2"/>
      </w:pPr>
      <w:r>
        <w:t>Other fields</w:t>
      </w:r>
    </w:p>
    <w:p w14:paraId="301888E0" w14:textId="58BDF1D6" w:rsidR="00D83276" w:rsidRDefault="00D83276" w:rsidP="00D83276">
      <w:r>
        <w:t>While the exhaustive list of fields will have to be finalized later, the following information needs to be provided for dynamic scheduling:</w:t>
      </w:r>
    </w:p>
    <w:p w14:paraId="09F385B3" w14:textId="4D6F076C" w:rsidR="00D83276" w:rsidRPr="00D438E0" w:rsidRDefault="00D83276" w:rsidP="0031350F">
      <w:pPr>
        <w:pStyle w:val="ListParagraph"/>
        <w:numPr>
          <w:ilvl w:val="0"/>
          <w:numId w:val="24"/>
        </w:numPr>
        <w:jc w:val="both"/>
        <w:rPr>
          <w:rFonts w:ascii="Times New Roman" w:hAnsi="Times New Roman"/>
        </w:rPr>
      </w:pPr>
      <w:r w:rsidRPr="00D438E0">
        <w:rPr>
          <w:rFonts w:ascii="Times New Roman" w:hAnsi="Times New Roman"/>
        </w:rPr>
        <w:t xml:space="preserve">Resource allocation: this should include at least frequency resource allocation for the current slot. It is however more effective to send resource allocation </w:t>
      </w:r>
      <w:r w:rsidRPr="00A13079">
        <w:rPr>
          <w:rFonts w:ascii="Times New Roman" w:hAnsi="Times New Roman"/>
        </w:rPr>
        <w:t>for</w:t>
      </w:r>
      <w:r w:rsidRPr="00D438E0">
        <w:rPr>
          <w:rFonts w:ascii="Times New Roman" w:hAnsi="Times New Roman"/>
        </w:rPr>
        <w:t xml:space="preserve"> multiple slots (e.g., indicating a pattern index, just like for Rel-12 LTE D2D), especially when </w:t>
      </w:r>
      <w:r w:rsidRPr="00A13079">
        <w:rPr>
          <w:rFonts w:ascii="Times New Roman" w:hAnsi="Times New Roman"/>
        </w:rPr>
        <w:t>blind HARQ transmissions</w:t>
      </w:r>
      <w:r w:rsidRPr="00D438E0">
        <w:rPr>
          <w:rFonts w:ascii="Times New Roman" w:hAnsi="Times New Roman"/>
        </w:rPr>
        <w:t xml:space="preserve"> are configured.</w:t>
      </w:r>
    </w:p>
    <w:p w14:paraId="05A24199" w14:textId="377CA60F" w:rsidR="00D83276" w:rsidRPr="00D438E0" w:rsidRDefault="00D83276" w:rsidP="0031350F">
      <w:pPr>
        <w:pStyle w:val="ListParagraph"/>
        <w:numPr>
          <w:ilvl w:val="0"/>
          <w:numId w:val="24"/>
        </w:numPr>
        <w:jc w:val="both"/>
        <w:rPr>
          <w:rFonts w:ascii="Times New Roman" w:hAnsi="Times New Roman"/>
        </w:rPr>
      </w:pPr>
      <w:r w:rsidRPr="00D438E0">
        <w:rPr>
          <w:rFonts w:ascii="Times New Roman" w:hAnsi="Times New Roman"/>
        </w:rPr>
        <w:t>HARQ information (if configured):such as NDI, an</w:t>
      </w:r>
      <w:r w:rsidR="00E273AF">
        <w:rPr>
          <w:rFonts w:ascii="Times New Roman" w:hAnsi="Times New Roman"/>
        </w:rPr>
        <w:t>d</w:t>
      </w:r>
      <w:r w:rsidRPr="00D438E0">
        <w:rPr>
          <w:rFonts w:ascii="Times New Roman" w:hAnsi="Times New Roman"/>
        </w:rPr>
        <w:t xml:space="preserve"> RV</w:t>
      </w:r>
    </w:p>
    <w:p w14:paraId="1A4B0AC3" w14:textId="59E38C5B" w:rsidR="00D83276" w:rsidRPr="00D438E0" w:rsidRDefault="00D83276" w:rsidP="0031350F">
      <w:pPr>
        <w:pStyle w:val="ListParagraph"/>
        <w:numPr>
          <w:ilvl w:val="0"/>
          <w:numId w:val="24"/>
        </w:numPr>
        <w:jc w:val="both"/>
        <w:rPr>
          <w:rFonts w:ascii="Times New Roman" w:hAnsi="Times New Roman"/>
        </w:rPr>
      </w:pPr>
      <w:r w:rsidRPr="00D438E0">
        <w:rPr>
          <w:rFonts w:ascii="Times New Roman" w:hAnsi="Times New Roman"/>
        </w:rPr>
        <w:t>Broadcast, unicast, groupcast indication</w:t>
      </w:r>
      <w:r w:rsidR="002522D8">
        <w:rPr>
          <w:rFonts w:ascii="Times New Roman" w:hAnsi="Times New Roman"/>
        </w:rPr>
        <w:t xml:space="preserve">. Note however that the control messages for broadcast/groupcast/unicast may be different. For instance, a unicast communication requires HARQ and an MCS indication, whereas a broadcast communication does not have HARQ, and may not require MCS in a physical layer: the MCS could be RRC-configured, just like for LTE. For this reason, it may be useful to consider more than one DCI format and match the two DCI sizes. For instance, the smaller DCI could be for broadcast or activation/deactivation, and the bigger DCI for the other communications. Note that one DCI size may be preferred, and may require some padding of the shorter DCI, so that the number of blind decodes is limited. </w:t>
      </w:r>
    </w:p>
    <w:p w14:paraId="74C8B2DD" w14:textId="09EAB3DD" w:rsidR="00D83276" w:rsidRPr="00D438E0" w:rsidRDefault="00D83276" w:rsidP="0031350F">
      <w:pPr>
        <w:pStyle w:val="ListParagraph"/>
        <w:numPr>
          <w:ilvl w:val="0"/>
          <w:numId w:val="24"/>
        </w:numPr>
        <w:jc w:val="both"/>
        <w:rPr>
          <w:rFonts w:ascii="Times New Roman" w:hAnsi="Times New Roman"/>
        </w:rPr>
      </w:pPr>
      <w:r w:rsidRPr="00D438E0">
        <w:rPr>
          <w:rFonts w:ascii="Times New Roman" w:hAnsi="Times New Roman"/>
        </w:rPr>
        <w:t>Source ID/destination ID</w:t>
      </w:r>
    </w:p>
    <w:p w14:paraId="0C02E73A" w14:textId="58F36A70" w:rsidR="00D83276" w:rsidRPr="00D438E0" w:rsidRDefault="00D83276" w:rsidP="0031350F">
      <w:pPr>
        <w:pStyle w:val="ListParagraph"/>
        <w:numPr>
          <w:ilvl w:val="0"/>
          <w:numId w:val="24"/>
        </w:numPr>
        <w:jc w:val="both"/>
        <w:rPr>
          <w:rFonts w:ascii="Times New Roman" w:hAnsi="Times New Roman"/>
        </w:rPr>
      </w:pPr>
      <w:r w:rsidRPr="00D438E0">
        <w:rPr>
          <w:rFonts w:ascii="Times New Roman" w:hAnsi="Times New Roman"/>
        </w:rPr>
        <w:t>Power control indications, as done for DCI format 5</w:t>
      </w:r>
    </w:p>
    <w:p w14:paraId="0D473F5B" w14:textId="30965C59" w:rsidR="00D83276" w:rsidRDefault="00D83276" w:rsidP="00D83276">
      <w:r>
        <w:lastRenderedPageBreak/>
        <w:t>Other field might require more discussion. For instance, it is argued in R1-1907135 that the MCS level could be left up to the UE to decide. The rationale is that the UE is aware of the sidelink conditions, thus can make the decision on its own, without having to rely on the gNB. In addition, it is noted that for LTE, the MCS is (pre-configured) by RRC signaling and not transmitted in the DCI. A similar approach could be used for broadcast for NR. Thus, transmitting the MCS is not necessary in the DCI.</w:t>
      </w:r>
    </w:p>
    <w:p w14:paraId="13618326" w14:textId="715FE7BB" w:rsidR="00D83276" w:rsidRDefault="00D83276" w:rsidP="00D83276">
      <w:pPr>
        <w:rPr>
          <w:b/>
          <w:i/>
        </w:rPr>
      </w:pPr>
      <w:r w:rsidRPr="00D83276">
        <w:rPr>
          <w:b/>
          <w:i/>
        </w:rPr>
        <w:t>Proposal 5: the DCI does not contain MCS information</w:t>
      </w:r>
    </w:p>
    <w:p w14:paraId="53BFD6D0" w14:textId="77777777" w:rsidR="00CE6FD9" w:rsidRPr="00D83276" w:rsidRDefault="00CE6FD9" w:rsidP="00D83276">
      <w:pPr>
        <w:rPr>
          <w:b/>
          <w:i/>
        </w:rPr>
      </w:pPr>
    </w:p>
    <w:p w14:paraId="60461AD5" w14:textId="32E67E32" w:rsidR="00C31215" w:rsidRDefault="00C31215" w:rsidP="00C31215">
      <w:pPr>
        <w:pStyle w:val="Heading2"/>
      </w:pPr>
      <w:r>
        <w:t>Activation of configured grant type-2</w:t>
      </w:r>
    </w:p>
    <w:p w14:paraId="60F69522" w14:textId="0E97DD8C" w:rsidR="00C31215" w:rsidRDefault="00C31215" w:rsidP="00C31215">
      <w:r>
        <w:t>For configured grant type-2, activation/deactivation is done using a DCI. Thus, in theory, there are two ways to activate a CG type-2:</w:t>
      </w:r>
    </w:p>
    <w:p w14:paraId="731AF516" w14:textId="77E77515" w:rsidR="00C31215" w:rsidRPr="00C31215" w:rsidRDefault="00C31215" w:rsidP="00C31215">
      <w:pPr>
        <w:pStyle w:val="ListParagraph"/>
        <w:numPr>
          <w:ilvl w:val="0"/>
          <w:numId w:val="25"/>
        </w:numPr>
        <w:rPr>
          <w:rFonts w:ascii="Times New Roman" w:hAnsi="Times New Roman"/>
        </w:rPr>
      </w:pPr>
      <w:r w:rsidRPr="00C31215">
        <w:rPr>
          <w:rFonts w:ascii="Times New Roman" w:hAnsi="Times New Roman"/>
        </w:rPr>
        <w:t>Option 1: a specific DCI format is designed for activation/deactivation</w:t>
      </w:r>
    </w:p>
    <w:p w14:paraId="69407B49" w14:textId="530D6656" w:rsidR="00C31215" w:rsidRPr="00C31215" w:rsidRDefault="00C31215" w:rsidP="00C31215">
      <w:pPr>
        <w:pStyle w:val="ListParagraph"/>
        <w:numPr>
          <w:ilvl w:val="0"/>
          <w:numId w:val="25"/>
        </w:numPr>
        <w:rPr>
          <w:rFonts w:ascii="Times New Roman" w:hAnsi="Times New Roman"/>
        </w:rPr>
      </w:pPr>
      <w:r w:rsidRPr="00C31215">
        <w:rPr>
          <w:rFonts w:ascii="Times New Roman" w:hAnsi="Times New Roman"/>
        </w:rPr>
        <w:t>Option 2: the same DCI format is designed for dynamic scheduling and CG type-2 activation/deactivation</w:t>
      </w:r>
    </w:p>
    <w:p w14:paraId="441BD353" w14:textId="0B3ACAC5" w:rsidR="00C31215" w:rsidRPr="00E273AF" w:rsidRDefault="00C31215" w:rsidP="00C31215">
      <w:r w:rsidRPr="00E273AF">
        <w:t>Option 1 requires a significantly smaller DCI than option 2. However, as pointed earlier, it is beneficial to have the UE only monitoring a small set of DCI sizes. Thus, we suggest to use DCIs of the same length for dynamic scheduling and activation/deactivation. The DCI format could even be the same, with fields different according to the DCI usage. In order to differentiate between the two DCIs, a different RNTI can be used for dynamic scheduling and activation/deactivation</w:t>
      </w:r>
      <w:r w:rsidR="001D291D">
        <w:t>. Note that as discussed earlier, RAN1 needs to discuss if more than one DCI format is needed, and that the activation/deactivation of a CG type 2 might be matched to the DCI length for a broadcast communication</w:t>
      </w:r>
    </w:p>
    <w:p w14:paraId="77FCA5B8" w14:textId="1EEE1365" w:rsidR="00C31215" w:rsidRPr="00E273AF" w:rsidRDefault="00C31215" w:rsidP="00C31215">
      <w:pPr>
        <w:rPr>
          <w:b/>
          <w:i/>
        </w:rPr>
      </w:pPr>
      <w:r w:rsidRPr="00E273AF">
        <w:rPr>
          <w:b/>
          <w:i/>
        </w:rPr>
        <w:t>Proposal 6:</w:t>
      </w:r>
    </w:p>
    <w:p w14:paraId="7FC6A848" w14:textId="1B271C8E" w:rsidR="001D291D" w:rsidRPr="0031350F" w:rsidRDefault="00C31215" w:rsidP="001D291D">
      <w:pPr>
        <w:pStyle w:val="ListParagraph"/>
        <w:numPr>
          <w:ilvl w:val="0"/>
          <w:numId w:val="26"/>
        </w:numPr>
        <w:rPr>
          <w:rFonts w:ascii="Times New Roman" w:hAnsi="Times New Roman"/>
          <w:b/>
          <w:i/>
        </w:rPr>
      </w:pPr>
      <w:r w:rsidRPr="00E273AF">
        <w:rPr>
          <w:rFonts w:ascii="Times New Roman" w:hAnsi="Times New Roman"/>
          <w:b/>
          <w:i/>
        </w:rPr>
        <w:t xml:space="preserve">The DCI of a configured grant type-2 </w:t>
      </w:r>
      <w:r w:rsidR="001D291D">
        <w:rPr>
          <w:rFonts w:ascii="Times New Roman" w:hAnsi="Times New Roman"/>
          <w:b/>
          <w:i/>
        </w:rPr>
        <w:t>is</w:t>
      </w:r>
      <w:r w:rsidR="001D291D" w:rsidRPr="00E273AF">
        <w:rPr>
          <w:rFonts w:ascii="Times New Roman" w:hAnsi="Times New Roman"/>
          <w:b/>
          <w:i/>
        </w:rPr>
        <w:t xml:space="preserve"> </w:t>
      </w:r>
      <w:r w:rsidRPr="00E273AF">
        <w:rPr>
          <w:rFonts w:ascii="Times New Roman" w:hAnsi="Times New Roman"/>
          <w:b/>
          <w:i/>
        </w:rPr>
        <w:t>the same</w:t>
      </w:r>
      <w:r w:rsidR="001D291D">
        <w:rPr>
          <w:rFonts w:ascii="Times New Roman" w:hAnsi="Times New Roman"/>
          <w:b/>
          <w:i/>
        </w:rPr>
        <w:t xml:space="preserve"> of one DCI for dynamic scheduling</w:t>
      </w:r>
      <w:bookmarkStart w:id="2" w:name="_GoBack"/>
      <w:bookmarkEnd w:id="2"/>
    </w:p>
    <w:p w14:paraId="7C36CA27" w14:textId="5592B024" w:rsidR="00C31215" w:rsidRPr="00E273AF" w:rsidRDefault="00C31215" w:rsidP="00C31215">
      <w:pPr>
        <w:pStyle w:val="ListParagraph"/>
        <w:numPr>
          <w:ilvl w:val="0"/>
          <w:numId w:val="26"/>
        </w:numPr>
        <w:rPr>
          <w:rFonts w:ascii="Times New Roman" w:hAnsi="Times New Roman"/>
          <w:b/>
          <w:i/>
        </w:rPr>
      </w:pPr>
      <w:r w:rsidRPr="00E273AF">
        <w:rPr>
          <w:rFonts w:ascii="Times New Roman" w:hAnsi="Times New Roman"/>
          <w:b/>
          <w:i/>
        </w:rPr>
        <w:t>A different RNTI is used for dynamic scheduling and activation/deactivation</w:t>
      </w:r>
    </w:p>
    <w:p w14:paraId="777C33EF" w14:textId="77777777" w:rsidR="00C31215" w:rsidRPr="00C31215" w:rsidRDefault="00C31215" w:rsidP="00C31215"/>
    <w:p w14:paraId="18B94AA5" w14:textId="4F262795" w:rsidR="00157FC3" w:rsidRPr="00493C77" w:rsidRDefault="00747F48" w:rsidP="00493C77">
      <w:pPr>
        <w:pStyle w:val="Heading1"/>
      </w:pPr>
      <w:bookmarkStart w:id="3" w:name="_Ref129681832"/>
      <w:r w:rsidRPr="00493C77">
        <w:t>Conclusion</w:t>
      </w:r>
      <w:r w:rsidR="006B1FD5" w:rsidRPr="00493C77">
        <w:t>s</w:t>
      </w:r>
    </w:p>
    <w:p w14:paraId="443C99C1" w14:textId="495AC303" w:rsidR="002A0348" w:rsidRDefault="003755E9" w:rsidP="002A0348">
      <w:r>
        <w:t xml:space="preserve">In this contribution, we discussed </w:t>
      </w:r>
      <w:r w:rsidR="00CA6B14">
        <w:t>mode-1 scheduling</w:t>
      </w:r>
      <w:r w:rsidR="002E3F40">
        <w:t>. We propose the following:</w:t>
      </w:r>
    </w:p>
    <w:bookmarkEnd w:id="3"/>
    <w:p w14:paraId="6D5DA463" w14:textId="77777777" w:rsidR="00CA6B14" w:rsidRPr="00E64DF8" w:rsidRDefault="00CA6B14" w:rsidP="00CA6B14">
      <w:pPr>
        <w:rPr>
          <w:b/>
          <w:i/>
        </w:rPr>
      </w:pPr>
      <w:r w:rsidRPr="00E64DF8">
        <w:rPr>
          <w:b/>
          <w:i/>
        </w:rPr>
        <w:t>Proposal 1: Sidelink HARQ feedback is sent by the transmitter UE to the gNB using the PUCCH.</w:t>
      </w:r>
    </w:p>
    <w:p w14:paraId="3C786047" w14:textId="77777777" w:rsidR="00CA6B14" w:rsidRDefault="00CA6B14" w:rsidP="00CA6B14">
      <w:pPr>
        <w:rPr>
          <w:b/>
          <w:i/>
        </w:rPr>
      </w:pPr>
      <w:r w:rsidRPr="002F0BF1">
        <w:rPr>
          <w:b/>
          <w:i/>
        </w:rPr>
        <w:t>Proposal 2: Sidelink SR is sent</w:t>
      </w:r>
      <w:r w:rsidRPr="00E64DF8">
        <w:rPr>
          <w:b/>
          <w:i/>
        </w:rPr>
        <w:t xml:space="preserve"> by the transmitter UE to the gNB using the PUCCH.</w:t>
      </w:r>
    </w:p>
    <w:p w14:paraId="71125670" w14:textId="77777777" w:rsidR="00CA6B14" w:rsidRPr="00D14FDD" w:rsidRDefault="00CA6B14" w:rsidP="00CA6B14">
      <w:pPr>
        <w:rPr>
          <w:b/>
          <w:i/>
        </w:rPr>
      </w:pPr>
      <w:r w:rsidRPr="00D14FDD">
        <w:rPr>
          <w:b/>
          <w:i/>
        </w:rPr>
        <w:t xml:space="preserve">Proposal 3: </w:t>
      </w:r>
    </w:p>
    <w:p w14:paraId="678AEDF0" w14:textId="77777777" w:rsidR="00CA6B14" w:rsidRPr="00D14FDD" w:rsidRDefault="00CA6B14" w:rsidP="00CA6B14">
      <w:pPr>
        <w:pStyle w:val="ListParagraph"/>
        <w:numPr>
          <w:ilvl w:val="0"/>
          <w:numId w:val="22"/>
        </w:numPr>
        <w:rPr>
          <w:rFonts w:ascii="Times New Roman" w:hAnsi="Times New Roman"/>
          <w:b/>
          <w:i/>
        </w:rPr>
      </w:pPr>
      <w:r w:rsidRPr="00D14FDD">
        <w:rPr>
          <w:rFonts w:ascii="Times New Roman" w:hAnsi="Times New Roman"/>
          <w:b/>
          <w:i/>
        </w:rPr>
        <w:t>The V2X DCI size is the same as an existing NR DCI</w:t>
      </w:r>
    </w:p>
    <w:p w14:paraId="57D6F5B7" w14:textId="77777777" w:rsidR="00CA6B14" w:rsidRPr="00D14FDD" w:rsidRDefault="00CA6B14" w:rsidP="00CA6B14">
      <w:pPr>
        <w:pStyle w:val="ListParagraph"/>
        <w:numPr>
          <w:ilvl w:val="0"/>
          <w:numId w:val="22"/>
        </w:numPr>
        <w:rPr>
          <w:rFonts w:ascii="Times New Roman" w:hAnsi="Times New Roman"/>
          <w:b/>
          <w:i/>
        </w:rPr>
      </w:pPr>
      <w:r w:rsidRPr="00D14FDD">
        <w:rPr>
          <w:rFonts w:ascii="Times New Roman" w:hAnsi="Times New Roman"/>
          <w:b/>
          <w:i/>
        </w:rPr>
        <w:t>The V2C DCI CRC is scrambled by an SL-RNTI</w:t>
      </w:r>
    </w:p>
    <w:p w14:paraId="6C9D4C0A" w14:textId="77777777" w:rsidR="00CA6B14" w:rsidRPr="00FC1468" w:rsidRDefault="00CA6B14" w:rsidP="00CA6B14">
      <w:pPr>
        <w:rPr>
          <w:b/>
          <w:i/>
        </w:rPr>
      </w:pPr>
      <w:r w:rsidRPr="00FC1468">
        <w:rPr>
          <w:b/>
          <w:i/>
        </w:rPr>
        <w:t>Proposal 4: cross-carrier scheduling is supported</w:t>
      </w:r>
    </w:p>
    <w:p w14:paraId="697AFE50" w14:textId="77777777" w:rsidR="00CA6B14" w:rsidRPr="00D83276" w:rsidRDefault="00CA6B14" w:rsidP="00CA6B14">
      <w:pPr>
        <w:rPr>
          <w:b/>
          <w:i/>
        </w:rPr>
      </w:pPr>
      <w:r w:rsidRPr="00D83276">
        <w:rPr>
          <w:b/>
          <w:i/>
        </w:rPr>
        <w:t>Proposal 5: the DCI does not contain MCS information</w:t>
      </w:r>
    </w:p>
    <w:p w14:paraId="2E7B2572" w14:textId="77777777" w:rsidR="00CA6B14" w:rsidRPr="00C31215" w:rsidRDefault="00CA6B14" w:rsidP="00CA6B14">
      <w:pPr>
        <w:rPr>
          <w:b/>
          <w:i/>
        </w:rPr>
      </w:pPr>
      <w:r w:rsidRPr="00C31215">
        <w:rPr>
          <w:b/>
          <w:i/>
        </w:rPr>
        <w:t>Proposal 6:</w:t>
      </w:r>
    </w:p>
    <w:p w14:paraId="67937BF5" w14:textId="77777777" w:rsidR="001D291D" w:rsidRPr="004F0BA5" w:rsidRDefault="001D291D" w:rsidP="001D291D">
      <w:pPr>
        <w:pStyle w:val="ListParagraph"/>
        <w:numPr>
          <w:ilvl w:val="0"/>
          <w:numId w:val="26"/>
        </w:numPr>
        <w:rPr>
          <w:rFonts w:ascii="Times New Roman" w:hAnsi="Times New Roman"/>
          <w:b/>
          <w:i/>
        </w:rPr>
      </w:pPr>
      <w:r w:rsidRPr="00E273AF">
        <w:rPr>
          <w:rFonts w:ascii="Times New Roman" w:hAnsi="Times New Roman"/>
          <w:b/>
          <w:i/>
        </w:rPr>
        <w:t xml:space="preserve">The DCI of a configured grant type-2 </w:t>
      </w:r>
      <w:r>
        <w:rPr>
          <w:rFonts w:ascii="Times New Roman" w:hAnsi="Times New Roman"/>
          <w:b/>
          <w:i/>
        </w:rPr>
        <w:t>is</w:t>
      </w:r>
      <w:r w:rsidRPr="00E273AF">
        <w:rPr>
          <w:rFonts w:ascii="Times New Roman" w:hAnsi="Times New Roman"/>
          <w:b/>
          <w:i/>
        </w:rPr>
        <w:t xml:space="preserve"> the same</w:t>
      </w:r>
      <w:r>
        <w:rPr>
          <w:rFonts w:ascii="Times New Roman" w:hAnsi="Times New Roman"/>
          <w:b/>
          <w:i/>
        </w:rPr>
        <w:t xml:space="preserve"> of one DCI for dynamic scheduling</w:t>
      </w:r>
    </w:p>
    <w:p w14:paraId="6788F0C7" w14:textId="77777777" w:rsidR="00CA6B14" w:rsidRPr="00C31215" w:rsidRDefault="00CA6B14" w:rsidP="00CA6B14">
      <w:pPr>
        <w:pStyle w:val="ListParagraph"/>
        <w:numPr>
          <w:ilvl w:val="0"/>
          <w:numId w:val="26"/>
        </w:numPr>
        <w:rPr>
          <w:rFonts w:ascii="Times New Roman" w:hAnsi="Times New Roman"/>
          <w:b/>
          <w:i/>
        </w:rPr>
      </w:pPr>
      <w:r w:rsidRPr="00C31215">
        <w:rPr>
          <w:rFonts w:ascii="Times New Roman" w:hAnsi="Times New Roman"/>
          <w:b/>
          <w:i/>
        </w:rPr>
        <w:t>A different RNTI is used for dynamic scheduling and activation/deactivation</w:t>
      </w:r>
    </w:p>
    <w:p w14:paraId="367CF0F0" w14:textId="7CB0586B" w:rsidR="00F62478" w:rsidRPr="007F5EC6" w:rsidRDefault="00F62478" w:rsidP="00D217DB">
      <w:pPr>
        <w:pStyle w:val="References"/>
        <w:numPr>
          <w:ilvl w:val="0"/>
          <w:numId w:val="0"/>
        </w:numPr>
      </w:pPr>
    </w:p>
    <w:sectPr w:rsidR="00F62478" w:rsidRPr="007F5EC6" w:rsidSect="00DA1C31">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C6F9B7" w16cid:durableId="20FC0448"/>
  <w16cid:commentId w16cid:paraId="1B7EFF12" w16cid:durableId="20FC0601"/>
  <w16cid:commentId w16cid:paraId="70A05320" w16cid:durableId="20FC07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E90C3" w14:textId="77777777" w:rsidR="000601FE" w:rsidRDefault="000601FE">
      <w:r>
        <w:separator/>
      </w:r>
    </w:p>
  </w:endnote>
  <w:endnote w:type="continuationSeparator" w:id="0">
    <w:p w14:paraId="5B70A632" w14:textId="77777777" w:rsidR="000601FE" w:rsidRDefault="0006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5811B" w14:textId="77777777" w:rsidR="000601FE" w:rsidRDefault="000601FE">
      <w:r>
        <w:separator/>
      </w:r>
    </w:p>
  </w:footnote>
  <w:footnote w:type="continuationSeparator" w:id="0">
    <w:p w14:paraId="141DC47A" w14:textId="77777777" w:rsidR="000601FE" w:rsidRDefault="00060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E5C2851"/>
    <w:multiLevelType w:val="hybridMultilevel"/>
    <w:tmpl w:val="BC38256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386984"/>
    <w:multiLevelType w:val="hybridMultilevel"/>
    <w:tmpl w:val="4FBEA3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213512"/>
    <w:multiLevelType w:val="hybridMultilevel"/>
    <w:tmpl w:val="4038F94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F635C9"/>
    <w:multiLevelType w:val="hybridMultilevel"/>
    <w:tmpl w:val="3D3A6B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7"/>
  </w:num>
  <w:num w:numId="4">
    <w:abstractNumId w:val="23"/>
  </w:num>
  <w:num w:numId="5">
    <w:abstractNumId w:val="6"/>
  </w:num>
  <w:num w:numId="6">
    <w:abstractNumId w:val="15"/>
  </w:num>
  <w:num w:numId="7">
    <w:abstractNumId w:val="9"/>
  </w:num>
  <w:num w:numId="8">
    <w:abstractNumId w:val="14"/>
  </w:num>
  <w:num w:numId="9">
    <w:abstractNumId w:val="22"/>
  </w:num>
  <w:num w:numId="10">
    <w:abstractNumId w:val="10"/>
  </w:num>
  <w:num w:numId="11">
    <w:abstractNumId w:val="11"/>
  </w:num>
  <w:num w:numId="12">
    <w:abstractNumId w:val="12"/>
  </w:num>
  <w:num w:numId="13">
    <w:abstractNumId w:val="2"/>
  </w:num>
  <w:num w:numId="14">
    <w:abstractNumId w:val="25"/>
  </w:num>
  <w:num w:numId="15">
    <w:abstractNumId w:val="5"/>
  </w:num>
  <w:num w:numId="16">
    <w:abstractNumId w:val="0"/>
  </w:num>
  <w:num w:numId="17">
    <w:abstractNumId w:val="18"/>
  </w:num>
  <w:num w:numId="18">
    <w:abstractNumId w:val="7"/>
  </w:num>
  <w:num w:numId="19">
    <w:abstractNumId w:val="24"/>
  </w:num>
  <w:num w:numId="20">
    <w:abstractNumId w:val="3"/>
  </w:num>
  <w:num w:numId="21">
    <w:abstractNumId w:val="21"/>
  </w:num>
  <w:num w:numId="22">
    <w:abstractNumId w:val="1"/>
  </w:num>
  <w:num w:numId="23">
    <w:abstractNumId w:val="20"/>
  </w:num>
  <w:num w:numId="24">
    <w:abstractNumId w:val="16"/>
  </w:num>
  <w:num w:numId="25">
    <w:abstractNumId w:val="19"/>
  </w:num>
  <w:num w:numId="2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1FE"/>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490"/>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91D"/>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2D8"/>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D7FAE"/>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50F"/>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E60"/>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9"/>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079"/>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249"/>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4F8"/>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FD9"/>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69B"/>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1B0"/>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3AF"/>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2AB183-1F21-4B1B-9F97-7A0F37EC3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1514</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2019-08-15T18:05:00Z</dcterms:created>
  <dcterms:modified xsi:type="dcterms:W3CDTF">2019-08-15T18:05:00Z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