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16925" w14:textId="5615A658" w:rsidR="00582574" w:rsidRPr="00582574" w:rsidRDefault="00582574" w:rsidP="00582574">
      <w:pPr>
        <w:tabs>
          <w:tab w:val="right" w:pos="9216"/>
        </w:tabs>
        <w:spacing w:after="0"/>
        <w:jc w:val="left"/>
        <w:rPr>
          <w:rFonts w:ascii="Arial" w:hAnsi="Arial" w:cs="Arial"/>
          <w:b/>
          <w:kern w:val="2"/>
          <w:lang w:eastAsia="zh-CN"/>
        </w:rPr>
      </w:pPr>
      <w:r w:rsidRPr="00582574">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B22D6B7" wp14:editId="72940764">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30EC2"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2574">
        <w:rPr>
          <w:rFonts w:ascii="Arial" w:hAnsi="Arial" w:cs="Arial"/>
          <w:b/>
          <w:bCs/>
        </w:rPr>
        <w:t>3GPP TSG RAN WG1 Meeting #98</w:t>
      </w:r>
      <w:r w:rsidRPr="00582574">
        <w:rPr>
          <w:rFonts w:ascii="Arial" w:hAnsi="Arial" w:cs="Arial"/>
          <w:b/>
          <w:kern w:val="2"/>
          <w:lang w:eastAsia="zh-CN"/>
        </w:rPr>
        <w:tab/>
      </w:r>
      <w:r w:rsidRPr="009C61A3">
        <w:rPr>
          <w:rFonts w:ascii="Arial" w:hAnsi="Arial" w:cs="Arial"/>
          <w:b/>
          <w:kern w:val="2"/>
          <w:lang w:eastAsia="zh-CN"/>
        </w:rPr>
        <w:t>R1-19</w:t>
      </w:r>
      <w:r w:rsidR="009C61A3" w:rsidRPr="009C61A3">
        <w:rPr>
          <w:rFonts w:ascii="Arial" w:hAnsi="Arial" w:cs="Arial"/>
          <w:b/>
          <w:kern w:val="2"/>
          <w:lang w:eastAsia="zh-CN"/>
        </w:rPr>
        <w:t>08</w:t>
      </w:r>
      <w:r w:rsidR="009C61A3">
        <w:rPr>
          <w:rFonts w:ascii="Arial" w:hAnsi="Arial" w:cs="Arial"/>
          <w:b/>
          <w:kern w:val="2"/>
          <w:lang w:eastAsia="zh-CN"/>
        </w:rPr>
        <w:t>063</w:t>
      </w:r>
    </w:p>
    <w:p w14:paraId="5BCB8E66" w14:textId="39C1D695" w:rsidR="00582574" w:rsidRPr="00582574" w:rsidRDefault="009B490B" w:rsidP="009B490B">
      <w:pPr>
        <w:tabs>
          <w:tab w:val="right" w:pos="9216"/>
        </w:tabs>
        <w:spacing w:afterLines="50"/>
        <w:jc w:val="left"/>
        <w:rPr>
          <w:rFonts w:ascii="Arial" w:hAnsi="Arial" w:cs="Arial"/>
          <w:b/>
          <w:bCs/>
        </w:rPr>
      </w:pPr>
      <w:r>
        <w:rPr>
          <w:rFonts w:ascii="Arial" w:hAnsi="Arial" w:cs="Arial"/>
          <w:b/>
          <w:bCs/>
        </w:rPr>
        <w:t>Prague, Czech Republic</w:t>
      </w:r>
      <w:r w:rsidR="00582574" w:rsidRPr="00582574">
        <w:rPr>
          <w:rFonts w:ascii="Arial" w:hAnsi="Arial" w:cs="Arial"/>
          <w:b/>
          <w:bCs/>
        </w:rPr>
        <w:t>, August 26</w:t>
      </w:r>
      <w:r w:rsidR="00582574" w:rsidRPr="00582574">
        <w:rPr>
          <w:rFonts w:ascii="Arial" w:hAnsi="Arial" w:cs="Arial"/>
          <w:b/>
          <w:bCs/>
          <w:vertAlign w:val="superscript"/>
        </w:rPr>
        <w:t>th</w:t>
      </w:r>
      <w:r w:rsidR="00582574" w:rsidRPr="00582574">
        <w:rPr>
          <w:rFonts w:ascii="Arial" w:hAnsi="Arial" w:cs="Arial"/>
          <w:b/>
          <w:bCs/>
        </w:rPr>
        <w:t xml:space="preserve"> – 30</w:t>
      </w:r>
      <w:r w:rsidR="00582574" w:rsidRPr="00582574">
        <w:rPr>
          <w:rFonts w:ascii="Arial" w:hAnsi="Arial" w:cs="Arial"/>
          <w:b/>
          <w:bCs/>
          <w:vertAlign w:val="superscript"/>
        </w:rPr>
        <w:t>th</w:t>
      </w:r>
      <w:r w:rsidR="00582574" w:rsidRPr="00582574">
        <w:rPr>
          <w:rFonts w:ascii="Arial" w:hAnsi="Arial" w:cs="Arial"/>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3CF93937"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582574" w:rsidRPr="00582574">
        <w:rPr>
          <w:rFonts w:ascii="Arial" w:hAnsi="Arial" w:cs="Arial"/>
          <w:bCs/>
          <w:lang w:eastAsia="zh-CN"/>
        </w:rPr>
        <w:t>Draft response to LS on maximum value of MDBV</w:t>
      </w:r>
    </w:p>
    <w:p w14:paraId="7ABD72FB" w14:textId="237F6579"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w:t>
      </w:r>
      <w:r w:rsidR="00582574">
        <w:rPr>
          <w:rFonts w:ascii="Arial" w:hAnsi="Arial" w:cs="Arial"/>
          <w:bCs/>
          <w:lang w:eastAsia="zh-CN"/>
        </w:rPr>
        <w:t>907955</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501858E2"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EE25FA">
        <w:rPr>
          <w:rFonts w:ascii="Arial" w:hAnsi="Arial" w:cs="Arial"/>
          <w:bCs/>
        </w:rPr>
        <w:t xml:space="preserve">Huawei </w:t>
      </w:r>
      <w:r>
        <w:rPr>
          <w:rFonts w:ascii="Arial" w:hAnsi="Arial" w:cs="Arial"/>
          <w:bCs/>
        </w:rPr>
        <w:t>[</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48A93E21" w:rsidR="003756D4"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w:t>
      </w:r>
      <w:r w:rsidR="00582574" w:rsidRPr="003756D4">
        <w:rPr>
          <w:rFonts w:ascii="Arial" w:hAnsi="Arial" w:cs="Arial"/>
          <w:bCs/>
          <w:lang w:eastAsia="zh-CN"/>
        </w:rPr>
        <w:t>1</w:t>
      </w:r>
      <w:r w:rsidR="00582574">
        <w:rPr>
          <w:rFonts w:ascii="Arial" w:hAnsi="Arial" w:cs="Arial"/>
          <w:bCs/>
          <w:lang w:eastAsia="zh-CN"/>
        </w:rPr>
        <w:t>907955</w:t>
      </w:r>
      <w:r w:rsidRPr="00934158">
        <w:rPr>
          <w:rFonts w:ascii="Arial" w:hAnsi="Arial" w:cs="Arial"/>
          <w:iCs/>
          <w:lang w:eastAsia="ja-JP"/>
        </w:rPr>
        <w:t xml:space="preserve">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342E6D" w:rsidRPr="00342E6D">
        <w:rPr>
          <w:rFonts w:ascii="Arial" w:hAnsi="Arial" w:cs="Arial"/>
          <w:iCs/>
          <w:lang w:eastAsia="ja-JP"/>
        </w:rPr>
        <w:t xml:space="preserve">SA2 discussed whether </w:t>
      </w:r>
      <w:r w:rsidR="00826E1B">
        <w:rPr>
          <w:rFonts w:ascii="Arial" w:hAnsi="Arial" w:cs="Arial"/>
          <w:iCs/>
          <w:lang w:eastAsia="ja-JP"/>
        </w:rPr>
        <w:t>the current</w:t>
      </w:r>
      <w:r w:rsidR="001640E5">
        <w:rPr>
          <w:rFonts w:ascii="Arial" w:hAnsi="Arial" w:cs="Arial"/>
          <w:iCs/>
          <w:lang w:eastAsia="ja-JP"/>
        </w:rPr>
        <w:t>ly</w:t>
      </w:r>
      <w:r w:rsidR="00342E6D" w:rsidRPr="00342E6D">
        <w:rPr>
          <w:rFonts w:ascii="Arial" w:hAnsi="Arial" w:cs="Arial"/>
          <w:iCs/>
          <w:lang w:eastAsia="ja-JP"/>
        </w:rPr>
        <w:t xml:space="preserve"> documented “typical” values of MDBV</w:t>
      </w:r>
      <w:r w:rsidR="00085084">
        <w:rPr>
          <w:rFonts w:ascii="Arial" w:hAnsi="Arial" w:cs="Arial"/>
          <w:iCs/>
          <w:lang w:eastAsia="ja-JP"/>
        </w:rPr>
        <w:t>(255bytes and 1354bytes)</w:t>
      </w:r>
      <w:r w:rsidR="00342E6D" w:rsidRPr="00342E6D">
        <w:rPr>
          <w:rFonts w:ascii="Arial" w:hAnsi="Arial" w:cs="Arial"/>
          <w:iCs/>
          <w:lang w:eastAsia="ja-JP"/>
        </w:rPr>
        <w:t xml:space="preserve"> for delay critical GBR 5QIs are realistic for the typical bitrates that are supposed to be supported for the “example” services</w:t>
      </w:r>
      <w:r w:rsidR="00342E6D">
        <w:rPr>
          <w:rFonts w:ascii="Arial" w:hAnsi="Arial" w:cs="Arial"/>
          <w:iCs/>
          <w:lang w:eastAsia="ja-JP"/>
        </w:rPr>
        <w:t>, such as, “discrete automation” and “intelligent transportation”,</w:t>
      </w:r>
      <w:r w:rsidR="00342E6D" w:rsidRPr="00342E6D">
        <w:rPr>
          <w:rFonts w:ascii="Arial" w:hAnsi="Arial" w:cs="Arial"/>
          <w:iCs/>
          <w:lang w:eastAsia="ja-JP"/>
        </w:rPr>
        <w:t xml:space="preserve"> and can be delivered by NR (used as part of EN-DC or 5G Core).</w:t>
      </w:r>
      <w:r w:rsidR="00085084" w:rsidRPr="00085084">
        <w:rPr>
          <w:rFonts w:ascii="Arial" w:hAnsi="Arial" w:cs="Arial"/>
          <w:iCs/>
          <w:lang w:eastAsia="ja-JP"/>
        </w:rPr>
        <w:t xml:space="preserve"> </w:t>
      </w:r>
      <w:r w:rsidR="00085084" w:rsidRPr="00342E6D">
        <w:rPr>
          <w:rFonts w:ascii="Arial" w:hAnsi="Arial" w:cs="Arial"/>
          <w:iCs/>
          <w:lang w:eastAsia="ja-JP"/>
        </w:rPr>
        <w:t>SA1 requirements in TS 22.186 for intelligent transportation define  that bitrate can go up to 1000 Mbps</w:t>
      </w:r>
      <w:r w:rsidR="00085084">
        <w:rPr>
          <w:rFonts w:ascii="Arial" w:hAnsi="Arial" w:cs="Arial"/>
          <w:iCs/>
          <w:lang w:eastAsia="ja-JP"/>
        </w:rPr>
        <w:t>.</w:t>
      </w:r>
      <w:r w:rsidR="00085084" w:rsidDel="00924297">
        <w:rPr>
          <w:rFonts w:ascii="Arial" w:hAnsi="Arial" w:cs="Arial"/>
          <w:iCs/>
          <w:lang w:eastAsia="zh-CN"/>
        </w:rPr>
        <w:t xml:space="preserve"> </w:t>
      </w:r>
      <w:r w:rsidR="00085084" w:rsidRPr="00B004E1">
        <w:rPr>
          <w:rFonts w:ascii="Arial" w:hAnsi="Arial" w:cs="Arial"/>
          <w:iCs/>
          <w:lang w:eastAsia="ja-JP"/>
        </w:rPr>
        <w:t xml:space="preserve">In SA2 it was therefore proposed to add 5QIs with larger MDBV values for delay critical GBR 5QIs in order to be able to satisfy QoS requirements for example services. </w:t>
      </w:r>
    </w:p>
    <w:p w14:paraId="2D25BDC2" w14:textId="1CEE5CF7"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r>
      <w:r w:rsidR="00582574" w:rsidRPr="00582574">
        <w:rPr>
          <w:rFonts w:ascii="Arial" w:hAnsi="Arial" w:cs="Arial"/>
          <w:i/>
          <w:sz w:val="22"/>
          <w:szCs w:val="22"/>
          <w:lang w:eastAsia="ko-KR"/>
        </w:rPr>
        <w:t xml:space="preserve">SA2 requests RAN1 and RAN2 to provide information on whether increasing the MDBV by the suggested value of </w:t>
      </w:r>
      <w:r w:rsidR="00582574">
        <w:rPr>
          <w:rFonts w:ascii="Arial" w:hAnsi="Arial" w:cs="Arial"/>
          <w:i/>
          <w:sz w:val="22"/>
          <w:szCs w:val="22"/>
          <w:lang w:eastAsia="ko-KR"/>
        </w:rPr>
        <w:t>500 times (to 127kbytes and 677</w:t>
      </w:r>
      <w:r w:rsidR="00582574" w:rsidRPr="00582574">
        <w:rPr>
          <w:rFonts w:ascii="Arial" w:hAnsi="Arial" w:cs="Arial"/>
          <w:i/>
          <w:sz w:val="22"/>
          <w:szCs w:val="22"/>
          <w:lang w:eastAsia="ko-KR"/>
        </w:rPr>
        <w:t>kbytes for “typical” values) will cause any issues in RAN and if it will, to recommend some “typical” and “maximum”  values of MDBV that can be acceptable to RAN1 and RAN2</w:t>
      </w:r>
      <w:r w:rsidR="00582574">
        <w:rPr>
          <w:rFonts w:ascii="Arial" w:hAnsi="Arial" w:cs="Arial"/>
          <w:i/>
          <w:sz w:val="22"/>
          <w:szCs w:val="22"/>
          <w:lang w:eastAsia="ko-KR"/>
        </w:rPr>
        <w:t>.</w:t>
      </w:r>
      <w:r w:rsidR="00A765E4" w:rsidRPr="00934158">
        <w:rPr>
          <w:rFonts w:ascii="Arial" w:hAnsi="Arial" w:cs="Arial"/>
          <w:i/>
          <w:sz w:val="22"/>
          <w:szCs w:val="22"/>
          <w:lang w:eastAsia="ko-KR"/>
        </w:rPr>
        <w:t xml:space="preserve"> </w:t>
      </w:r>
    </w:p>
    <w:p w14:paraId="19D0A742" w14:textId="1345A069" w:rsidR="004B71B9" w:rsidRDefault="00AE7D9D" w:rsidP="005640C3">
      <w:pPr>
        <w:pStyle w:val="B1"/>
        <w:ind w:left="0" w:hanging="14"/>
        <w:jc w:val="both"/>
        <w:rPr>
          <w:rFonts w:ascii="Arial" w:eastAsiaTheme="minorEastAsia" w:hAnsi="Arial" w:cs="Arial"/>
          <w:sz w:val="22"/>
          <w:szCs w:val="22"/>
          <w:lang w:val="en-US" w:eastAsia="zh-CN"/>
        </w:rPr>
      </w:pPr>
      <w:r w:rsidRPr="00934158">
        <w:rPr>
          <w:rFonts w:ascii="Arial" w:hAnsi="Arial" w:cs="Arial"/>
          <w:sz w:val="22"/>
          <w:szCs w:val="22"/>
          <w:lang w:eastAsia="ko-KR"/>
        </w:rPr>
        <w:t>For the question from SA2</w:t>
      </w:r>
      <w:r w:rsidR="003756D4" w:rsidRPr="00934158">
        <w:rPr>
          <w:rFonts w:ascii="Arial" w:hAnsi="Arial" w:cs="Arial"/>
          <w:sz w:val="22"/>
          <w:szCs w:val="22"/>
          <w:lang w:eastAsia="ko-KR"/>
        </w:rPr>
        <w:t xml:space="preserve">, </w:t>
      </w:r>
      <w:r w:rsidR="00CF5CAB">
        <w:rPr>
          <w:rFonts w:ascii="Arial" w:hAnsi="Arial" w:cs="Arial"/>
          <w:sz w:val="22"/>
          <w:szCs w:val="22"/>
          <w:lang w:eastAsia="ko-KR"/>
        </w:rPr>
        <w:t xml:space="preserve"> </w:t>
      </w:r>
      <w:r w:rsidR="005640C3">
        <w:rPr>
          <w:rFonts w:ascii="Arial" w:eastAsiaTheme="minorEastAsia" w:hAnsi="Arial" w:cs="Arial"/>
          <w:sz w:val="22"/>
          <w:szCs w:val="22"/>
          <w:lang w:val="en-US" w:eastAsia="zh-CN"/>
        </w:rPr>
        <w:t>b</w:t>
      </w:r>
      <w:r w:rsidR="004B71B9">
        <w:rPr>
          <w:rFonts w:ascii="Arial" w:eastAsiaTheme="minorEastAsia" w:hAnsi="Arial" w:cs="Arial" w:hint="eastAsia"/>
          <w:sz w:val="22"/>
          <w:szCs w:val="22"/>
          <w:lang w:val="en-US" w:eastAsia="zh-CN"/>
        </w:rPr>
        <w:t>ased</w:t>
      </w:r>
      <w:r w:rsidR="004B71B9">
        <w:rPr>
          <w:rFonts w:ascii="Arial" w:eastAsiaTheme="minorEastAsia" w:hAnsi="Arial" w:cs="Arial"/>
          <w:sz w:val="22"/>
          <w:szCs w:val="22"/>
          <w:lang w:val="en-US" w:eastAsia="zh-CN"/>
        </w:rPr>
        <w:t xml:space="preserve"> on evaluation results assuming</w:t>
      </w:r>
      <w:r w:rsidR="00FA5679">
        <w:rPr>
          <w:rFonts w:ascii="Arial" w:eastAsiaTheme="minorEastAsia" w:hAnsi="Arial" w:cs="Arial" w:hint="eastAsia"/>
          <w:sz w:val="22"/>
          <w:szCs w:val="22"/>
          <w:lang w:val="en-US" w:eastAsia="zh-CN"/>
        </w:rPr>
        <w:t xml:space="preserve"> </w:t>
      </w:r>
      <w:r w:rsidR="004B71B9">
        <w:rPr>
          <w:rFonts w:ascii="Arial" w:eastAsiaTheme="minorEastAsia" w:hAnsi="Arial" w:cs="Arial"/>
          <w:sz w:val="22"/>
          <w:szCs w:val="22"/>
          <w:lang w:val="en-US" w:eastAsia="zh-CN"/>
        </w:rPr>
        <w:t xml:space="preserve">air interface latency </w:t>
      </w:r>
      <w:r w:rsidR="00FA5679">
        <w:rPr>
          <w:rFonts w:ascii="Arial" w:eastAsiaTheme="minorEastAsia" w:hAnsi="Arial" w:cs="Arial"/>
          <w:sz w:val="22"/>
          <w:szCs w:val="22"/>
          <w:lang w:val="en-US" w:eastAsia="zh-CN"/>
        </w:rPr>
        <w:t xml:space="preserve">as </w:t>
      </w:r>
      <w:r w:rsidR="004B71B9">
        <w:rPr>
          <w:rFonts w:ascii="Arial" w:eastAsiaTheme="minorEastAsia" w:hAnsi="Arial" w:cs="Arial"/>
          <w:sz w:val="22"/>
          <w:szCs w:val="22"/>
          <w:lang w:val="en-US" w:eastAsia="zh-CN"/>
        </w:rPr>
        <w:t>25ms</w:t>
      </w:r>
      <w:r w:rsidR="00615E36">
        <w:rPr>
          <w:rFonts w:ascii="Arial" w:eastAsiaTheme="minorEastAsia" w:hAnsi="Arial" w:cs="Arial"/>
          <w:sz w:val="22"/>
          <w:szCs w:val="22"/>
          <w:lang w:val="en-US" w:eastAsia="zh-CN"/>
        </w:rPr>
        <w:t xml:space="preserve"> and BLER as 10^-5,</w:t>
      </w:r>
      <w:r w:rsidR="004B71B9">
        <w:rPr>
          <w:rFonts w:ascii="Arial" w:eastAsiaTheme="minorEastAsia" w:hAnsi="Arial" w:cs="Arial"/>
          <w:sz w:val="22"/>
          <w:szCs w:val="22"/>
          <w:lang w:val="en-US" w:eastAsia="zh-CN"/>
        </w:rPr>
        <w:t xml:space="preserve"> RAN1 expects that 677k</w:t>
      </w:r>
      <w:r w:rsidR="00615E36">
        <w:rPr>
          <w:rFonts w:ascii="Arial" w:eastAsiaTheme="minorEastAsia" w:hAnsi="Arial" w:cs="Arial"/>
          <w:sz w:val="22"/>
          <w:szCs w:val="22"/>
          <w:lang w:val="en-US" w:eastAsia="zh-CN"/>
        </w:rPr>
        <w:t>b</w:t>
      </w:r>
      <w:r w:rsidR="004B71B9">
        <w:rPr>
          <w:rFonts w:ascii="Arial" w:eastAsiaTheme="minorEastAsia" w:hAnsi="Arial" w:cs="Arial"/>
          <w:sz w:val="22"/>
          <w:szCs w:val="22"/>
          <w:lang w:val="en-US" w:eastAsia="zh-CN"/>
        </w:rPr>
        <w:t>yte</w:t>
      </w:r>
      <w:r w:rsidR="00615E36">
        <w:rPr>
          <w:rFonts w:ascii="Arial" w:eastAsiaTheme="minorEastAsia" w:hAnsi="Arial" w:cs="Arial"/>
          <w:sz w:val="22"/>
          <w:szCs w:val="22"/>
          <w:lang w:val="en-US" w:eastAsia="zh-CN"/>
        </w:rPr>
        <w:t>s</w:t>
      </w:r>
      <w:r w:rsidR="004B71B9">
        <w:rPr>
          <w:rFonts w:ascii="Arial" w:eastAsiaTheme="minorEastAsia" w:hAnsi="Arial" w:cs="Arial"/>
          <w:sz w:val="22"/>
          <w:szCs w:val="22"/>
          <w:lang w:val="en-US" w:eastAsia="zh-CN"/>
        </w:rPr>
        <w:t xml:space="preserve"> as MDBV is feasible for downlink </w:t>
      </w:r>
      <w:r w:rsidR="00FA5679">
        <w:rPr>
          <w:rFonts w:ascii="Arial" w:eastAsiaTheme="minorEastAsia" w:hAnsi="Arial" w:cs="Arial"/>
          <w:sz w:val="22"/>
          <w:szCs w:val="22"/>
          <w:lang w:val="en-US" w:eastAsia="zh-CN"/>
        </w:rPr>
        <w:t>and 127k</w:t>
      </w:r>
      <w:r w:rsidR="00615E36">
        <w:rPr>
          <w:rFonts w:ascii="Arial" w:eastAsiaTheme="minorEastAsia" w:hAnsi="Arial" w:cs="Arial"/>
          <w:sz w:val="22"/>
          <w:szCs w:val="22"/>
          <w:lang w:val="en-US" w:eastAsia="zh-CN"/>
        </w:rPr>
        <w:t>b</w:t>
      </w:r>
      <w:r w:rsidR="00FA5679">
        <w:rPr>
          <w:rFonts w:ascii="Arial" w:eastAsiaTheme="minorEastAsia" w:hAnsi="Arial" w:cs="Arial"/>
          <w:sz w:val="22"/>
          <w:szCs w:val="22"/>
          <w:lang w:val="en-US" w:eastAsia="zh-CN"/>
        </w:rPr>
        <w:t>yte</w:t>
      </w:r>
      <w:r w:rsidR="00615E36">
        <w:rPr>
          <w:rFonts w:ascii="Arial" w:eastAsiaTheme="minorEastAsia" w:hAnsi="Arial" w:cs="Arial"/>
          <w:sz w:val="22"/>
          <w:szCs w:val="22"/>
          <w:lang w:val="en-US" w:eastAsia="zh-CN"/>
        </w:rPr>
        <w:t>s</w:t>
      </w:r>
      <w:r w:rsidR="00FA5679">
        <w:rPr>
          <w:rFonts w:ascii="Arial" w:eastAsiaTheme="minorEastAsia" w:hAnsi="Arial" w:cs="Arial"/>
          <w:sz w:val="22"/>
          <w:szCs w:val="22"/>
          <w:lang w:val="en-US" w:eastAsia="zh-CN"/>
        </w:rPr>
        <w:t xml:space="preserve"> as MDBV is feasible for uplink </w:t>
      </w:r>
      <w:r w:rsidR="004B71B9">
        <w:rPr>
          <w:rFonts w:ascii="Arial" w:eastAsiaTheme="minorEastAsia" w:hAnsi="Arial" w:cs="Arial"/>
          <w:sz w:val="22"/>
          <w:szCs w:val="22"/>
          <w:lang w:val="en-US" w:eastAsia="zh-CN"/>
        </w:rPr>
        <w:t>with configuration of large bandwidth (900MHz) and advanced antenna configuration</w:t>
      </w:r>
      <w:r w:rsidR="00FA5679">
        <w:rPr>
          <w:rFonts w:ascii="Arial" w:eastAsiaTheme="minorEastAsia" w:hAnsi="Arial" w:cs="Arial"/>
          <w:sz w:val="22"/>
          <w:szCs w:val="22"/>
          <w:lang w:val="en-US" w:eastAsia="zh-CN"/>
        </w:rPr>
        <w:t xml:space="preserve"> </w:t>
      </w:r>
      <w:r w:rsidR="004B71B9">
        <w:rPr>
          <w:rFonts w:ascii="Arial" w:eastAsiaTheme="minorEastAsia" w:hAnsi="Arial" w:cs="Arial"/>
          <w:sz w:val="22"/>
          <w:szCs w:val="22"/>
          <w:lang w:val="en-US" w:eastAsia="zh-CN"/>
        </w:rPr>
        <w:t>(16T4R, and 2T32R)</w:t>
      </w:r>
      <w:r w:rsidR="005640C3">
        <w:rPr>
          <w:rFonts w:ascii="Arial" w:eastAsiaTheme="minorEastAsia" w:hAnsi="Arial" w:cs="Arial"/>
          <w:sz w:val="22"/>
          <w:szCs w:val="22"/>
          <w:lang w:val="en-US" w:eastAsia="zh-CN"/>
        </w:rPr>
        <w:t xml:space="preserve"> in R</w:t>
      </w:r>
      <w:r w:rsidR="001640E5">
        <w:rPr>
          <w:rFonts w:ascii="Arial" w:eastAsiaTheme="minorEastAsia" w:hAnsi="Arial" w:cs="Arial"/>
          <w:sz w:val="22"/>
          <w:szCs w:val="22"/>
          <w:lang w:val="en-US" w:eastAsia="zh-CN"/>
        </w:rPr>
        <w:t>el-</w:t>
      </w:r>
      <w:r w:rsidR="005640C3">
        <w:rPr>
          <w:rFonts w:ascii="Arial" w:eastAsiaTheme="minorEastAsia" w:hAnsi="Arial" w:cs="Arial"/>
          <w:sz w:val="22"/>
          <w:szCs w:val="22"/>
          <w:lang w:val="en-US" w:eastAsia="zh-CN"/>
        </w:rPr>
        <w:t>16</w:t>
      </w:r>
      <w:r w:rsidR="00FA5679">
        <w:rPr>
          <w:rFonts w:ascii="Arial" w:eastAsiaTheme="minorEastAsia" w:hAnsi="Arial" w:cs="Arial"/>
          <w:sz w:val="22"/>
          <w:szCs w:val="22"/>
          <w:lang w:val="en-US" w:eastAsia="zh-CN"/>
        </w:rPr>
        <w:t>.</w:t>
      </w:r>
    </w:p>
    <w:p w14:paraId="04AE544A" w14:textId="427A7667" w:rsidR="003756D4" w:rsidRPr="001640E5" w:rsidRDefault="003756D4" w:rsidP="00342BF9">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41062B28" w14:textId="62506F25" w:rsidR="008E7E43" w:rsidRPr="008E7E43" w:rsidRDefault="005640C3" w:rsidP="00391D98">
      <w:pPr>
        <w:spacing w:after="240"/>
        <w:rPr>
          <w:rFonts w:ascii="Arial" w:hAnsi="Arial" w:cs="Arial"/>
          <w:color w:val="000000" w:themeColor="text1"/>
          <w:lang w:eastAsia="zh-CN"/>
        </w:rPr>
      </w:pPr>
      <w:r>
        <w:rPr>
          <w:rFonts w:ascii="Arial" w:hAnsi="Arial" w:cs="Arial"/>
          <w:color w:val="000000" w:themeColor="text1"/>
          <w:lang w:eastAsia="zh-CN"/>
        </w:rPr>
        <w:t xml:space="preserve">RAN1 expects </w:t>
      </w:r>
      <w:r>
        <w:rPr>
          <w:rFonts w:ascii="Arial" w:hAnsi="Arial" w:cs="Arial"/>
          <w:lang w:eastAsia="zh-CN"/>
        </w:rPr>
        <w:t>677k</w:t>
      </w:r>
      <w:r w:rsidR="00615E36">
        <w:rPr>
          <w:rFonts w:ascii="Arial" w:hAnsi="Arial" w:cs="Arial"/>
          <w:lang w:eastAsia="zh-CN"/>
        </w:rPr>
        <w:t>b</w:t>
      </w:r>
      <w:r>
        <w:rPr>
          <w:rFonts w:ascii="Arial" w:hAnsi="Arial" w:cs="Arial"/>
          <w:lang w:eastAsia="zh-CN"/>
        </w:rPr>
        <w:t>yte</w:t>
      </w:r>
      <w:r w:rsidR="00615E36">
        <w:rPr>
          <w:rFonts w:ascii="Arial" w:hAnsi="Arial" w:cs="Arial"/>
          <w:lang w:eastAsia="zh-CN"/>
        </w:rPr>
        <w:t>s</w:t>
      </w:r>
      <w:r>
        <w:rPr>
          <w:rFonts w:ascii="Arial" w:hAnsi="Arial" w:cs="Arial"/>
          <w:lang w:eastAsia="zh-CN"/>
        </w:rPr>
        <w:t xml:space="preserve"> as MDBV is feasible for downlink and 127k</w:t>
      </w:r>
      <w:r w:rsidR="00615E36">
        <w:rPr>
          <w:rFonts w:ascii="Arial" w:hAnsi="Arial" w:cs="Arial"/>
          <w:lang w:eastAsia="zh-CN"/>
        </w:rPr>
        <w:t>b</w:t>
      </w:r>
      <w:r>
        <w:rPr>
          <w:rFonts w:ascii="Arial" w:hAnsi="Arial" w:cs="Arial"/>
          <w:lang w:eastAsia="zh-CN"/>
        </w:rPr>
        <w:t>yte</w:t>
      </w:r>
      <w:r w:rsidR="00615E36">
        <w:rPr>
          <w:rFonts w:ascii="Arial" w:hAnsi="Arial" w:cs="Arial"/>
          <w:lang w:eastAsia="zh-CN"/>
        </w:rPr>
        <w:t>s</w:t>
      </w:r>
      <w:bookmarkStart w:id="2" w:name="_GoBack"/>
      <w:bookmarkEnd w:id="2"/>
      <w:r>
        <w:rPr>
          <w:rFonts w:ascii="Arial" w:hAnsi="Arial" w:cs="Arial"/>
          <w:lang w:eastAsia="zh-CN"/>
        </w:rPr>
        <w:t xml:space="preserve"> as MDBV is feasible for uplink</w:t>
      </w:r>
      <w:r>
        <w:rPr>
          <w:rFonts w:ascii="Arial" w:hAnsi="Arial" w:cs="Arial" w:hint="eastAsia"/>
          <w:color w:val="000000" w:themeColor="text1"/>
          <w:lang w:eastAsia="zh-CN"/>
        </w:rPr>
        <w:t xml:space="preserve">. </w:t>
      </w:r>
      <w:r>
        <w:rPr>
          <w:rFonts w:ascii="Arial" w:hAnsi="Arial" w:cs="Arial"/>
          <w:color w:val="000000" w:themeColor="text1"/>
          <w:lang w:eastAsia="zh-CN"/>
        </w:rPr>
        <w:t>RAN1 respectfully asks SA2 to take this into consideration.</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5B53CD10" w14:textId="7B9FF91A" w:rsidR="005034F1"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EA07E5">
        <w:rPr>
          <w:rFonts w:ascii="Arial" w:hAnsi="Arial" w:cs="Arial"/>
        </w:rPr>
        <w:t>-Bis</w:t>
      </w:r>
      <w:r w:rsidR="00CC5409" w:rsidRPr="00CC5409">
        <w:rPr>
          <w:rFonts w:ascii="Arial" w:hAnsi="Arial" w:cs="Arial"/>
        </w:rPr>
        <w:tab/>
      </w:r>
      <w:r w:rsidR="00EA07E5">
        <w:rPr>
          <w:rFonts w:ascii="Arial" w:hAnsi="Arial" w:cs="Arial"/>
        </w:rPr>
        <w:t>14</w:t>
      </w:r>
      <w:r w:rsidRPr="00CC5409">
        <w:rPr>
          <w:rFonts w:ascii="Arial" w:hAnsi="Arial" w:cs="Arial"/>
        </w:rPr>
        <w:t xml:space="preserve"> – </w:t>
      </w:r>
      <w:r w:rsidR="00EA07E5">
        <w:rPr>
          <w:rFonts w:ascii="Arial" w:hAnsi="Arial" w:cs="Arial"/>
        </w:rPr>
        <w:t>20</w:t>
      </w:r>
      <w:r w:rsidR="00EA07E5" w:rsidRPr="00CC5409">
        <w:rPr>
          <w:rFonts w:ascii="Arial" w:hAnsi="Arial" w:cs="Arial"/>
        </w:rPr>
        <w:t xml:space="preserve"> </w:t>
      </w:r>
      <w:r w:rsidR="00EA07E5">
        <w:rPr>
          <w:rFonts w:ascii="Arial" w:hAnsi="Arial" w:cs="Arial"/>
        </w:rPr>
        <w:t xml:space="preserve">October </w:t>
      </w:r>
      <w:r w:rsidRPr="00CC5409">
        <w:rPr>
          <w:rFonts w:ascii="Arial" w:hAnsi="Arial" w:cs="Arial"/>
        </w:rPr>
        <w:t>2019,</w:t>
      </w:r>
      <w:r w:rsidRPr="00EA07E5">
        <w:rPr>
          <w:rFonts w:ascii="Arial" w:hAnsi="Arial" w:cs="Arial"/>
        </w:rPr>
        <w:t xml:space="preserve"> </w:t>
      </w:r>
      <w:r w:rsidR="00EA07E5" w:rsidRPr="00B004E1">
        <w:rPr>
          <w:rFonts w:ascii="Arial" w:hAnsi="Arial" w:cs="Arial"/>
          <w:color w:val="000000"/>
        </w:rPr>
        <w:t>Chongqing</w:t>
      </w:r>
      <w:r w:rsidR="00CC5409" w:rsidRPr="00CC5409">
        <w:rPr>
          <w:rFonts w:ascii="Arial" w:hAnsi="Arial" w:cs="Arial"/>
        </w:rPr>
        <w:t xml:space="preserve">, </w:t>
      </w:r>
      <w:r w:rsidR="00EA07E5" w:rsidRPr="00CC5409">
        <w:rPr>
          <w:rFonts w:ascii="Arial" w:hAnsi="Arial" w:cs="Arial"/>
        </w:rPr>
        <w:t>C</w:t>
      </w:r>
      <w:r w:rsidR="00EA07E5">
        <w:rPr>
          <w:rFonts w:ascii="Arial" w:hAnsi="Arial" w:cs="Arial"/>
        </w:rPr>
        <w:t>hina</w:t>
      </w:r>
    </w:p>
    <w:p w14:paraId="095CE194" w14:textId="393E662F" w:rsidR="00EA07E5" w:rsidRDefault="00EA07E5" w:rsidP="00EA07E5">
      <w:pPr>
        <w:tabs>
          <w:tab w:val="left" w:pos="5103"/>
        </w:tabs>
        <w:ind w:left="2275" w:hanging="2275"/>
        <w:rPr>
          <w:rFonts w:ascii="Arial" w:hAnsi="Arial" w:cs="Arial"/>
        </w:rPr>
      </w:pPr>
      <w:r>
        <w:rPr>
          <w:rFonts w:ascii="Arial" w:hAnsi="Arial" w:cs="Arial"/>
        </w:rPr>
        <w:t>TSG RAN WG1 Meeting #99</w:t>
      </w:r>
      <w:r>
        <w:rPr>
          <w:rFonts w:ascii="Arial" w:hAnsi="Arial" w:cs="Arial"/>
        </w:rPr>
        <w:tab/>
      </w:r>
      <w:r>
        <w:rPr>
          <w:rFonts w:ascii="Arial" w:hAnsi="Arial" w:cs="Arial"/>
        </w:rPr>
        <w:tab/>
      </w:r>
      <w:r w:rsidR="00FD4AA7">
        <w:rPr>
          <w:rFonts w:ascii="Arial" w:hAnsi="Arial" w:cs="Arial"/>
        </w:rPr>
        <w:t xml:space="preserve">       </w:t>
      </w:r>
      <w:r>
        <w:rPr>
          <w:rFonts w:ascii="Arial" w:hAnsi="Arial" w:cs="Arial"/>
        </w:rPr>
        <w:t>18 – 22 November 2019, Reno, US</w:t>
      </w:r>
    </w:p>
    <w:p w14:paraId="5DAC32D4" w14:textId="77777777" w:rsidR="00EA07E5" w:rsidRPr="00AE7D9D" w:rsidRDefault="00EA07E5" w:rsidP="00342BF9">
      <w:pPr>
        <w:tabs>
          <w:tab w:val="left" w:pos="5103"/>
        </w:tabs>
        <w:ind w:left="2275" w:hanging="2275"/>
        <w:rPr>
          <w:rFonts w:ascii="Arial" w:hAnsi="Arial" w:cs="Arial"/>
        </w:rPr>
      </w:pPr>
    </w:p>
    <w:sectPr w:rsidR="00EA07E5"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A199C" w14:textId="77777777" w:rsidR="00020279" w:rsidRDefault="00020279">
      <w:r>
        <w:separator/>
      </w:r>
    </w:p>
  </w:endnote>
  <w:endnote w:type="continuationSeparator" w:id="0">
    <w:p w14:paraId="281BF8BE" w14:textId="77777777" w:rsidR="00020279" w:rsidRDefault="0002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E9BAB" w14:textId="77777777" w:rsidR="00020279" w:rsidRDefault="00020279">
      <w:r>
        <w:separator/>
      </w:r>
    </w:p>
  </w:footnote>
  <w:footnote w:type="continuationSeparator" w:id="0">
    <w:p w14:paraId="402DFE06" w14:textId="77777777" w:rsidR="00020279" w:rsidRDefault="00020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279"/>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084"/>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529"/>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0E5"/>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AD"/>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E6D"/>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1B9"/>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37F3F"/>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0C3"/>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574"/>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5E36"/>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6E1B"/>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C05"/>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43"/>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297"/>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0B"/>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A3"/>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9C"/>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4E1"/>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8DC"/>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BC1"/>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20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D97"/>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7E5"/>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5FA"/>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679"/>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A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D2260-A904-45B9-B310-6FBEA132ED5B}">
  <ds:schemaRefs>
    <ds:schemaRef ds:uri="http://schemas.openxmlformats.org/officeDocument/2006/bibliography"/>
  </ds:schemaRefs>
</ds:datastoreItem>
</file>

<file path=customXml/itemProps2.xml><?xml version="1.0" encoding="utf-8"?>
<ds:datastoreItem xmlns:ds="http://schemas.openxmlformats.org/officeDocument/2006/customXml" ds:itemID="{100A0D9E-9F3C-49C9-B319-3BF35453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cp:revision>
  <cp:lastPrinted>2018-01-11T06:12:00Z</cp:lastPrinted>
  <dcterms:created xsi:type="dcterms:W3CDTF">2019-08-17T03:55:00Z</dcterms:created>
  <dcterms:modified xsi:type="dcterms:W3CDTF">2019-08-17T03:57:00Z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(3)YGB7LYFmsMN28imJNNMGs7XvztArWzSKEIeCOgIJZCXolt++QGnovUd8vRiUnU6XNNPQaWFv
v4WfGUAgUE8hS3qf9C9zppD3Blk2RE0xw87BpNQZ+9JnJpKYJOJXkbwlxONudN/Z1DG6hl6G
sQLZQBRtP6qDbt+5mNkVTlTru9iQW8vyigzpXPuRYfeIfY7Kb9H1we/yFm4G9Flvqh/LHzTj
9c6khl/Akt3/nSE+E6</vt:lpwstr>
  </property>
  <property fmtid="{D5CDD505-2E9C-101B-9397-08002B2CF9AE}" pid="30" name="_2015_ms_pID_725343_00">
    <vt:lpwstr>_2015_ms_pID_725343</vt:lpwstr>
  </property>
  <property fmtid="{D5CDD505-2E9C-101B-9397-08002B2CF9AE}" pid="31" name="_2015_ms_pID_7253431">
    <vt:lpwstr>H8tyT3uuu75tBB+b3b6EwKCyTw/TF9uALOe7Fjf1c2F+ct2MwFDWEq
T4I1IFkPo6Z+UNKkL9u6BnopIud/wemVzwqeGSVhY6SGoeaqPkFSb5617tsa5HgFq0jS8h9l
gpzrlSsChLcu+GzuhmNlmOewa4jRga6lnnhVXYSFnVyDqz3WhFQg1Koob3kPwB6BU2VOx4XE
DsJ4qHY/7K0C0OIgXH9d0i6u1dtnJu+r+ZS/</vt:lpwstr>
  </property>
  <property fmtid="{D5CDD505-2E9C-101B-9397-08002B2CF9AE}" pid="32" name="_2015_ms_pID_7253431_00">
    <vt:lpwstr>_2015_ms_pID_7253431</vt:lpwstr>
  </property>
  <property fmtid="{D5CDD505-2E9C-101B-9397-08002B2CF9AE}" pid="33" name="_2015_ms_pID_7253432">
    <vt:lpwstr>0YujE/0WmJRPtc59QD7An+HLufOuEq1GjGnB
t3wxrzAXzPqzPsmVHQYcolComEFaNE6M8Nhb9xeHMWsB9bj/mrk=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1565659435</vt:lpwstr>
  </property>
</Properties>
</file>