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62F7F" w14:textId="7E7AEBDC" w:rsidR="00A309BE" w:rsidRPr="00CF195E" w:rsidRDefault="007E1CDE"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3272322" wp14:editId="4489855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8B984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309BE" w:rsidRPr="00CF195E">
        <w:rPr>
          <w:b/>
          <w:kern w:val="2"/>
          <w:lang w:eastAsia="zh-CN"/>
        </w:rPr>
        <w:t>3GPP TSG RAN WG1 Meeting</w:t>
      </w:r>
      <w:r w:rsidR="00A309BE">
        <w:rPr>
          <w:b/>
          <w:kern w:val="2"/>
          <w:lang w:eastAsia="zh-CN"/>
        </w:rPr>
        <w:t xml:space="preserve"> #96</w:t>
      </w:r>
      <w:r w:rsidR="00B84D66">
        <w:rPr>
          <w:b/>
          <w:kern w:val="2"/>
          <w:lang w:eastAsia="zh-CN"/>
        </w:rPr>
        <w:t>bis</w:t>
      </w:r>
      <w:r w:rsidR="00A309BE" w:rsidRPr="00CF195E">
        <w:rPr>
          <w:b/>
          <w:kern w:val="2"/>
          <w:lang w:eastAsia="zh-CN"/>
        </w:rPr>
        <w:tab/>
      </w:r>
      <w:r w:rsidR="00A309BE" w:rsidRPr="005A0806">
        <w:rPr>
          <w:b/>
          <w:kern w:val="2"/>
          <w:lang w:eastAsia="zh-CN"/>
        </w:rPr>
        <w:t>R1-</w:t>
      </w:r>
      <w:r w:rsidR="005A0806" w:rsidRPr="005A0806">
        <w:rPr>
          <w:b/>
          <w:kern w:val="2"/>
          <w:lang w:eastAsia="zh-CN"/>
        </w:rPr>
        <w:t>19</w:t>
      </w:r>
      <w:r w:rsidR="005A0806" w:rsidRPr="005A0806">
        <w:rPr>
          <w:b/>
          <w:kern w:val="2"/>
          <w:lang w:eastAsia="zh-CN"/>
        </w:rPr>
        <w:t>05241</w:t>
      </w:r>
    </w:p>
    <w:p w14:paraId="2299028A" w14:textId="044A4DC8" w:rsidR="00A309BE" w:rsidRPr="00CF195E" w:rsidRDefault="00B84D66" w:rsidP="00A309BE">
      <w:pPr>
        <w:jc w:val="left"/>
        <w:rPr>
          <w:b/>
          <w:kern w:val="2"/>
          <w:lang w:eastAsia="zh-CN"/>
        </w:rPr>
      </w:pPr>
      <w:r w:rsidRPr="00B84D66">
        <w:rPr>
          <w:b/>
          <w:kern w:val="2"/>
          <w:lang w:eastAsia="zh-CN"/>
        </w:rPr>
        <w:t>Xi’an</w:t>
      </w:r>
      <w:r>
        <w:rPr>
          <w:b/>
          <w:kern w:val="2"/>
          <w:lang w:eastAsia="zh-CN"/>
        </w:rPr>
        <w:t>, China,</w:t>
      </w:r>
      <w:r w:rsidRPr="00B84D66">
        <w:rPr>
          <w:b/>
          <w:kern w:val="2"/>
          <w:lang w:eastAsia="zh-CN"/>
        </w:rPr>
        <w:t xml:space="preserve"> April </w:t>
      </w:r>
      <w:r>
        <w:rPr>
          <w:b/>
          <w:kern w:val="2"/>
          <w:lang w:eastAsia="zh-CN"/>
        </w:rPr>
        <w:t>8</w:t>
      </w:r>
      <w:r w:rsidR="005A0806" w:rsidRPr="005A0806">
        <w:rPr>
          <w:b/>
          <w:kern w:val="2"/>
          <w:vertAlign w:val="superscript"/>
          <w:lang w:eastAsia="zh-CN"/>
        </w:rPr>
        <w:t>th</w:t>
      </w:r>
      <w:r w:rsidR="005A0806">
        <w:rPr>
          <w:b/>
          <w:kern w:val="2"/>
          <w:lang w:eastAsia="zh-CN"/>
        </w:rPr>
        <w:t xml:space="preserve"> </w:t>
      </w:r>
      <w:r>
        <w:rPr>
          <w:b/>
          <w:kern w:val="2"/>
          <w:lang w:eastAsia="zh-CN"/>
        </w:rPr>
        <w:t>– 12</w:t>
      </w:r>
      <w:r w:rsidR="005A0806" w:rsidRPr="005A0806">
        <w:rPr>
          <w:b/>
          <w:kern w:val="2"/>
          <w:vertAlign w:val="superscript"/>
          <w:lang w:eastAsia="zh-CN"/>
        </w:rPr>
        <w:t>th</w:t>
      </w:r>
      <w:r>
        <w:rPr>
          <w:b/>
          <w:kern w:val="2"/>
          <w:lang w:eastAsia="zh-CN"/>
        </w:rPr>
        <w:t xml:space="preserve">, </w:t>
      </w:r>
      <w:r w:rsidRPr="00B84D66">
        <w:rPr>
          <w:b/>
          <w:kern w:val="2"/>
          <w:lang w:eastAsia="zh-CN"/>
        </w:rPr>
        <w:t>2019</w:t>
      </w:r>
    </w:p>
    <w:p w14:paraId="63033515" w14:textId="77777777" w:rsidR="009C0564" w:rsidRPr="00A309BE" w:rsidRDefault="009C0564" w:rsidP="00CF195E">
      <w:pPr>
        <w:pBdr>
          <w:top w:val="single" w:sz="4" w:space="1" w:color="auto"/>
        </w:pBdr>
        <w:spacing w:after="0"/>
        <w:jc w:val="left"/>
        <w:rPr>
          <w:b/>
          <w:kern w:val="2"/>
          <w:sz w:val="16"/>
          <w:szCs w:val="16"/>
          <w:lang w:eastAsia="zh-CN"/>
        </w:rPr>
      </w:pPr>
    </w:p>
    <w:p w14:paraId="0D185560" w14:textId="1E92953B"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8424B">
        <w:rPr>
          <w:b/>
          <w:kern w:val="2"/>
          <w:lang w:eastAsia="zh-CN"/>
        </w:rPr>
        <w:t>7.1.3</w:t>
      </w:r>
    </w:p>
    <w:p w14:paraId="799009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25BD2A97" w14:textId="0CA76C8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971C1">
        <w:rPr>
          <w:b/>
          <w:kern w:val="2"/>
          <w:lang w:eastAsia="zh-CN"/>
        </w:rPr>
        <w:t>Discussion on PDCCH monitoring for NN-DC in Rel-15</w:t>
      </w:r>
      <w:r w:rsidR="00E846EC">
        <w:rPr>
          <w:b/>
          <w:kern w:val="2"/>
          <w:lang w:eastAsia="zh-CN"/>
        </w:rPr>
        <w:t xml:space="preserve"> late drop</w:t>
      </w:r>
    </w:p>
    <w:p w14:paraId="6517A68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575BF09E" w14:textId="77777777" w:rsidR="009C0564" w:rsidRPr="00CF195E" w:rsidRDefault="009C0564" w:rsidP="00CF195E">
      <w:pPr>
        <w:pBdr>
          <w:bottom w:val="single" w:sz="4" w:space="1" w:color="auto"/>
        </w:pBdr>
        <w:spacing w:after="0"/>
        <w:jc w:val="left"/>
        <w:rPr>
          <w:b/>
          <w:kern w:val="2"/>
          <w:sz w:val="16"/>
          <w:szCs w:val="16"/>
          <w:lang w:eastAsia="zh-CN"/>
        </w:rPr>
      </w:pPr>
    </w:p>
    <w:p w14:paraId="7D2AAEFE" w14:textId="77777777" w:rsidR="009C0564" w:rsidRPr="00CF195E" w:rsidRDefault="009C0564">
      <w:pPr>
        <w:pStyle w:val="Heading1"/>
      </w:pPr>
      <w:bookmarkStart w:id="0" w:name="_Ref124589705"/>
      <w:bookmarkStart w:id="1" w:name="_Ref129681862"/>
      <w:r w:rsidRPr="00CF195E">
        <w:t>Introduction</w:t>
      </w:r>
      <w:bookmarkEnd w:id="0"/>
      <w:bookmarkEnd w:id="1"/>
    </w:p>
    <w:p w14:paraId="69883F0E" w14:textId="77777777" w:rsidR="00E971C1" w:rsidRDefault="00E971C1" w:rsidP="00D92F0E">
      <w:pPr>
        <w:rPr>
          <w:rFonts w:eastAsiaTheme="minorEastAsia"/>
          <w:lang w:eastAsia="zh-CN"/>
        </w:rPr>
      </w:pPr>
      <w:r>
        <w:rPr>
          <w:rFonts w:eastAsiaTheme="minorEastAsia"/>
          <w:lang w:eastAsia="zh-CN"/>
        </w:rPr>
        <w:t>In RAN1#94bis meeting, the following conclusion was made where the issue on PDCCH blind detection limit for Rel-15 N</w:t>
      </w:r>
      <w:r w:rsidR="00C02CB5">
        <w:rPr>
          <w:rFonts w:eastAsiaTheme="minorEastAsia"/>
          <w:lang w:eastAsia="zh-CN"/>
        </w:rPr>
        <w:t xml:space="preserve">R-NR </w:t>
      </w:r>
      <w:r>
        <w:rPr>
          <w:rFonts w:eastAsiaTheme="minorEastAsia"/>
          <w:lang w:eastAsia="zh-CN"/>
        </w:rPr>
        <w:t xml:space="preserve">DC was raised for further check. In current RAN1 specification, the UE behavior on PDCCH monitoring for Rel-15 </w:t>
      </w:r>
      <w:r w:rsidR="00C02CB5">
        <w:rPr>
          <w:rFonts w:eastAsiaTheme="minorEastAsia"/>
          <w:lang w:eastAsia="zh-CN"/>
        </w:rPr>
        <w:t>NR</w:t>
      </w:r>
      <w:r>
        <w:rPr>
          <w:rFonts w:eastAsiaTheme="minorEastAsia"/>
          <w:lang w:eastAsia="zh-CN"/>
        </w:rPr>
        <w:t>-</w:t>
      </w:r>
      <w:r w:rsidR="00C02CB5">
        <w:rPr>
          <w:rFonts w:eastAsiaTheme="minorEastAsia"/>
          <w:lang w:eastAsia="zh-CN"/>
        </w:rPr>
        <w:t xml:space="preserve">NR </w:t>
      </w:r>
      <w:r>
        <w:rPr>
          <w:rFonts w:eastAsiaTheme="minorEastAsia"/>
          <w:lang w:eastAsia="zh-CN"/>
        </w:rPr>
        <w:t>DC is still missing.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E971C1" w:rsidRPr="00127A6F" w14:paraId="05A6EC37" w14:textId="77777777" w:rsidTr="00C334C9">
        <w:tc>
          <w:tcPr>
            <w:tcW w:w="9356" w:type="dxa"/>
          </w:tcPr>
          <w:p w14:paraId="2AE7F4CC" w14:textId="77777777" w:rsidR="00E971C1" w:rsidRPr="00E971C1" w:rsidRDefault="00E971C1" w:rsidP="00E971C1">
            <w:pPr>
              <w:rPr>
                <w:i/>
              </w:rPr>
            </w:pPr>
            <w:r w:rsidRPr="00E971C1">
              <w:rPr>
                <w:b/>
                <w:i/>
                <w:u w:val="single"/>
              </w:rPr>
              <w:t>Conclusion</w:t>
            </w:r>
            <w:r w:rsidRPr="00E971C1">
              <w:rPr>
                <w:i/>
              </w:rPr>
              <w:t>:</w:t>
            </w:r>
          </w:p>
          <w:p w14:paraId="1FA7017D" w14:textId="77777777" w:rsidR="00E971C1" w:rsidRPr="00E971C1" w:rsidRDefault="00E971C1" w:rsidP="00E971C1">
            <w:pPr>
              <w:pStyle w:val="ListParagraph"/>
              <w:numPr>
                <w:ilvl w:val="0"/>
                <w:numId w:val="16"/>
              </w:numPr>
              <w:spacing w:after="120" w:line="276" w:lineRule="auto"/>
              <w:jc w:val="both"/>
              <w:rPr>
                <w:rFonts w:ascii="Times New Roman" w:hAnsi="Times New Roman"/>
                <w:i/>
                <w:sz w:val="22"/>
                <w:szCs w:val="22"/>
                <w:lang w:eastAsia="ja-JP"/>
              </w:rPr>
            </w:pPr>
            <w:r w:rsidRPr="00E971C1">
              <w:rPr>
                <w:rFonts w:ascii="Times New Roman" w:hAnsi="Times New Roman"/>
                <w:i/>
                <w:sz w:val="22"/>
                <w:szCs w:val="22"/>
                <w:lang w:eastAsia="ja-JP"/>
              </w:rPr>
              <w:t>It is understood that the BD/CCE limit is based on the current a</w:t>
            </w:r>
            <w:bookmarkStart w:id="2" w:name="_GoBack"/>
            <w:bookmarkEnd w:id="2"/>
            <w:r w:rsidRPr="00E971C1">
              <w:rPr>
                <w:rFonts w:ascii="Times New Roman" w:hAnsi="Times New Roman"/>
                <w:i/>
                <w:sz w:val="22"/>
                <w:szCs w:val="22"/>
                <w:lang w:eastAsia="ja-JP"/>
              </w:rPr>
              <w:t>ctive DL BWP</w:t>
            </w:r>
          </w:p>
          <w:p w14:paraId="64F0E7E8" w14:textId="77777777" w:rsidR="00E971C1" w:rsidRPr="00E971C1" w:rsidRDefault="00E971C1" w:rsidP="00E971C1">
            <w:pPr>
              <w:pStyle w:val="ListParagraph"/>
              <w:numPr>
                <w:ilvl w:val="1"/>
                <w:numId w:val="16"/>
              </w:numPr>
              <w:spacing w:after="120" w:line="276" w:lineRule="auto"/>
              <w:jc w:val="both"/>
              <w:rPr>
                <w:rFonts w:ascii="Times New Roman" w:hAnsi="Times New Roman"/>
                <w:i/>
                <w:sz w:val="22"/>
                <w:szCs w:val="22"/>
                <w:lang w:eastAsia="ja-JP"/>
              </w:rPr>
            </w:pPr>
            <w:r w:rsidRPr="00E971C1">
              <w:rPr>
                <w:rFonts w:ascii="Times New Roman" w:hAnsi="Times New Roman"/>
                <w:i/>
                <w:sz w:val="22"/>
                <w:szCs w:val="22"/>
                <w:lang w:eastAsia="ja-JP"/>
              </w:rPr>
              <w:t>Editor to update the spec if necessary</w:t>
            </w:r>
          </w:p>
          <w:p w14:paraId="08FDA4C6" w14:textId="77777777" w:rsidR="00E971C1" w:rsidRPr="008248AB" w:rsidRDefault="00E971C1" w:rsidP="00E971C1">
            <w:pPr>
              <w:overflowPunct w:val="0"/>
              <w:spacing w:after="180"/>
              <w:textAlignment w:val="baseline"/>
              <w:rPr>
                <w:bCs/>
              </w:rPr>
            </w:pPr>
            <w:r w:rsidRPr="00E971C1">
              <w:rPr>
                <w:i/>
              </w:rPr>
              <w:t>Companies are encouraged to check current RAN1 specification w.r.t. Rel-15 NR-NR DC (e.g., PDCCH blind decode limit, etc) – revisit in RAN1#95</w:t>
            </w:r>
          </w:p>
        </w:tc>
      </w:tr>
    </w:tbl>
    <w:p w14:paraId="6FC0BADE" w14:textId="77777777" w:rsidR="00E971C1" w:rsidRDefault="00E971C1" w:rsidP="00D92F0E">
      <w:pPr>
        <w:rPr>
          <w:rFonts w:eastAsiaTheme="minorEastAsia"/>
          <w:lang w:eastAsia="zh-CN"/>
        </w:rPr>
      </w:pPr>
      <w:r>
        <w:rPr>
          <w:bCs/>
        </w:rPr>
        <w:t xml:space="preserve">RAN2 have considered this issue in email discussion but without conclusion. </w:t>
      </w:r>
      <w:r>
        <w:rPr>
          <w:rFonts w:eastAsiaTheme="minorEastAsia" w:hint="eastAsia"/>
          <w:lang w:eastAsia="zh-CN"/>
        </w:rPr>
        <w:t>In RAN2</w:t>
      </w:r>
      <w:r>
        <w:rPr>
          <w:rFonts w:eastAsiaTheme="minorEastAsia"/>
          <w:lang w:eastAsia="zh-CN"/>
        </w:rPr>
        <w:t xml:space="preserve">#105 meeting, it has been agreed that the issue on the handling of </w:t>
      </w:r>
      <w:r w:rsidRPr="00E971C1">
        <w:rPr>
          <w:rFonts w:eastAsiaTheme="minorEastAsia"/>
          <w:i/>
          <w:lang w:eastAsia="zh-CN"/>
        </w:rPr>
        <w:t>pdcch-BlindDetectionCA</w:t>
      </w:r>
      <w:r>
        <w:rPr>
          <w:rFonts w:eastAsiaTheme="minorEastAsia"/>
          <w:lang w:eastAsia="zh-CN"/>
        </w:rPr>
        <w:t xml:space="preserve"> capability for N</w:t>
      </w:r>
      <w:r w:rsidR="00C02CB5">
        <w:rPr>
          <w:rFonts w:eastAsiaTheme="minorEastAsia"/>
          <w:lang w:eastAsia="zh-CN"/>
        </w:rPr>
        <w:t>R</w:t>
      </w:r>
      <w:r>
        <w:rPr>
          <w:rFonts w:eastAsiaTheme="minorEastAsia"/>
          <w:lang w:eastAsia="zh-CN"/>
        </w:rPr>
        <w:t>-</w:t>
      </w:r>
      <w:r w:rsidR="00C02CB5">
        <w:rPr>
          <w:rFonts w:eastAsiaTheme="minorEastAsia"/>
          <w:lang w:eastAsia="zh-CN"/>
        </w:rPr>
        <w:t xml:space="preserve">NR </w:t>
      </w:r>
      <w:r>
        <w:rPr>
          <w:rFonts w:eastAsiaTheme="minorEastAsia"/>
          <w:lang w:eastAsia="zh-CN"/>
        </w:rPr>
        <w:t>DC is FFS and is waited for RAN1 feedback.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E971C1" w:rsidRPr="00127A6F" w14:paraId="3621AF25" w14:textId="77777777" w:rsidTr="00C334C9">
        <w:tc>
          <w:tcPr>
            <w:tcW w:w="9356" w:type="dxa"/>
          </w:tcPr>
          <w:p w14:paraId="4FCDBC07" w14:textId="77777777" w:rsidR="00E971C1" w:rsidRPr="00E971C1" w:rsidRDefault="00E971C1" w:rsidP="00E971C1">
            <w:pPr>
              <w:rPr>
                <w:b/>
                <w:i/>
                <w:u w:val="single"/>
              </w:rPr>
            </w:pPr>
            <w:r w:rsidRPr="00E971C1">
              <w:rPr>
                <w:b/>
                <w:i/>
                <w:u w:val="single"/>
              </w:rPr>
              <w:t>Agreements</w:t>
            </w:r>
          </w:p>
          <w:p w14:paraId="22B3293E" w14:textId="77777777" w:rsidR="00E971C1" w:rsidRPr="00E971C1" w:rsidRDefault="00E971C1" w:rsidP="00E971C1">
            <w:pPr>
              <w:spacing w:afterLines="50"/>
              <w:rPr>
                <w:i/>
              </w:rPr>
            </w:pPr>
            <w:r w:rsidRPr="00E971C1">
              <w:rPr>
                <w:i/>
              </w:rPr>
              <w:t>1</w:t>
            </w:r>
            <w:r w:rsidRPr="00E971C1">
              <w:rPr>
                <w:i/>
              </w:rPr>
              <w:tab/>
              <w:t>For capability coordination in NR-DC, the MN is able to indicate a list of band entries, on top of the information provided in allowedBC-ListMRDC IE.</w:t>
            </w:r>
          </w:p>
          <w:p w14:paraId="4E41FB0D" w14:textId="77777777" w:rsidR="00E971C1" w:rsidRPr="00E971C1" w:rsidRDefault="00E971C1" w:rsidP="00E971C1">
            <w:pPr>
              <w:spacing w:afterLines="50"/>
              <w:rPr>
                <w:i/>
              </w:rPr>
            </w:pPr>
            <w:r w:rsidRPr="00E971C1">
              <w:rPr>
                <w:i/>
              </w:rPr>
              <w:t>FFS on the handling of pdcch-BlindDetectionCA capability for NR-DC, until feedback from RAN1.</w:t>
            </w:r>
          </w:p>
          <w:p w14:paraId="5448FF28" w14:textId="77777777" w:rsidR="00E971C1" w:rsidRPr="00E971C1" w:rsidRDefault="00E971C1" w:rsidP="00E971C1">
            <w:pPr>
              <w:spacing w:afterLines="50"/>
              <w:rPr>
                <w:i/>
              </w:rPr>
            </w:pPr>
            <w:r w:rsidRPr="00E971C1">
              <w:rPr>
                <w:i/>
              </w:rPr>
              <w:t>2</w:t>
            </w:r>
            <w:r w:rsidRPr="00E971C1">
              <w:rPr>
                <w:i/>
              </w:rPr>
              <w:tab/>
              <w:t>Include the capability VoiceOverSCG-Bearer for NE-DC SCG bearer in NR SA UE capability.</w:t>
            </w:r>
          </w:p>
          <w:p w14:paraId="0F718EC8" w14:textId="77777777" w:rsidR="00E971C1" w:rsidRPr="00E971C1" w:rsidRDefault="00E971C1" w:rsidP="00E971C1">
            <w:pPr>
              <w:spacing w:afterLines="50"/>
              <w:rPr>
                <w:i/>
              </w:rPr>
            </w:pPr>
            <w:r w:rsidRPr="00E971C1">
              <w:rPr>
                <w:i/>
              </w:rPr>
              <w:t>3</w:t>
            </w:r>
            <w:r w:rsidRPr="00E971C1">
              <w:rPr>
                <w:i/>
              </w:rPr>
              <w:tab/>
              <w:t>The NW indicates in the UE-CapabilityRequestFilterNR in the UECapabilityEnquiry message for which mode(s) of MR-DC capabilities the UE shall provide (EN-DC, NGEN-DC and/or NE-DC). This is baseline but subject to RAN4 input.</w:t>
            </w:r>
          </w:p>
          <w:p w14:paraId="127F3BB1" w14:textId="77777777" w:rsidR="00E971C1" w:rsidRPr="00E971C1" w:rsidRDefault="00E971C1" w:rsidP="00E971C1">
            <w:pPr>
              <w:overflowPunct w:val="0"/>
              <w:spacing w:afterLines="50"/>
              <w:textAlignment w:val="baseline"/>
              <w:rPr>
                <w:bCs/>
                <w:lang w:val="x-none"/>
              </w:rPr>
            </w:pPr>
            <w:r w:rsidRPr="00E971C1">
              <w:rPr>
                <w:i/>
              </w:rPr>
              <w:t>4</w:t>
            </w:r>
            <w:r w:rsidRPr="00E971C1">
              <w:rPr>
                <w:i/>
              </w:rPr>
              <w:tab/>
              <w:t>The (current) MRDC capability container is used for all MRDC cases reported by the UE.</w:t>
            </w:r>
          </w:p>
        </w:tc>
      </w:tr>
    </w:tbl>
    <w:p w14:paraId="454900F9" w14:textId="77777777" w:rsidR="00C71A70" w:rsidRDefault="00846B29" w:rsidP="00061D60">
      <w:pPr>
        <w:rPr>
          <w:rFonts w:eastAsiaTheme="minorEastAsia"/>
          <w:lang w:eastAsia="zh-CN"/>
        </w:rPr>
      </w:pPr>
      <w:r>
        <w:rPr>
          <w:rFonts w:eastAsiaTheme="minorEastAsia"/>
          <w:lang w:eastAsia="zh-CN"/>
        </w:rPr>
        <w:t xml:space="preserve">This contribution </w:t>
      </w:r>
      <w:r w:rsidR="00D876A1">
        <w:rPr>
          <w:rFonts w:eastAsiaTheme="minorEastAsia"/>
          <w:lang w:eastAsia="zh-CN"/>
        </w:rPr>
        <w:t>discusses</w:t>
      </w:r>
      <w:r>
        <w:rPr>
          <w:rFonts w:eastAsiaTheme="minorEastAsia"/>
          <w:lang w:eastAsia="zh-CN"/>
        </w:rPr>
        <w:t xml:space="preserve"> the </w:t>
      </w:r>
      <w:r w:rsidR="00E971C1">
        <w:rPr>
          <w:rFonts w:eastAsiaTheme="minorEastAsia"/>
          <w:lang w:eastAsia="zh-CN"/>
        </w:rPr>
        <w:t>issue on PDCCH monitoring limit for Rel-15 N</w:t>
      </w:r>
      <w:r w:rsidR="00C02CB5">
        <w:rPr>
          <w:rFonts w:eastAsiaTheme="minorEastAsia"/>
          <w:lang w:eastAsia="zh-CN"/>
        </w:rPr>
        <w:t xml:space="preserve">R-NR </w:t>
      </w:r>
      <w:r w:rsidR="00E971C1">
        <w:rPr>
          <w:rFonts w:eastAsiaTheme="minorEastAsia"/>
          <w:lang w:eastAsia="zh-CN"/>
        </w:rPr>
        <w:t>DC</w:t>
      </w:r>
      <w:r w:rsidR="00D876A1">
        <w:rPr>
          <w:rFonts w:eastAsiaTheme="minorEastAsia"/>
          <w:lang w:eastAsia="zh-CN"/>
        </w:rPr>
        <w:t>, and also provides our preference.</w:t>
      </w:r>
      <w:r>
        <w:rPr>
          <w:rFonts w:eastAsiaTheme="minorEastAsia"/>
          <w:lang w:eastAsia="zh-CN"/>
        </w:rPr>
        <w:t xml:space="preserve"> </w:t>
      </w:r>
    </w:p>
    <w:p w14:paraId="1CB724D4" w14:textId="77777777" w:rsidR="009A3A86" w:rsidRDefault="00061D60" w:rsidP="00CF195E">
      <w:pPr>
        <w:pStyle w:val="Heading1"/>
      </w:pPr>
      <w:bookmarkStart w:id="3" w:name="_Ref129681832"/>
      <w:r>
        <w:t>Discussion</w:t>
      </w:r>
      <w:r w:rsidR="006D62BC" w:rsidRPr="00CF195E">
        <w:t xml:space="preserve"> </w:t>
      </w:r>
    </w:p>
    <w:p w14:paraId="390CA0B9" w14:textId="29FEF280" w:rsidR="006C0E7A" w:rsidRDefault="006C0E7A" w:rsidP="008404E4">
      <w:r>
        <w:rPr>
          <w:rFonts w:hint="eastAsia"/>
        </w:rPr>
        <w:t xml:space="preserve">Basically, there are two </w:t>
      </w:r>
      <w:r>
        <w:t>alternatives</w:t>
      </w:r>
      <w:r w:rsidR="00EE0770">
        <w:rPr>
          <w:rFonts w:hint="eastAsia"/>
        </w:rPr>
        <w:t xml:space="preserve"> to handle the issue on </w:t>
      </w:r>
      <w:r>
        <w:rPr>
          <w:rFonts w:hint="eastAsia"/>
        </w:rPr>
        <w:t xml:space="preserve">PDCCH monitoring </w:t>
      </w:r>
      <w:r>
        <w:t>for Rel-15 N</w:t>
      </w:r>
      <w:r w:rsidR="00C02CB5">
        <w:t xml:space="preserve">R-NR </w:t>
      </w:r>
      <w:r>
        <w:t>DC.</w:t>
      </w:r>
    </w:p>
    <w:p w14:paraId="347EAC87" w14:textId="36346CED" w:rsidR="006C0E7A" w:rsidRDefault="006C0E7A" w:rsidP="006C0E7A">
      <w:pPr>
        <w:pStyle w:val="ListParagraph"/>
        <w:numPr>
          <w:ilvl w:val="0"/>
          <w:numId w:val="17"/>
        </w:numPr>
        <w:spacing w:after="120"/>
        <w:rPr>
          <w:rFonts w:ascii="Times New Roman" w:hAnsi="Times New Roman"/>
          <w:sz w:val="22"/>
        </w:rPr>
      </w:pPr>
      <w:r w:rsidRPr="006C0E7A">
        <w:rPr>
          <w:rFonts w:ascii="Times New Roman" w:hAnsi="Times New Roman"/>
          <w:b/>
          <w:sz w:val="22"/>
        </w:rPr>
        <w:t>Alt 1</w:t>
      </w:r>
      <w:r w:rsidRPr="006C0E7A">
        <w:rPr>
          <w:rFonts w:ascii="Times New Roman" w:hAnsi="Times New Roman"/>
          <w:sz w:val="22"/>
        </w:rPr>
        <w:t xml:space="preserve">: The number of PDCCH candidates per cell group (CG) is </w:t>
      </w:r>
      <w:r w:rsidR="00EE0770">
        <w:rPr>
          <w:rFonts w:ascii="Times New Roman" w:hAnsi="Times New Roman"/>
          <w:sz w:val="22"/>
        </w:rPr>
        <w:t xml:space="preserve">separately determined, and </w:t>
      </w:r>
      <w:r>
        <w:rPr>
          <w:rFonts w:ascii="Times New Roman" w:hAnsi="Times New Roman"/>
          <w:sz w:val="22"/>
        </w:rPr>
        <w:t xml:space="preserve">network can </w:t>
      </w:r>
      <w:r w:rsidR="00EE0770">
        <w:rPr>
          <w:rFonts w:ascii="Times New Roman" w:hAnsi="Times New Roman"/>
          <w:sz w:val="22"/>
        </w:rPr>
        <w:t xml:space="preserve">semi-statically </w:t>
      </w:r>
      <w:r>
        <w:rPr>
          <w:rFonts w:ascii="Times New Roman" w:hAnsi="Times New Roman"/>
          <w:sz w:val="22"/>
        </w:rPr>
        <w:t xml:space="preserve">configure the </w:t>
      </w:r>
      <w:r w:rsidR="00EE0770">
        <w:rPr>
          <w:rFonts w:ascii="Times New Roman" w:hAnsi="Times New Roman"/>
          <w:sz w:val="22"/>
        </w:rPr>
        <w:t>reference</w:t>
      </w:r>
      <w:r>
        <w:rPr>
          <w:rFonts w:ascii="Times New Roman" w:hAnsi="Times New Roman"/>
          <w:sz w:val="22"/>
        </w:rPr>
        <w:t xml:space="preserve"> number of cells for blind detection </w:t>
      </w:r>
      <w:r w:rsidR="00FE3D48">
        <w:rPr>
          <w:rFonts w:ascii="Times New Roman" w:hAnsi="Times New Roman"/>
          <w:sz w:val="22"/>
        </w:rPr>
        <w:t>to</w:t>
      </w:r>
      <w:r>
        <w:rPr>
          <w:rFonts w:ascii="Times New Roman" w:hAnsi="Times New Roman"/>
          <w:sz w:val="22"/>
        </w:rPr>
        <w:t xml:space="preserve"> both MCG and SCG, </w:t>
      </w:r>
      <w:r w:rsidR="00FE3D48">
        <w:rPr>
          <w:rFonts w:ascii="Times New Roman" w:hAnsi="Times New Roman"/>
          <w:sz w:val="22"/>
        </w:rPr>
        <w:t xml:space="preserve">which can be denoted by </w:t>
      </w:r>
      <m:oMath>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cells</m:t>
            </m:r>
          </m:sub>
          <m:sup>
            <m:r>
              <m:rPr>
                <m:sty m:val="p"/>
              </m:rPr>
              <w:rPr>
                <w:rFonts w:ascii="Cambria Math" w:hAnsi="Cambria Math"/>
                <w:sz w:val="22"/>
              </w:rPr>
              <m:t>MCG</m:t>
            </m:r>
          </m:sup>
        </m:sSubSup>
      </m:oMath>
      <w:r w:rsidR="00FE3D48">
        <w:rPr>
          <w:rFonts w:ascii="Times New Roman" w:hAnsi="Times New Roman" w:hint="eastAsia"/>
          <w:sz w:val="22"/>
        </w:rPr>
        <w:t xml:space="preserve"> </w:t>
      </w:r>
      <w:r w:rsidR="00FE3D48">
        <w:rPr>
          <w:rFonts w:ascii="Times New Roman" w:hAnsi="Times New Roman"/>
          <w:sz w:val="22"/>
        </w:rPr>
        <w:t>and</w:t>
      </w:r>
      <m:oMath>
        <m:r>
          <w:rPr>
            <w:rFonts w:ascii="Cambria Math" w:hAnsi="Cambria Math"/>
            <w:sz w:val="22"/>
          </w:rPr>
          <m:t xml:space="preserve"> </m:t>
        </m:r>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cells</m:t>
            </m:r>
          </m:sub>
          <m:sup>
            <m:r>
              <m:rPr>
                <m:sty m:val="p"/>
              </m:rPr>
              <w:rPr>
                <w:rFonts w:ascii="Cambria Math" w:hAnsi="Cambria Math"/>
                <w:sz w:val="22"/>
              </w:rPr>
              <m:t>SCG</m:t>
            </m:r>
          </m:sup>
        </m:sSubSup>
      </m:oMath>
      <w:r w:rsidR="00FE3D48">
        <w:rPr>
          <w:rFonts w:ascii="Times New Roman" w:hAnsi="Times New Roman" w:hint="eastAsia"/>
          <w:sz w:val="22"/>
        </w:rPr>
        <w:t xml:space="preserve">, </w:t>
      </w:r>
      <w:r w:rsidR="00FE3D48">
        <w:rPr>
          <w:rFonts w:ascii="Times New Roman" w:hAnsi="Times New Roman"/>
          <w:sz w:val="22"/>
        </w:rPr>
        <w:t>respectively</w:t>
      </w:r>
      <w:r>
        <w:rPr>
          <w:rFonts w:ascii="Times New Roman" w:hAnsi="Times New Roman"/>
          <w:sz w:val="22"/>
        </w:rPr>
        <w:t>.</w:t>
      </w:r>
      <w:r w:rsidR="00FE3D48">
        <w:rPr>
          <w:rFonts w:ascii="Times New Roman" w:hAnsi="Times New Roman"/>
          <w:sz w:val="22"/>
        </w:rPr>
        <w:t xml:space="preserve"> </w:t>
      </w:r>
      <w:r w:rsidR="00C02CB5">
        <w:rPr>
          <w:rFonts w:ascii="Times New Roman" w:hAnsi="Times New Roman"/>
          <w:sz w:val="22"/>
        </w:rPr>
        <w:t xml:space="preserve">Here, it is worth mentioning, that UE is expected to be configured with </w:t>
      </w:r>
      <m:oMath>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cells</m:t>
            </m:r>
          </m:sub>
          <m:sup>
            <m:r>
              <m:rPr>
                <m:sty m:val="p"/>
              </m:rPr>
              <w:rPr>
                <w:rFonts w:ascii="Cambria Math" w:hAnsi="Cambria Math"/>
                <w:sz w:val="22"/>
              </w:rPr>
              <m:t>MCG</m:t>
            </m:r>
          </m:sup>
        </m:sSubSup>
      </m:oMath>
      <w:r w:rsidR="00C02CB5">
        <w:rPr>
          <w:rFonts w:ascii="Times New Roman" w:hAnsi="Times New Roman" w:hint="eastAsia"/>
          <w:sz w:val="22"/>
        </w:rPr>
        <w:t xml:space="preserve"> </w:t>
      </w:r>
      <w:r w:rsidR="00C02CB5">
        <w:rPr>
          <w:rFonts w:ascii="Times New Roman" w:hAnsi="Times New Roman"/>
          <w:sz w:val="22"/>
        </w:rPr>
        <w:t xml:space="preserve">and </w:t>
      </w:r>
      <m:oMath>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cells</m:t>
            </m:r>
          </m:sub>
          <m:sup>
            <m:r>
              <m:rPr>
                <m:sty m:val="p"/>
              </m:rPr>
              <w:rPr>
                <w:rFonts w:ascii="Cambria Math" w:hAnsi="Cambria Math"/>
                <w:sz w:val="22"/>
              </w:rPr>
              <m:t>SCG</m:t>
            </m:r>
          </m:sup>
        </m:sSubSup>
      </m:oMath>
      <w:r w:rsidR="00C02CB5">
        <w:rPr>
          <w:rFonts w:ascii="Times New Roman" w:hAnsi="Times New Roman" w:hint="eastAsia"/>
          <w:sz w:val="22"/>
        </w:rPr>
        <w:t xml:space="preserve"> </w:t>
      </w:r>
      <w:r w:rsidR="00500C0D">
        <w:rPr>
          <w:rFonts w:ascii="Times New Roman" w:hAnsi="Times New Roman" w:hint="eastAsia"/>
          <w:sz w:val="22"/>
        </w:rPr>
        <w:t>satisfy</w:t>
      </w:r>
      <w:r w:rsidR="00466A26">
        <w:rPr>
          <w:rFonts w:ascii="Times New Roman" w:hAnsi="Times New Roman"/>
          <w:sz w:val="22"/>
        </w:rPr>
        <w:t>ing</w:t>
      </w:r>
      <m:oMath>
        <m:r>
          <w:rPr>
            <w:rFonts w:ascii="Cambria Math" w:hAnsi="Cambria Math"/>
            <w:sz w:val="22"/>
          </w:rPr>
          <m:t xml:space="preserve"> </m:t>
        </m:r>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cells</m:t>
            </m:r>
          </m:sub>
          <m:sup>
            <m:r>
              <m:rPr>
                <m:sty m:val="p"/>
              </m:rPr>
              <w:rPr>
                <w:rFonts w:ascii="Cambria Math" w:hAnsi="Cambria Math"/>
                <w:sz w:val="22"/>
              </w:rPr>
              <m:t>MCG</m:t>
            </m:r>
          </m:sup>
        </m:sSubSup>
        <m:r>
          <w:rPr>
            <w:rFonts w:ascii="Cambria Math" w:hAnsi="Cambria Math"/>
            <w:sz w:val="22"/>
          </w:rPr>
          <m:t>+</m:t>
        </m:r>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cells</m:t>
            </m:r>
          </m:sub>
          <m:sup>
            <m:r>
              <m:rPr>
                <m:sty m:val="p"/>
              </m:rPr>
              <w:rPr>
                <w:rFonts w:ascii="Cambria Math" w:hAnsi="Cambria Math"/>
                <w:sz w:val="22"/>
              </w:rPr>
              <m:t>SCG</m:t>
            </m:r>
          </m:sup>
        </m:sSubSup>
        <m:r>
          <w:rPr>
            <w:rFonts w:ascii="Cambria Math" w:hAnsi="Cambria Math"/>
            <w:sz w:val="22"/>
          </w:rPr>
          <m:t>≤</m:t>
        </m:r>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cells</m:t>
            </m:r>
          </m:sub>
          <m:sup>
            <m:r>
              <m:rPr>
                <m:sty m:val="p"/>
              </m:rPr>
              <w:rPr>
                <w:rFonts w:ascii="Cambria Math" w:hAnsi="Cambria Math"/>
                <w:sz w:val="22"/>
              </w:rPr>
              <m:t>cap</m:t>
            </m:r>
          </m:sup>
        </m:sSubSup>
      </m:oMath>
      <w:r w:rsidR="00E846EC">
        <w:rPr>
          <w:rFonts w:ascii="Times New Roman" w:hAnsi="Times New Roman" w:hint="eastAsia"/>
          <w:sz w:val="22"/>
        </w:rPr>
        <w:t>, where</w:t>
      </w:r>
      <m:oMath>
        <m:r>
          <w:rPr>
            <w:rFonts w:ascii="Cambria Math" w:hAnsi="Cambria Math"/>
            <w:sz w:val="22"/>
          </w:rPr>
          <m:t xml:space="preserve"> </m:t>
        </m:r>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cells</m:t>
            </m:r>
          </m:sub>
          <m:sup>
            <m:r>
              <m:rPr>
                <m:sty m:val="p"/>
              </m:rPr>
              <w:rPr>
                <w:rFonts w:ascii="Cambria Math" w:hAnsi="Cambria Math"/>
                <w:sz w:val="22"/>
              </w:rPr>
              <m:t>cap</m:t>
            </m:r>
          </m:sup>
        </m:sSubSup>
      </m:oMath>
      <w:r w:rsidR="00E846EC">
        <w:rPr>
          <w:rFonts w:ascii="Times New Roman" w:hAnsi="Times New Roman" w:hint="eastAsia"/>
          <w:sz w:val="22"/>
        </w:rPr>
        <w:t xml:space="preserve"> is defined in </w:t>
      </w:r>
      <w:r w:rsidR="00E846EC">
        <w:rPr>
          <w:rFonts w:ascii="Times New Roman" w:hAnsi="Times New Roman"/>
          <w:sz w:val="22"/>
        </w:rPr>
        <w:t>Subclause</w:t>
      </w:r>
      <w:r w:rsidR="00E846EC">
        <w:rPr>
          <w:rFonts w:ascii="Times New Roman" w:hAnsi="Times New Roman" w:hint="eastAsia"/>
          <w:sz w:val="22"/>
        </w:rPr>
        <w:t xml:space="preserve"> 10.</w:t>
      </w:r>
      <w:r w:rsidR="00E846EC">
        <w:rPr>
          <w:rFonts w:ascii="Times New Roman" w:hAnsi="Times New Roman"/>
          <w:sz w:val="22"/>
        </w:rPr>
        <w:t>1 of TS 38.213</w:t>
      </w:r>
      <w:r w:rsidR="00EE0770">
        <w:rPr>
          <w:rFonts w:ascii="Times New Roman" w:hAnsi="Times New Roman" w:hint="eastAsia"/>
          <w:sz w:val="22"/>
        </w:rPr>
        <w:t>.</w:t>
      </w:r>
      <w:r w:rsidR="00EE0770">
        <w:rPr>
          <w:rFonts w:ascii="Times New Roman" w:hAnsi="Times New Roman"/>
          <w:sz w:val="22"/>
        </w:rPr>
        <w:t xml:space="preserve"> </w:t>
      </w:r>
      <w:r w:rsidR="00FE3D48">
        <w:rPr>
          <w:rFonts w:ascii="Times New Roman" w:hAnsi="Times New Roman"/>
          <w:sz w:val="22"/>
        </w:rPr>
        <w:t xml:space="preserve">Then UE can determine the maximum number of PDCCH candidates </w:t>
      </w:r>
      <w:r w:rsidR="00EE0770">
        <w:rPr>
          <w:rFonts w:ascii="Times New Roman" w:hAnsi="Times New Roman"/>
          <w:sz w:val="22"/>
        </w:rPr>
        <w:t>for each scheduled cell in</w:t>
      </w:r>
      <w:r w:rsidR="00FE3D48">
        <w:rPr>
          <w:rFonts w:ascii="Times New Roman" w:hAnsi="Times New Roman"/>
          <w:sz w:val="22"/>
        </w:rPr>
        <w:t xml:space="preserve"> MCG or SCG based on current procedure </w:t>
      </w:r>
      <w:r w:rsidR="00EE0770">
        <w:rPr>
          <w:rFonts w:ascii="Times New Roman" w:hAnsi="Times New Roman"/>
          <w:sz w:val="22"/>
        </w:rPr>
        <w:t xml:space="preserve">just </w:t>
      </w:r>
      <w:r w:rsidR="00FE3D48">
        <w:rPr>
          <w:rFonts w:ascii="Times New Roman" w:hAnsi="Times New Roman"/>
          <w:sz w:val="22"/>
        </w:rPr>
        <w:t xml:space="preserve">with  </w:t>
      </w:r>
      <m:oMath>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cells</m:t>
            </m:r>
          </m:sub>
          <m:sup>
            <m:r>
              <m:rPr>
                <m:sty m:val="p"/>
              </m:rPr>
              <w:rPr>
                <w:rFonts w:ascii="Cambria Math" w:hAnsi="Cambria Math"/>
                <w:sz w:val="22"/>
              </w:rPr>
              <m:t>MCG</m:t>
            </m:r>
          </m:sup>
        </m:sSubSup>
      </m:oMath>
      <w:r w:rsidR="00FE3D48">
        <w:rPr>
          <w:rFonts w:ascii="Times New Roman" w:hAnsi="Times New Roman" w:hint="eastAsia"/>
          <w:sz w:val="22"/>
        </w:rPr>
        <w:t xml:space="preserve"> </w:t>
      </w:r>
      <w:r w:rsidR="00FE3D48">
        <w:rPr>
          <w:rFonts w:ascii="Times New Roman" w:hAnsi="Times New Roman"/>
          <w:sz w:val="22"/>
        </w:rPr>
        <w:t xml:space="preserve">or </w:t>
      </w:r>
      <m:oMath>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cells</m:t>
            </m:r>
          </m:sub>
          <m:sup>
            <m:r>
              <m:rPr>
                <m:sty m:val="p"/>
              </m:rPr>
              <w:rPr>
                <w:rFonts w:ascii="Cambria Math" w:hAnsi="Cambria Math"/>
                <w:sz w:val="22"/>
              </w:rPr>
              <m:t>SCG</m:t>
            </m:r>
          </m:sup>
        </m:sSubSup>
      </m:oMath>
      <w:r w:rsidR="00FE3D48">
        <w:rPr>
          <w:rFonts w:ascii="Times New Roman" w:hAnsi="Times New Roman" w:hint="eastAsia"/>
          <w:sz w:val="22"/>
        </w:rPr>
        <w:t xml:space="preserve"> </w:t>
      </w:r>
      <w:r w:rsidR="00C02CB5">
        <w:rPr>
          <w:rFonts w:ascii="Times New Roman" w:hAnsi="Times New Roman"/>
          <w:sz w:val="22"/>
        </w:rPr>
        <w:t>instead of</w:t>
      </w:r>
      <w:r w:rsidR="00EE0770">
        <w:rPr>
          <w:rFonts w:ascii="Times New Roman" w:hAnsi="Times New Roman"/>
          <w:sz w:val="22"/>
        </w:rPr>
        <w:t xml:space="preserve"> </w:t>
      </w:r>
      <m:oMath>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cells</m:t>
            </m:r>
          </m:sub>
          <m:sup>
            <m:r>
              <m:rPr>
                <m:sty m:val="p"/>
              </m:rPr>
              <w:rPr>
                <w:rFonts w:ascii="Cambria Math" w:hAnsi="Cambria Math"/>
                <w:sz w:val="22"/>
              </w:rPr>
              <m:t>cap</m:t>
            </m:r>
          </m:sup>
        </m:sSubSup>
      </m:oMath>
      <w:r w:rsidR="00FE3D48">
        <w:rPr>
          <w:rFonts w:ascii="Times New Roman" w:hAnsi="Times New Roman" w:hint="eastAsia"/>
          <w:sz w:val="22"/>
        </w:rPr>
        <w:t xml:space="preserve">. </w:t>
      </w:r>
      <w:r w:rsidR="00C02CB5">
        <w:rPr>
          <w:rFonts w:ascii="Times New Roman" w:hAnsi="Times New Roman"/>
          <w:sz w:val="22"/>
        </w:rPr>
        <w:t xml:space="preserve">In this case, the total number of PDCCH candidates among all CGs will not exceed </w:t>
      </w:r>
      <w:r w:rsidR="00500C0D">
        <w:rPr>
          <w:rFonts w:ascii="Times New Roman" w:hAnsi="Times New Roman"/>
          <w:sz w:val="22"/>
        </w:rPr>
        <w:t>UE capability.</w:t>
      </w:r>
    </w:p>
    <w:p w14:paraId="7AAD9048" w14:textId="77777777" w:rsidR="00FE3D48" w:rsidRPr="006C0E7A" w:rsidRDefault="00FE3D48" w:rsidP="00FE3D48">
      <w:pPr>
        <w:pStyle w:val="ListParagraph"/>
        <w:numPr>
          <w:ilvl w:val="0"/>
          <w:numId w:val="17"/>
        </w:numPr>
        <w:spacing w:after="120"/>
        <w:rPr>
          <w:rFonts w:ascii="Times New Roman" w:hAnsi="Times New Roman"/>
          <w:sz w:val="22"/>
        </w:rPr>
      </w:pPr>
      <w:r>
        <w:rPr>
          <w:rFonts w:ascii="Times New Roman" w:hAnsi="Times New Roman"/>
          <w:b/>
          <w:sz w:val="22"/>
        </w:rPr>
        <w:t>Alt 2</w:t>
      </w:r>
      <w:r w:rsidRPr="00FE3D48">
        <w:rPr>
          <w:rFonts w:ascii="Times New Roman" w:hAnsi="Times New Roman"/>
          <w:sz w:val="22"/>
        </w:rPr>
        <w:t>:</w:t>
      </w:r>
      <w:r>
        <w:rPr>
          <w:rFonts w:ascii="Times New Roman" w:hAnsi="Times New Roman"/>
          <w:sz w:val="22"/>
        </w:rPr>
        <w:t xml:space="preserve"> </w:t>
      </w:r>
      <w:r w:rsidRPr="00FE3D48">
        <w:rPr>
          <w:rFonts w:ascii="Times New Roman" w:hAnsi="Times New Roman"/>
          <w:sz w:val="22"/>
        </w:rPr>
        <w:t xml:space="preserve">The number of PDCCH candidates per </w:t>
      </w:r>
      <w:r w:rsidR="00EE0770">
        <w:rPr>
          <w:rFonts w:ascii="Times New Roman" w:hAnsi="Times New Roman"/>
          <w:sz w:val="22"/>
        </w:rPr>
        <w:t>CG</w:t>
      </w:r>
      <w:r w:rsidRPr="00FE3D48">
        <w:rPr>
          <w:rFonts w:ascii="Times New Roman" w:hAnsi="Times New Roman"/>
          <w:sz w:val="22"/>
        </w:rPr>
        <w:t xml:space="preserve"> is </w:t>
      </w:r>
      <w:r w:rsidR="00EE0770">
        <w:rPr>
          <w:rFonts w:ascii="Times New Roman" w:hAnsi="Times New Roman"/>
          <w:sz w:val="22"/>
        </w:rPr>
        <w:t xml:space="preserve">jointly determined </w:t>
      </w:r>
      <w:r w:rsidR="00B95D2C">
        <w:rPr>
          <w:rFonts w:ascii="Times New Roman" w:hAnsi="Times New Roman"/>
          <w:sz w:val="22"/>
        </w:rPr>
        <w:t xml:space="preserve">by considering the total number of cells in both MCG and SCG. </w:t>
      </w:r>
      <w:r>
        <w:rPr>
          <w:rFonts w:ascii="Times New Roman" w:hAnsi="Times New Roman"/>
          <w:sz w:val="22"/>
        </w:rPr>
        <w:t xml:space="preserve"> </w:t>
      </w:r>
      <w:r w:rsidR="00B95D2C">
        <w:rPr>
          <w:rFonts w:ascii="Times New Roman" w:hAnsi="Times New Roman"/>
          <w:sz w:val="22"/>
        </w:rPr>
        <w:t xml:space="preserve">The parameter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c</m:t>
            </m:r>
            <m:r>
              <m:rPr>
                <m:sty m:val="p"/>
              </m:rPr>
              <w:rPr>
                <w:rFonts w:ascii="Cambria Math" w:hAnsi="Cambria Math"/>
                <w:sz w:val="22"/>
              </w:rPr>
              <m:t>ells</m:t>
            </m:r>
          </m:sub>
          <m:sup>
            <m:r>
              <m:rPr>
                <m:sty m:val="p"/>
              </m:rPr>
              <w:rPr>
                <w:rFonts w:ascii="Cambria Math" w:hAnsi="Cambria Math"/>
                <w:sz w:val="22"/>
              </w:rPr>
              <m:t>DL,</m:t>
            </m:r>
            <m:r>
              <w:rPr>
                <w:rFonts w:ascii="Cambria Math" w:hAnsi="Cambria Math"/>
                <w:sz w:val="22"/>
              </w:rPr>
              <m:t>μ</m:t>
            </m:r>
          </m:sup>
        </m:sSubSup>
      </m:oMath>
      <w:r w:rsidR="00B95D2C">
        <w:rPr>
          <w:rFonts w:ascii="Times New Roman" w:hAnsi="Times New Roman" w:hint="eastAsia"/>
          <w:sz w:val="22"/>
        </w:rPr>
        <w:t xml:space="preserve">  denotes the total number of DL cells </w:t>
      </w:r>
      <w:r w:rsidR="00B95D2C">
        <w:rPr>
          <w:rFonts w:ascii="Times New Roman" w:hAnsi="Times New Roman" w:hint="eastAsia"/>
          <w:sz w:val="22"/>
        </w:rPr>
        <w:lastRenderedPageBreak/>
        <w:t xml:space="preserve">with DL BWPs having SCS configuration </w:t>
      </w:r>
      <m:oMath>
        <m:r>
          <w:rPr>
            <w:rFonts w:ascii="Cambria Math" w:hAnsi="Cambria Math"/>
            <w:sz w:val="22"/>
          </w:rPr>
          <m:t>μ</m:t>
        </m:r>
      </m:oMath>
      <w:r w:rsidR="00B95D2C">
        <w:rPr>
          <w:rFonts w:ascii="Times New Roman" w:hAnsi="Times New Roman" w:hint="eastAsia"/>
          <w:sz w:val="22"/>
        </w:rPr>
        <w:t xml:space="preserve"> of both MCG and SCG.</w:t>
      </w:r>
      <w:r w:rsidR="00B95D2C">
        <w:rPr>
          <w:rFonts w:ascii="Times New Roman" w:hAnsi="Times New Roman"/>
          <w:sz w:val="22"/>
        </w:rPr>
        <w:t xml:space="preserve"> No change is needed for the UE procedure of calculating the maximum number of PDCCH candidates for each scheduled cell in each CG.</w:t>
      </w:r>
    </w:p>
    <w:p w14:paraId="6F8500CE" w14:textId="426A5C7C" w:rsidR="006C0E7A" w:rsidRDefault="00B95D2C" w:rsidP="008404E4">
      <w:r>
        <w:t xml:space="preserve">Comparing above two alternatives, </w:t>
      </w:r>
      <w:r w:rsidR="006C0E7A">
        <w:t>Alt 2</w:t>
      </w:r>
      <w:r>
        <w:t xml:space="preserve"> is more </w:t>
      </w:r>
      <w:r w:rsidR="00796033">
        <w:t>efficient</w:t>
      </w:r>
      <w:r>
        <w:t xml:space="preserve"> than Alt 1 since it allows dynamic sharing of number of PDCCH candidates between MCG and </w:t>
      </w:r>
      <w:r w:rsidR="00796033">
        <w:t xml:space="preserve">SCG, where UE can fully utilize its capability in monitoring PDCCH candidates in one CG when only a few cells are configured or activated in the other CG. However, Alt 2 requires the gNBs associated with MCG and SCG to exchange information of serving cells and activated BWPs configured for the DC UE. Otherwise, network cannot acquire the information of monitored PDCCH candidates for each scheduled cell. Considering that </w:t>
      </w:r>
      <w:r w:rsidR="000C2C85">
        <w:t xml:space="preserve">the scenario of </w:t>
      </w:r>
      <w:r w:rsidR="00796033">
        <w:t>Rel-15 N</w:t>
      </w:r>
      <w:r w:rsidR="007170A0">
        <w:t>R</w:t>
      </w:r>
      <w:r w:rsidR="00796033">
        <w:t>-</w:t>
      </w:r>
      <w:r w:rsidR="007170A0">
        <w:t xml:space="preserve">NR </w:t>
      </w:r>
      <w:r w:rsidR="00796033">
        <w:t xml:space="preserve">DC </w:t>
      </w:r>
      <w:r w:rsidR="000C2C85">
        <w:t xml:space="preserve">is </w:t>
      </w:r>
      <w:r w:rsidR="00796033">
        <w:t xml:space="preserve">only that cells of </w:t>
      </w:r>
      <w:r w:rsidR="000C2C85">
        <w:t xml:space="preserve">one </w:t>
      </w:r>
      <w:r w:rsidR="00796033">
        <w:t xml:space="preserve">CG are fully in FR1 and cells of </w:t>
      </w:r>
      <w:r w:rsidR="000C2C85">
        <w:t xml:space="preserve">the other </w:t>
      </w:r>
      <w:r w:rsidR="00796033">
        <w:t xml:space="preserve">CG are fully in FR2, it is </w:t>
      </w:r>
      <w:r w:rsidR="0089564A">
        <w:t xml:space="preserve">more likely deployed in non-colocated manners. In such non-colocated deployment, it </w:t>
      </w:r>
      <w:r w:rsidR="000C2C85">
        <w:t xml:space="preserve">may </w:t>
      </w:r>
      <w:r w:rsidR="0089564A">
        <w:t xml:space="preserve">not </w:t>
      </w:r>
      <w:r w:rsidR="000C2C85">
        <w:t xml:space="preserve">be </w:t>
      </w:r>
      <w:r w:rsidR="0089564A">
        <w:t>possible for gNBs associated with MCG and SCG to exchange scheduling information including the numerology of the active DL BWP in time</w:t>
      </w:r>
      <w:r w:rsidR="006C0E7A">
        <w:t>.</w:t>
      </w:r>
      <w:r w:rsidR="0089564A">
        <w:t xml:space="preserve"> So there is a possibility of occurrence of misalignment on number of monitored PDCCH candidates for each cell between gNB and UE. Therefore, it is preferable to adopt Alt 1 for Rel-15 N</w:t>
      </w:r>
      <w:r w:rsidR="00C02CB5">
        <w:t>R</w:t>
      </w:r>
      <w:r w:rsidR="0089564A">
        <w:t>-</w:t>
      </w:r>
      <w:r w:rsidR="007170A0">
        <w:t xml:space="preserve">NR </w:t>
      </w:r>
      <w:r w:rsidR="0089564A">
        <w:t>DC.</w:t>
      </w:r>
    </w:p>
    <w:p w14:paraId="5C7CD958" w14:textId="3079DE51" w:rsidR="00000251" w:rsidRPr="0089564A" w:rsidRDefault="0089564A" w:rsidP="008404E4">
      <w:pPr>
        <w:rPr>
          <w:i/>
        </w:rPr>
      </w:pPr>
      <w:r w:rsidRPr="0064575D">
        <w:rPr>
          <w:b/>
          <w:i/>
        </w:rPr>
        <w:t>Proposal</w:t>
      </w:r>
      <w:r w:rsidRPr="0089564A">
        <w:rPr>
          <w:i/>
        </w:rPr>
        <w:t>:</w:t>
      </w:r>
      <w:r>
        <w:rPr>
          <w:i/>
        </w:rPr>
        <w:t xml:space="preserve"> A reference number of cells for blind detection is configured to Rel-15 </w:t>
      </w:r>
      <w:r w:rsidR="00C02CB5">
        <w:rPr>
          <w:i/>
        </w:rPr>
        <w:t>NR</w:t>
      </w:r>
      <w:r>
        <w:rPr>
          <w:i/>
        </w:rPr>
        <w:t>-</w:t>
      </w:r>
      <w:r w:rsidR="00D00411">
        <w:rPr>
          <w:i/>
        </w:rPr>
        <w:t xml:space="preserve">NR </w:t>
      </w:r>
      <w:r>
        <w:rPr>
          <w:i/>
        </w:rPr>
        <w:t>DC UE per CG</w:t>
      </w:r>
      <w:r w:rsidR="0064575D">
        <w:rPr>
          <w:i/>
        </w:rPr>
        <w:t xml:space="preserve">, </w:t>
      </w:r>
      <w:r w:rsidR="00000251">
        <w:rPr>
          <w:i/>
        </w:rPr>
        <w:t xml:space="preserve">and </w:t>
      </w:r>
      <w:r w:rsidR="006A2453">
        <w:rPr>
          <w:i/>
        </w:rPr>
        <w:t xml:space="preserve">the </w:t>
      </w:r>
      <w:r w:rsidR="00000251">
        <w:rPr>
          <w:i/>
        </w:rPr>
        <w:t>UE is not expected that the total number of configured reference number of cells among all CGs exceeds</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oMath>
      <w:r w:rsidR="00000251">
        <w:rPr>
          <w:rFonts w:hint="eastAsia"/>
          <w:i/>
        </w:rPr>
        <w:t>.</w:t>
      </w:r>
    </w:p>
    <w:p w14:paraId="3CAADE35" w14:textId="5F53F467" w:rsidR="0089564A" w:rsidRDefault="0089564A" w:rsidP="008404E4"/>
    <w:p w14:paraId="021B7DE9" w14:textId="77777777" w:rsidR="00157FC3" w:rsidRPr="00CF195E" w:rsidRDefault="00747F48" w:rsidP="00CF195E">
      <w:pPr>
        <w:pStyle w:val="Heading1"/>
      </w:pPr>
      <w:r w:rsidRPr="00CF195E">
        <w:t>Conclusion</w:t>
      </w:r>
      <w:r w:rsidR="006B1FD5" w:rsidRPr="00CF195E">
        <w:t>s</w:t>
      </w:r>
    </w:p>
    <w:p w14:paraId="73BA0146" w14:textId="32D40FE0" w:rsidR="006B1FD5" w:rsidRDefault="002F423C" w:rsidP="006B1FD5">
      <w:pPr>
        <w:rPr>
          <w:kern w:val="2"/>
          <w:lang w:val="en-GB" w:eastAsia="zh-CN"/>
        </w:rPr>
      </w:pPr>
      <w:r>
        <w:rPr>
          <w:kern w:val="2"/>
          <w:lang w:val="en-GB" w:eastAsia="zh-CN"/>
        </w:rPr>
        <w:t xml:space="preserve">In this contribution, </w:t>
      </w:r>
      <w:r w:rsidR="0064575D">
        <w:rPr>
          <w:kern w:val="2"/>
          <w:lang w:val="en-GB" w:eastAsia="zh-CN"/>
        </w:rPr>
        <w:t>t</w:t>
      </w:r>
      <w:r w:rsidR="0064575D">
        <w:rPr>
          <w:rFonts w:eastAsiaTheme="minorEastAsia"/>
          <w:lang w:eastAsia="zh-CN"/>
        </w:rPr>
        <w:t>he issue on PDCCH monitoring limit for Rel-15 N</w:t>
      </w:r>
      <w:r w:rsidR="00000251">
        <w:rPr>
          <w:rFonts w:eastAsiaTheme="minorEastAsia"/>
          <w:lang w:eastAsia="zh-CN"/>
        </w:rPr>
        <w:t>R</w:t>
      </w:r>
      <w:r w:rsidR="0064575D">
        <w:rPr>
          <w:rFonts w:eastAsiaTheme="minorEastAsia"/>
          <w:lang w:eastAsia="zh-CN"/>
        </w:rPr>
        <w:t>-</w:t>
      </w:r>
      <w:r w:rsidR="00000251">
        <w:rPr>
          <w:rFonts w:eastAsiaTheme="minorEastAsia"/>
          <w:lang w:eastAsia="zh-CN"/>
        </w:rPr>
        <w:t xml:space="preserve">NR </w:t>
      </w:r>
      <w:r w:rsidR="0064575D">
        <w:rPr>
          <w:rFonts w:eastAsiaTheme="minorEastAsia"/>
          <w:lang w:eastAsia="zh-CN"/>
        </w:rPr>
        <w:t xml:space="preserve">DC </w:t>
      </w:r>
      <w:r w:rsidR="0064575D">
        <w:rPr>
          <w:kern w:val="2"/>
          <w:lang w:val="en-GB" w:eastAsia="zh-CN"/>
        </w:rPr>
        <w:t>is mainly</w:t>
      </w:r>
      <w:r w:rsidR="00846B29">
        <w:rPr>
          <w:kern w:val="2"/>
          <w:lang w:val="en-GB" w:eastAsia="zh-CN"/>
        </w:rPr>
        <w:t xml:space="preserve"> discussed. </w:t>
      </w:r>
      <w:r w:rsidR="0064575D">
        <w:rPr>
          <w:kern w:val="2"/>
          <w:lang w:val="en-GB" w:eastAsia="zh-CN"/>
        </w:rPr>
        <w:t>The following proposal</w:t>
      </w:r>
      <w:r w:rsidR="004A1A14">
        <w:rPr>
          <w:kern w:val="2"/>
          <w:lang w:val="en-GB" w:eastAsia="zh-CN"/>
        </w:rPr>
        <w:t xml:space="preserve"> </w:t>
      </w:r>
      <w:r w:rsidR="0064575D">
        <w:rPr>
          <w:kern w:val="2"/>
          <w:lang w:val="en-GB" w:eastAsia="zh-CN"/>
        </w:rPr>
        <w:t>is</w:t>
      </w:r>
      <w:r w:rsidR="004A1A14">
        <w:rPr>
          <w:kern w:val="2"/>
          <w:lang w:val="en-GB" w:eastAsia="zh-CN"/>
        </w:rPr>
        <w:t xml:space="preserve"> given:</w:t>
      </w:r>
    </w:p>
    <w:p w14:paraId="41CFCC06" w14:textId="77777777" w:rsidR="00000251" w:rsidRPr="0089564A" w:rsidRDefault="00000251" w:rsidP="00000251">
      <w:pPr>
        <w:rPr>
          <w:i/>
        </w:rPr>
      </w:pPr>
      <w:bookmarkStart w:id="4" w:name="_Ref124589665"/>
      <w:bookmarkStart w:id="5" w:name="_Ref71620620"/>
      <w:bookmarkStart w:id="6" w:name="_Ref124671424"/>
      <w:r w:rsidRPr="0064575D">
        <w:rPr>
          <w:b/>
          <w:i/>
        </w:rPr>
        <w:t>Proposal</w:t>
      </w:r>
      <w:r w:rsidRPr="0089564A">
        <w:rPr>
          <w:i/>
        </w:rPr>
        <w:t>:</w:t>
      </w:r>
      <w:r>
        <w:rPr>
          <w:i/>
        </w:rPr>
        <w:t xml:space="preserve"> A reference number of cells for blind detection is configured to Rel-15 NR-NR DC UE per CG, and </w:t>
      </w:r>
      <w:r w:rsidR="006A2453">
        <w:rPr>
          <w:i/>
        </w:rPr>
        <w:t xml:space="preserve">the </w:t>
      </w:r>
      <w:r>
        <w:rPr>
          <w:i/>
        </w:rPr>
        <w:t>UE is not expected that the total number of configured reference number of cells among all CGs exceeds</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oMath>
      <w:r>
        <w:rPr>
          <w:rFonts w:hint="eastAsia"/>
          <w:i/>
        </w:rPr>
        <w:t>.</w:t>
      </w:r>
    </w:p>
    <w:p w14:paraId="43217F8F" w14:textId="77777777" w:rsidR="001D780E" w:rsidRPr="00CF195E" w:rsidRDefault="001D780E" w:rsidP="00CF195E">
      <w:pPr>
        <w:pStyle w:val="Heading1"/>
        <w:numPr>
          <w:ilvl w:val="0"/>
          <w:numId w:val="0"/>
        </w:numPr>
        <w:ind w:left="432" w:hanging="432"/>
      </w:pPr>
      <w:r w:rsidRPr="00CF195E">
        <w:t>References</w:t>
      </w:r>
    </w:p>
    <w:p w14:paraId="77275F8C" w14:textId="77777777" w:rsidR="0035286A" w:rsidRDefault="0064575D" w:rsidP="0064575D">
      <w:pPr>
        <w:pStyle w:val="References"/>
      </w:pPr>
      <w:bookmarkStart w:id="7" w:name="_Ref523657759"/>
      <w:bookmarkStart w:id="8" w:name="_Ref450662982"/>
      <w:bookmarkStart w:id="9" w:name="_Ref457851771"/>
      <w:bookmarkStart w:id="10" w:name="_Ref450661959"/>
      <w:bookmarkStart w:id="11" w:name="_Ref167612875"/>
      <w:bookmarkStart w:id="12" w:name="_Ref167612671"/>
      <w:bookmarkEnd w:id="4"/>
      <w:bookmarkEnd w:id="5"/>
      <w:bookmarkEnd w:id="6"/>
      <w:r>
        <w:t xml:space="preserve"> </w:t>
      </w:r>
      <w:r w:rsidR="0035286A">
        <w:t>“Chairman’s notes</w:t>
      </w:r>
      <w:r w:rsidR="0035286A" w:rsidRPr="000243BF">
        <w:t xml:space="preserve"> RAN1</w:t>
      </w:r>
      <w:r w:rsidR="0035286A">
        <w:t xml:space="preserve"> </w:t>
      </w:r>
      <w:r>
        <w:t>#94bis</w:t>
      </w:r>
      <w:r w:rsidR="0035286A">
        <w:t xml:space="preserve">”, </w:t>
      </w:r>
      <w:r w:rsidRPr="0064575D">
        <w:t>Chengdu, China, October 8th – 12th, 2018</w:t>
      </w:r>
      <w:r w:rsidR="0035286A">
        <w:t>.</w:t>
      </w:r>
      <w:bookmarkEnd w:id="7"/>
    </w:p>
    <w:p w14:paraId="7F127BDF" w14:textId="53533C0E" w:rsidR="00C91118" w:rsidRPr="00C91118" w:rsidRDefault="00304002" w:rsidP="00B54EED">
      <w:pPr>
        <w:pStyle w:val="References"/>
      </w:pPr>
      <w:r>
        <w:t>“Chairman’s notes</w:t>
      </w:r>
      <w:r w:rsidRPr="000243BF">
        <w:t xml:space="preserve"> RAN</w:t>
      </w:r>
      <w:r w:rsidR="0064575D">
        <w:t>2</w:t>
      </w:r>
      <w:r>
        <w:t xml:space="preserve"> #</w:t>
      </w:r>
      <w:r w:rsidR="0064575D">
        <w:t>105</w:t>
      </w:r>
      <w:r>
        <w:t xml:space="preserve">”, </w:t>
      </w:r>
      <w:r w:rsidR="0064575D">
        <w:t>Athens, Greece, 25 February - 1 March, 2019</w:t>
      </w:r>
      <w:r>
        <w:t>.</w:t>
      </w:r>
      <w:bookmarkEnd w:id="3"/>
      <w:bookmarkEnd w:id="8"/>
      <w:bookmarkEnd w:id="9"/>
      <w:bookmarkEnd w:id="10"/>
      <w:bookmarkEnd w:id="11"/>
      <w:bookmarkEnd w:id="12"/>
    </w:p>
    <w:sectPr w:rsidR="00C91118"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EAE3B" w14:textId="77777777" w:rsidR="00784086" w:rsidRDefault="00784086">
      <w:r>
        <w:separator/>
      </w:r>
    </w:p>
  </w:endnote>
  <w:endnote w:type="continuationSeparator" w:id="0">
    <w:p w14:paraId="6F1D52DF" w14:textId="77777777" w:rsidR="00784086" w:rsidRDefault="0078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F8ADF" w14:textId="77777777" w:rsidR="00784086" w:rsidRDefault="00784086">
      <w:r>
        <w:separator/>
      </w:r>
    </w:p>
  </w:footnote>
  <w:footnote w:type="continuationSeparator" w:id="0">
    <w:p w14:paraId="77ACC7E8" w14:textId="77777777" w:rsidR="00784086" w:rsidRDefault="007840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F62219"/>
    <w:multiLevelType w:val="hybridMultilevel"/>
    <w:tmpl w:val="79A4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1"/>
  </w:num>
  <w:num w:numId="4">
    <w:abstractNumId w:val="8"/>
  </w:num>
  <w:num w:numId="5">
    <w:abstractNumId w:val="7"/>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
  </w:num>
  <w:num w:numId="13">
    <w:abstractNumId w:val="14"/>
  </w:num>
  <w:num w:numId="14">
    <w:abstractNumId w:val="1"/>
  </w:num>
  <w:num w:numId="15">
    <w:abstractNumId w:val="13"/>
  </w:num>
  <w:num w:numId="16">
    <w:abstractNumId w:val="10"/>
  </w:num>
  <w:num w:numId="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51"/>
    <w:rsid w:val="00000916"/>
    <w:rsid w:val="00000D04"/>
    <w:rsid w:val="00000DB2"/>
    <w:rsid w:val="000017B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38D"/>
    <w:rsid w:val="00013D74"/>
    <w:rsid w:val="00015EFB"/>
    <w:rsid w:val="000165E2"/>
    <w:rsid w:val="000172BE"/>
    <w:rsid w:val="00017D8A"/>
    <w:rsid w:val="00023388"/>
    <w:rsid w:val="00023425"/>
    <w:rsid w:val="000241BE"/>
    <w:rsid w:val="000242F2"/>
    <w:rsid w:val="0002534A"/>
    <w:rsid w:val="00026D4B"/>
    <w:rsid w:val="000275C6"/>
    <w:rsid w:val="00027AD6"/>
    <w:rsid w:val="0003024C"/>
    <w:rsid w:val="00031ADB"/>
    <w:rsid w:val="00032056"/>
    <w:rsid w:val="000328CA"/>
    <w:rsid w:val="00032E40"/>
    <w:rsid w:val="0003376B"/>
    <w:rsid w:val="00033B96"/>
    <w:rsid w:val="00034676"/>
    <w:rsid w:val="000346E6"/>
    <w:rsid w:val="000352B3"/>
    <w:rsid w:val="00035A62"/>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06C"/>
    <w:rsid w:val="000612E1"/>
    <w:rsid w:val="000614FE"/>
    <w:rsid w:val="00061D60"/>
    <w:rsid w:val="00065D38"/>
    <w:rsid w:val="000665CF"/>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033"/>
    <w:rsid w:val="00094A16"/>
    <w:rsid w:val="00094DE6"/>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B38"/>
    <w:rsid w:val="000B0343"/>
    <w:rsid w:val="000B24E4"/>
    <w:rsid w:val="000B2985"/>
    <w:rsid w:val="000B2C88"/>
    <w:rsid w:val="000B3342"/>
    <w:rsid w:val="000B51FA"/>
    <w:rsid w:val="000B5905"/>
    <w:rsid w:val="000B5975"/>
    <w:rsid w:val="000B6E2C"/>
    <w:rsid w:val="000B711A"/>
    <w:rsid w:val="000B76C5"/>
    <w:rsid w:val="000B7A10"/>
    <w:rsid w:val="000C115D"/>
    <w:rsid w:val="000C1535"/>
    <w:rsid w:val="000C252B"/>
    <w:rsid w:val="000C2C85"/>
    <w:rsid w:val="000C2FBD"/>
    <w:rsid w:val="000C3B0C"/>
    <w:rsid w:val="000C422D"/>
    <w:rsid w:val="000C5F91"/>
    <w:rsid w:val="000C6025"/>
    <w:rsid w:val="000C6D3A"/>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030"/>
    <w:rsid w:val="000E07D6"/>
    <w:rsid w:val="000E1380"/>
    <w:rsid w:val="000E18DF"/>
    <w:rsid w:val="000E59A0"/>
    <w:rsid w:val="000E7A84"/>
    <w:rsid w:val="000F15BC"/>
    <w:rsid w:val="000F180A"/>
    <w:rsid w:val="000F1C92"/>
    <w:rsid w:val="000F2EEE"/>
    <w:rsid w:val="000F3697"/>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29B5"/>
    <w:rsid w:val="00112BE6"/>
    <w:rsid w:val="00114043"/>
    <w:rsid w:val="001141E3"/>
    <w:rsid w:val="001144DF"/>
    <w:rsid w:val="0011557B"/>
    <w:rsid w:val="00117C85"/>
    <w:rsid w:val="00120257"/>
    <w:rsid w:val="00120B13"/>
    <w:rsid w:val="0012433B"/>
    <w:rsid w:val="00124D84"/>
    <w:rsid w:val="001250DD"/>
    <w:rsid w:val="00125733"/>
    <w:rsid w:val="001263AA"/>
    <w:rsid w:val="00130779"/>
    <w:rsid w:val="001307A1"/>
    <w:rsid w:val="00130F8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B4F"/>
    <w:rsid w:val="00146E32"/>
    <w:rsid w:val="00151619"/>
    <w:rsid w:val="001527F3"/>
    <w:rsid w:val="00152835"/>
    <w:rsid w:val="001559FA"/>
    <w:rsid w:val="00156374"/>
    <w:rsid w:val="001577D8"/>
    <w:rsid w:val="00157FC3"/>
    <w:rsid w:val="00160739"/>
    <w:rsid w:val="0016271E"/>
    <w:rsid w:val="00162C9F"/>
    <w:rsid w:val="00162D7A"/>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15A2"/>
    <w:rsid w:val="00181FC1"/>
    <w:rsid w:val="00183034"/>
    <w:rsid w:val="001830F7"/>
    <w:rsid w:val="00183EE6"/>
    <w:rsid w:val="0018588A"/>
    <w:rsid w:val="00187252"/>
    <w:rsid w:val="00191C91"/>
    <w:rsid w:val="00191E69"/>
    <w:rsid w:val="00192DD9"/>
    <w:rsid w:val="00194339"/>
    <w:rsid w:val="00194848"/>
    <w:rsid w:val="00194F64"/>
    <w:rsid w:val="001958EA"/>
    <w:rsid w:val="00195E0E"/>
    <w:rsid w:val="001A180D"/>
    <w:rsid w:val="001A1BAC"/>
    <w:rsid w:val="001A23CE"/>
    <w:rsid w:val="001A2C89"/>
    <w:rsid w:val="001A5D23"/>
    <w:rsid w:val="001A673E"/>
    <w:rsid w:val="001A7763"/>
    <w:rsid w:val="001B3964"/>
    <w:rsid w:val="001B4452"/>
    <w:rsid w:val="001B466C"/>
    <w:rsid w:val="001B4F34"/>
    <w:rsid w:val="001B52EC"/>
    <w:rsid w:val="001B554A"/>
    <w:rsid w:val="001B6564"/>
    <w:rsid w:val="001B691A"/>
    <w:rsid w:val="001B6CF6"/>
    <w:rsid w:val="001B730C"/>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29E5"/>
    <w:rsid w:val="001E3028"/>
    <w:rsid w:val="001E36D8"/>
    <w:rsid w:val="001E36E4"/>
    <w:rsid w:val="001E379D"/>
    <w:rsid w:val="001E3A3C"/>
    <w:rsid w:val="001E5C0D"/>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A7"/>
    <w:rsid w:val="00220894"/>
    <w:rsid w:val="002220B5"/>
    <w:rsid w:val="00224952"/>
    <w:rsid w:val="00224DD2"/>
    <w:rsid w:val="00225A6A"/>
    <w:rsid w:val="00225AC7"/>
    <w:rsid w:val="00225ACC"/>
    <w:rsid w:val="00226FBA"/>
    <w:rsid w:val="00231C25"/>
    <w:rsid w:val="00231C6F"/>
    <w:rsid w:val="00232A90"/>
    <w:rsid w:val="00234151"/>
    <w:rsid w:val="00234F8C"/>
    <w:rsid w:val="00235542"/>
    <w:rsid w:val="002369B0"/>
    <w:rsid w:val="00236AD8"/>
    <w:rsid w:val="002401F5"/>
    <w:rsid w:val="00240E54"/>
    <w:rsid w:val="00240ED4"/>
    <w:rsid w:val="002451C5"/>
    <w:rsid w:val="00245F1F"/>
    <w:rsid w:val="0024663B"/>
    <w:rsid w:val="00247103"/>
    <w:rsid w:val="00250067"/>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686"/>
    <w:rsid w:val="00277835"/>
    <w:rsid w:val="00280AB1"/>
    <w:rsid w:val="00281BF2"/>
    <w:rsid w:val="00284BAE"/>
    <w:rsid w:val="002859AF"/>
    <w:rsid w:val="00286AE7"/>
    <w:rsid w:val="00287243"/>
    <w:rsid w:val="00290647"/>
    <w:rsid w:val="00290FF3"/>
    <w:rsid w:val="00291385"/>
    <w:rsid w:val="00291422"/>
    <w:rsid w:val="0029237F"/>
    <w:rsid w:val="00292715"/>
    <w:rsid w:val="00293E3A"/>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538E"/>
    <w:rsid w:val="002B596C"/>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C95"/>
    <w:rsid w:val="002E3F5B"/>
    <w:rsid w:val="002E4362"/>
    <w:rsid w:val="002E63D9"/>
    <w:rsid w:val="002E640E"/>
    <w:rsid w:val="002F0C28"/>
    <w:rsid w:val="002F3348"/>
    <w:rsid w:val="002F3CDE"/>
    <w:rsid w:val="002F423C"/>
    <w:rsid w:val="002F4947"/>
    <w:rsid w:val="002F5DD6"/>
    <w:rsid w:val="002F5FEA"/>
    <w:rsid w:val="002F63E7"/>
    <w:rsid w:val="002F7BE3"/>
    <w:rsid w:val="002F7E6A"/>
    <w:rsid w:val="00300165"/>
    <w:rsid w:val="003010CF"/>
    <w:rsid w:val="00303440"/>
    <w:rsid w:val="00304002"/>
    <w:rsid w:val="00304D9B"/>
    <w:rsid w:val="00305FF9"/>
    <w:rsid w:val="003066F0"/>
    <w:rsid w:val="00306E6B"/>
    <w:rsid w:val="003100C8"/>
    <w:rsid w:val="00311161"/>
    <w:rsid w:val="00312400"/>
    <w:rsid w:val="00312739"/>
    <w:rsid w:val="00312D10"/>
    <w:rsid w:val="00314C8F"/>
    <w:rsid w:val="003178DA"/>
    <w:rsid w:val="00317DB8"/>
    <w:rsid w:val="00320618"/>
    <w:rsid w:val="0032100B"/>
    <w:rsid w:val="00321372"/>
    <w:rsid w:val="00321BD7"/>
    <w:rsid w:val="0032260F"/>
    <w:rsid w:val="003228DA"/>
    <w:rsid w:val="00323D6B"/>
    <w:rsid w:val="00326957"/>
    <w:rsid w:val="00326AE2"/>
    <w:rsid w:val="00331426"/>
    <w:rsid w:val="0033171D"/>
    <w:rsid w:val="00331FC3"/>
    <w:rsid w:val="003336B3"/>
    <w:rsid w:val="003341D4"/>
    <w:rsid w:val="00335B75"/>
    <w:rsid w:val="00335D8C"/>
    <w:rsid w:val="00336072"/>
    <w:rsid w:val="003363A1"/>
    <w:rsid w:val="00340DE6"/>
    <w:rsid w:val="0034149C"/>
    <w:rsid w:val="0034226D"/>
    <w:rsid w:val="00342972"/>
    <w:rsid w:val="00342FDD"/>
    <w:rsid w:val="0034429B"/>
    <w:rsid w:val="00344602"/>
    <w:rsid w:val="00344866"/>
    <w:rsid w:val="0034638C"/>
    <w:rsid w:val="00346F7F"/>
    <w:rsid w:val="00350108"/>
    <w:rsid w:val="00350762"/>
    <w:rsid w:val="003507C4"/>
    <w:rsid w:val="003519A1"/>
    <w:rsid w:val="00352480"/>
    <w:rsid w:val="0035286A"/>
    <w:rsid w:val="003530D2"/>
    <w:rsid w:val="0035331A"/>
    <w:rsid w:val="003534E1"/>
    <w:rsid w:val="003548D8"/>
    <w:rsid w:val="003554CA"/>
    <w:rsid w:val="00356E9D"/>
    <w:rsid w:val="00360232"/>
    <w:rsid w:val="003602E0"/>
    <w:rsid w:val="00360D01"/>
    <w:rsid w:val="00361A24"/>
    <w:rsid w:val="00362569"/>
    <w:rsid w:val="00362772"/>
    <w:rsid w:val="003636CD"/>
    <w:rsid w:val="0036487C"/>
    <w:rsid w:val="00364C63"/>
    <w:rsid w:val="0036538C"/>
    <w:rsid w:val="00365411"/>
    <w:rsid w:val="00365ED7"/>
    <w:rsid w:val="00365FA2"/>
    <w:rsid w:val="00366C69"/>
    <w:rsid w:val="00367441"/>
    <w:rsid w:val="00367B1D"/>
    <w:rsid w:val="00370E4F"/>
    <w:rsid w:val="00371215"/>
    <w:rsid w:val="00372F0D"/>
    <w:rsid w:val="003731D1"/>
    <w:rsid w:val="00374059"/>
    <w:rsid w:val="0037535B"/>
    <w:rsid w:val="0037552D"/>
    <w:rsid w:val="003756DB"/>
    <w:rsid w:val="003770BB"/>
    <w:rsid w:val="0037771A"/>
    <w:rsid w:val="003802DC"/>
    <w:rsid w:val="00380E4E"/>
    <w:rsid w:val="00380FBF"/>
    <w:rsid w:val="0038109D"/>
    <w:rsid w:val="0038168E"/>
    <w:rsid w:val="00382A43"/>
    <w:rsid w:val="00382D60"/>
    <w:rsid w:val="00382F29"/>
    <w:rsid w:val="003836CC"/>
    <w:rsid w:val="00383C8D"/>
    <w:rsid w:val="003852FB"/>
    <w:rsid w:val="00385429"/>
    <w:rsid w:val="00385B05"/>
    <w:rsid w:val="00386382"/>
    <w:rsid w:val="003865EF"/>
    <w:rsid w:val="00386BA9"/>
    <w:rsid w:val="00387B3E"/>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67A"/>
    <w:rsid w:val="003B0B5B"/>
    <w:rsid w:val="003B0E79"/>
    <w:rsid w:val="003B19A2"/>
    <w:rsid w:val="003B3575"/>
    <w:rsid w:val="003B50BC"/>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4D8F"/>
    <w:rsid w:val="003E6316"/>
    <w:rsid w:val="003E6884"/>
    <w:rsid w:val="003E6AC5"/>
    <w:rsid w:val="003F0096"/>
    <w:rsid w:val="003F0850"/>
    <w:rsid w:val="003F0D12"/>
    <w:rsid w:val="003F160C"/>
    <w:rsid w:val="003F23F9"/>
    <w:rsid w:val="003F324F"/>
    <w:rsid w:val="003F33BC"/>
    <w:rsid w:val="003F3D4E"/>
    <w:rsid w:val="003F477E"/>
    <w:rsid w:val="003F6CD2"/>
    <w:rsid w:val="003F788D"/>
    <w:rsid w:val="0040126E"/>
    <w:rsid w:val="004020D4"/>
    <w:rsid w:val="004021B6"/>
    <w:rsid w:val="00403D92"/>
    <w:rsid w:val="004047C4"/>
    <w:rsid w:val="0040570B"/>
    <w:rsid w:val="0040574D"/>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C74"/>
    <w:rsid w:val="00415D76"/>
    <w:rsid w:val="00416665"/>
    <w:rsid w:val="00416A67"/>
    <w:rsid w:val="00416ACB"/>
    <w:rsid w:val="00421DCF"/>
    <w:rsid w:val="00422341"/>
    <w:rsid w:val="00423641"/>
    <w:rsid w:val="00426266"/>
    <w:rsid w:val="004263AC"/>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46B4"/>
    <w:rsid w:val="00464A88"/>
    <w:rsid w:val="004651A0"/>
    <w:rsid w:val="00466532"/>
    <w:rsid w:val="00466A26"/>
    <w:rsid w:val="00467488"/>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D63"/>
    <w:rsid w:val="0049648F"/>
    <w:rsid w:val="00496606"/>
    <w:rsid w:val="004966B3"/>
    <w:rsid w:val="00496F05"/>
    <w:rsid w:val="00497370"/>
    <w:rsid w:val="004A0F39"/>
    <w:rsid w:val="004A1A14"/>
    <w:rsid w:val="004A251F"/>
    <w:rsid w:val="004A3BF1"/>
    <w:rsid w:val="004A3E42"/>
    <w:rsid w:val="004A4715"/>
    <w:rsid w:val="004A5046"/>
    <w:rsid w:val="004A565E"/>
    <w:rsid w:val="004A5DF3"/>
    <w:rsid w:val="004A6134"/>
    <w:rsid w:val="004A7092"/>
    <w:rsid w:val="004A7146"/>
    <w:rsid w:val="004B3554"/>
    <w:rsid w:val="004B49E6"/>
    <w:rsid w:val="004B4D69"/>
    <w:rsid w:val="004B5A23"/>
    <w:rsid w:val="004C0189"/>
    <w:rsid w:val="004C01A8"/>
    <w:rsid w:val="004C0B8F"/>
    <w:rsid w:val="004C1840"/>
    <w:rsid w:val="004C24C9"/>
    <w:rsid w:val="004C31B6"/>
    <w:rsid w:val="004C5319"/>
    <w:rsid w:val="004C621F"/>
    <w:rsid w:val="004C6358"/>
    <w:rsid w:val="004C7948"/>
    <w:rsid w:val="004C7BB8"/>
    <w:rsid w:val="004C7C60"/>
    <w:rsid w:val="004D0DFE"/>
    <w:rsid w:val="004D193E"/>
    <w:rsid w:val="004D1D91"/>
    <w:rsid w:val="004D22C3"/>
    <w:rsid w:val="004D6F4D"/>
    <w:rsid w:val="004D6F95"/>
    <w:rsid w:val="004D72FE"/>
    <w:rsid w:val="004D7E91"/>
    <w:rsid w:val="004E003A"/>
    <w:rsid w:val="004E0768"/>
    <w:rsid w:val="004E1A31"/>
    <w:rsid w:val="004E2DE0"/>
    <w:rsid w:val="004E3048"/>
    <w:rsid w:val="004E4060"/>
    <w:rsid w:val="004E409A"/>
    <w:rsid w:val="004F0FB9"/>
    <w:rsid w:val="004F2F7E"/>
    <w:rsid w:val="004F32B5"/>
    <w:rsid w:val="004F3F95"/>
    <w:rsid w:val="004F407E"/>
    <w:rsid w:val="004F4E59"/>
    <w:rsid w:val="004F53F8"/>
    <w:rsid w:val="004F5479"/>
    <w:rsid w:val="004F66E2"/>
    <w:rsid w:val="004F7528"/>
    <w:rsid w:val="004F7BCA"/>
    <w:rsid w:val="004F7D89"/>
    <w:rsid w:val="00500BF7"/>
    <w:rsid w:val="00500C0D"/>
    <w:rsid w:val="00501981"/>
    <w:rsid w:val="00501A85"/>
    <w:rsid w:val="00501BB3"/>
    <w:rsid w:val="005021DD"/>
    <w:rsid w:val="005026CA"/>
    <w:rsid w:val="00502B72"/>
    <w:rsid w:val="00504452"/>
    <w:rsid w:val="00504BC1"/>
    <w:rsid w:val="00505134"/>
    <w:rsid w:val="00505C04"/>
    <w:rsid w:val="00507236"/>
    <w:rsid w:val="0051149A"/>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57"/>
    <w:rsid w:val="00531EBE"/>
    <w:rsid w:val="00532F8B"/>
    <w:rsid w:val="00533737"/>
    <w:rsid w:val="00535B79"/>
    <w:rsid w:val="00535D7C"/>
    <w:rsid w:val="00535EA2"/>
    <w:rsid w:val="00536579"/>
    <w:rsid w:val="00536C1E"/>
    <w:rsid w:val="00537B11"/>
    <w:rsid w:val="00537B74"/>
    <w:rsid w:val="00537BE8"/>
    <w:rsid w:val="00541A6A"/>
    <w:rsid w:val="0054343A"/>
    <w:rsid w:val="00543974"/>
    <w:rsid w:val="00543EBF"/>
    <w:rsid w:val="00544ABA"/>
    <w:rsid w:val="0054593A"/>
    <w:rsid w:val="005467FB"/>
    <w:rsid w:val="00546899"/>
    <w:rsid w:val="00546AE9"/>
    <w:rsid w:val="00547989"/>
    <w:rsid w:val="00551320"/>
    <w:rsid w:val="005514E1"/>
    <w:rsid w:val="005518A4"/>
    <w:rsid w:val="00552768"/>
    <w:rsid w:val="00552935"/>
    <w:rsid w:val="00553127"/>
    <w:rsid w:val="005537D5"/>
    <w:rsid w:val="005540E0"/>
    <w:rsid w:val="00554BE7"/>
    <w:rsid w:val="00556D68"/>
    <w:rsid w:val="00557173"/>
    <w:rsid w:val="005576A1"/>
    <w:rsid w:val="00557A64"/>
    <w:rsid w:val="005605C0"/>
    <w:rsid w:val="005609DA"/>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F7"/>
    <w:rsid w:val="00596B9C"/>
    <w:rsid w:val="005A054D"/>
    <w:rsid w:val="005A0806"/>
    <w:rsid w:val="005A0A46"/>
    <w:rsid w:val="005A10B9"/>
    <w:rsid w:val="005A11EA"/>
    <w:rsid w:val="005A269F"/>
    <w:rsid w:val="005A305E"/>
    <w:rsid w:val="005A30BB"/>
    <w:rsid w:val="005A3887"/>
    <w:rsid w:val="005B0542"/>
    <w:rsid w:val="005B190B"/>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1FC4"/>
    <w:rsid w:val="005D206B"/>
    <w:rsid w:val="005D22B7"/>
    <w:rsid w:val="005D2BDE"/>
    <w:rsid w:val="005D3D76"/>
    <w:rsid w:val="005D4578"/>
    <w:rsid w:val="005D4EFA"/>
    <w:rsid w:val="005D55BA"/>
    <w:rsid w:val="005D5ADB"/>
    <w:rsid w:val="005D648A"/>
    <w:rsid w:val="005D6FAF"/>
    <w:rsid w:val="005D7E0D"/>
    <w:rsid w:val="005E232C"/>
    <w:rsid w:val="005E234A"/>
    <w:rsid w:val="005E35CC"/>
    <w:rsid w:val="005E371E"/>
    <w:rsid w:val="005E53F9"/>
    <w:rsid w:val="005E775D"/>
    <w:rsid w:val="005F0A43"/>
    <w:rsid w:val="005F27BF"/>
    <w:rsid w:val="005F3A24"/>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6970"/>
    <w:rsid w:val="00606A20"/>
    <w:rsid w:val="006072C6"/>
    <w:rsid w:val="00607A2E"/>
    <w:rsid w:val="006130F7"/>
    <w:rsid w:val="00613AF8"/>
    <w:rsid w:val="00613D8E"/>
    <w:rsid w:val="006142E0"/>
    <w:rsid w:val="00616112"/>
    <w:rsid w:val="006167EA"/>
    <w:rsid w:val="006205CA"/>
    <w:rsid w:val="00621F53"/>
    <w:rsid w:val="00622E2A"/>
    <w:rsid w:val="00622FCF"/>
    <w:rsid w:val="00623089"/>
    <w:rsid w:val="0062308E"/>
    <w:rsid w:val="0062326B"/>
    <w:rsid w:val="006234C4"/>
    <w:rsid w:val="006244C9"/>
    <w:rsid w:val="006245F6"/>
    <w:rsid w:val="0062475D"/>
    <w:rsid w:val="0062495F"/>
    <w:rsid w:val="0062660B"/>
    <w:rsid w:val="00626AD1"/>
    <w:rsid w:val="006304BC"/>
    <w:rsid w:val="00630DCE"/>
    <w:rsid w:val="0063120A"/>
    <w:rsid w:val="0063150B"/>
    <w:rsid w:val="00631585"/>
    <w:rsid w:val="00633382"/>
    <w:rsid w:val="00634368"/>
    <w:rsid w:val="00634ACF"/>
    <w:rsid w:val="00635035"/>
    <w:rsid w:val="0063580D"/>
    <w:rsid w:val="00635CAE"/>
    <w:rsid w:val="00637240"/>
    <w:rsid w:val="006373A3"/>
    <w:rsid w:val="00643660"/>
    <w:rsid w:val="0064575D"/>
    <w:rsid w:val="00650139"/>
    <w:rsid w:val="006502A8"/>
    <w:rsid w:val="00651930"/>
    <w:rsid w:val="0065205B"/>
    <w:rsid w:val="00652756"/>
    <w:rsid w:val="00652AD8"/>
    <w:rsid w:val="00652B79"/>
    <w:rsid w:val="006533C3"/>
    <w:rsid w:val="00654068"/>
    <w:rsid w:val="00654B38"/>
    <w:rsid w:val="00654B83"/>
    <w:rsid w:val="00655061"/>
    <w:rsid w:val="0065510C"/>
    <w:rsid w:val="00655B63"/>
    <w:rsid w:val="006571F6"/>
    <w:rsid w:val="006614A5"/>
    <w:rsid w:val="006618CC"/>
    <w:rsid w:val="00662111"/>
    <w:rsid w:val="00662118"/>
    <w:rsid w:val="006638AD"/>
    <w:rsid w:val="00666101"/>
    <w:rsid w:val="0066732C"/>
    <w:rsid w:val="006679F5"/>
    <w:rsid w:val="00667B77"/>
    <w:rsid w:val="00667BFA"/>
    <w:rsid w:val="006716DA"/>
    <w:rsid w:val="006728ED"/>
    <w:rsid w:val="006732B1"/>
    <w:rsid w:val="0067446F"/>
    <w:rsid w:val="006746A4"/>
    <w:rsid w:val="00675558"/>
    <w:rsid w:val="00675611"/>
    <w:rsid w:val="00675A60"/>
    <w:rsid w:val="0067697E"/>
    <w:rsid w:val="00677443"/>
    <w:rsid w:val="0067769A"/>
    <w:rsid w:val="00680472"/>
    <w:rsid w:val="006806A3"/>
    <w:rsid w:val="006806A6"/>
    <w:rsid w:val="006810AE"/>
    <w:rsid w:val="00681211"/>
    <w:rsid w:val="00681B36"/>
    <w:rsid w:val="00682E14"/>
    <w:rsid w:val="006836FF"/>
    <w:rsid w:val="0068436C"/>
    <w:rsid w:val="0068545E"/>
    <w:rsid w:val="00685FD4"/>
    <w:rsid w:val="00686612"/>
    <w:rsid w:val="0068661E"/>
    <w:rsid w:val="00690A49"/>
    <w:rsid w:val="00690BB6"/>
    <w:rsid w:val="00691B30"/>
    <w:rsid w:val="00692C4D"/>
    <w:rsid w:val="00693E1F"/>
    <w:rsid w:val="00693ECB"/>
    <w:rsid w:val="00694797"/>
    <w:rsid w:val="00695887"/>
    <w:rsid w:val="00696051"/>
    <w:rsid w:val="006971CE"/>
    <w:rsid w:val="00697733"/>
    <w:rsid w:val="006A2453"/>
    <w:rsid w:val="006A254E"/>
    <w:rsid w:val="006A2C30"/>
    <w:rsid w:val="006A301C"/>
    <w:rsid w:val="006A3E2B"/>
    <w:rsid w:val="006A634A"/>
    <w:rsid w:val="006A6E17"/>
    <w:rsid w:val="006B120D"/>
    <w:rsid w:val="006B17E7"/>
    <w:rsid w:val="006B19E8"/>
    <w:rsid w:val="006B1A8A"/>
    <w:rsid w:val="006B1FD5"/>
    <w:rsid w:val="006B555A"/>
    <w:rsid w:val="006B600A"/>
    <w:rsid w:val="006B6635"/>
    <w:rsid w:val="006B7D22"/>
    <w:rsid w:val="006B7D2C"/>
    <w:rsid w:val="006C0E7A"/>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61B"/>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0A0"/>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ED3"/>
    <w:rsid w:val="0076681D"/>
    <w:rsid w:val="00766A65"/>
    <w:rsid w:val="00766C48"/>
    <w:rsid w:val="007671F5"/>
    <w:rsid w:val="007676B8"/>
    <w:rsid w:val="0077162C"/>
    <w:rsid w:val="0077175C"/>
    <w:rsid w:val="00771870"/>
    <w:rsid w:val="00771BF9"/>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086"/>
    <w:rsid w:val="0078483B"/>
    <w:rsid w:val="00784EED"/>
    <w:rsid w:val="00785900"/>
    <w:rsid w:val="00786958"/>
    <w:rsid w:val="00786E71"/>
    <w:rsid w:val="0079162F"/>
    <w:rsid w:val="00794924"/>
    <w:rsid w:val="00794AE4"/>
    <w:rsid w:val="00796033"/>
    <w:rsid w:val="007A0BC2"/>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5246"/>
    <w:rsid w:val="007B52CD"/>
    <w:rsid w:val="007B72BF"/>
    <w:rsid w:val="007B7DC1"/>
    <w:rsid w:val="007B7EDB"/>
    <w:rsid w:val="007C19AD"/>
    <w:rsid w:val="007C3598"/>
    <w:rsid w:val="007C3FA8"/>
    <w:rsid w:val="007C590B"/>
    <w:rsid w:val="007C68DA"/>
    <w:rsid w:val="007D229A"/>
    <w:rsid w:val="007D2F44"/>
    <w:rsid w:val="007D2F4D"/>
    <w:rsid w:val="007D4178"/>
    <w:rsid w:val="007D4D33"/>
    <w:rsid w:val="007D7175"/>
    <w:rsid w:val="007D731C"/>
    <w:rsid w:val="007E1369"/>
    <w:rsid w:val="007E1A1B"/>
    <w:rsid w:val="007E1A88"/>
    <w:rsid w:val="007E1CDE"/>
    <w:rsid w:val="007E4C88"/>
    <w:rsid w:val="007E4E99"/>
    <w:rsid w:val="007E5278"/>
    <w:rsid w:val="007E585E"/>
    <w:rsid w:val="007E7DDF"/>
    <w:rsid w:val="007F11C8"/>
    <w:rsid w:val="007F1CFB"/>
    <w:rsid w:val="007F220B"/>
    <w:rsid w:val="007F27DD"/>
    <w:rsid w:val="007F49F7"/>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581D"/>
    <w:rsid w:val="008172BE"/>
    <w:rsid w:val="00817B71"/>
    <w:rsid w:val="00820244"/>
    <w:rsid w:val="008221B3"/>
    <w:rsid w:val="0082232D"/>
    <w:rsid w:val="0082248E"/>
    <w:rsid w:val="008230A4"/>
    <w:rsid w:val="008248AB"/>
    <w:rsid w:val="00824FDF"/>
    <w:rsid w:val="00825125"/>
    <w:rsid w:val="00825382"/>
    <w:rsid w:val="008256DC"/>
    <w:rsid w:val="008257CC"/>
    <w:rsid w:val="008274BF"/>
    <w:rsid w:val="00830DC3"/>
    <w:rsid w:val="00831555"/>
    <w:rsid w:val="00831F52"/>
    <w:rsid w:val="00832154"/>
    <w:rsid w:val="00832AD1"/>
    <w:rsid w:val="00832F5C"/>
    <w:rsid w:val="008359E0"/>
    <w:rsid w:val="008376F6"/>
    <w:rsid w:val="00837D5B"/>
    <w:rsid w:val="008404E4"/>
    <w:rsid w:val="00840607"/>
    <w:rsid w:val="00841CD2"/>
    <w:rsid w:val="00842B77"/>
    <w:rsid w:val="0084309F"/>
    <w:rsid w:val="00845C12"/>
    <w:rsid w:val="008469D9"/>
    <w:rsid w:val="00846B29"/>
    <w:rsid w:val="00846DC0"/>
    <w:rsid w:val="008474A7"/>
    <w:rsid w:val="008506B6"/>
    <w:rsid w:val="00850AE0"/>
    <w:rsid w:val="00851369"/>
    <w:rsid w:val="008524D2"/>
    <w:rsid w:val="00852E19"/>
    <w:rsid w:val="008542D4"/>
    <w:rsid w:val="00856416"/>
    <w:rsid w:val="00856833"/>
    <w:rsid w:val="00856840"/>
    <w:rsid w:val="0086087C"/>
    <w:rsid w:val="008608A1"/>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8A2"/>
    <w:rsid w:val="00880F30"/>
    <w:rsid w:val="00882585"/>
    <w:rsid w:val="008828BA"/>
    <w:rsid w:val="008833E8"/>
    <w:rsid w:val="00883484"/>
    <w:rsid w:val="00885953"/>
    <w:rsid w:val="00887B48"/>
    <w:rsid w:val="0089176E"/>
    <w:rsid w:val="008917E0"/>
    <w:rsid w:val="00892365"/>
    <w:rsid w:val="00892BE5"/>
    <w:rsid w:val="0089387C"/>
    <w:rsid w:val="0089444E"/>
    <w:rsid w:val="008949DF"/>
    <w:rsid w:val="00894FFC"/>
    <w:rsid w:val="008951DB"/>
    <w:rsid w:val="0089564A"/>
    <w:rsid w:val="00896C81"/>
    <w:rsid w:val="00896D83"/>
    <w:rsid w:val="008A0AB2"/>
    <w:rsid w:val="008A0CFC"/>
    <w:rsid w:val="008A12FE"/>
    <w:rsid w:val="008A208B"/>
    <w:rsid w:val="008A28B6"/>
    <w:rsid w:val="008A2BB1"/>
    <w:rsid w:val="008A3466"/>
    <w:rsid w:val="008A389F"/>
    <w:rsid w:val="008A3D02"/>
    <w:rsid w:val="008A5940"/>
    <w:rsid w:val="008A6BE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F26"/>
    <w:rsid w:val="008C2A3A"/>
    <w:rsid w:val="008C475E"/>
    <w:rsid w:val="008C4C7E"/>
    <w:rsid w:val="008C5C46"/>
    <w:rsid w:val="008C6184"/>
    <w:rsid w:val="008C785E"/>
    <w:rsid w:val="008D0AFB"/>
    <w:rsid w:val="008D1511"/>
    <w:rsid w:val="008D1B3D"/>
    <w:rsid w:val="008D32DF"/>
    <w:rsid w:val="008D35E9"/>
    <w:rsid w:val="008D3959"/>
    <w:rsid w:val="008D3966"/>
    <w:rsid w:val="008D4352"/>
    <w:rsid w:val="008D4957"/>
    <w:rsid w:val="008D60BC"/>
    <w:rsid w:val="008D6D7B"/>
    <w:rsid w:val="008D7EB7"/>
    <w:rsid w:val="008E0DB1"/>
    <w:rsid w:val="008E0EB8"/>
    <w:rsid w:val="008E10A6"/>
    <w:rsid w:val="008E1271"/>
    <w:rsid w:val="008E2251"/>
    <w:rsid w:val="008E24B3"/>
    <w:rsid w:val="008E24CA"/>
    <w:rsid w:val="008E2F6E"/>
    <w:rsid w:val="008E38AD"/>
    <w:rsid w:val="008E3EEC"/>
    <w:rsid w:val="008E5BF2"/>
    <w:rsid w:val="008E5C81"/>
    <w:rsid w:val="008F0713"/>
    <w:rsid w:val="008F0A38"/>
    <w:rsid w:val="008F0F84"/>
    <w:rsid w:val="008F1014"/>
    <w:rsid w:val="008F11C9"/>
    <w:rsid w:val="008F19EC"/>
    <w:rsid w:val="008F23D8"/>
    <w:rsid w:val="008F2EE4"/>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6A4"/>
    <w:rsid w:val="00914FD3"/>
    <w:rsid w:val="00915757"/>
    <w:rsid w:val="009159B3"/>
    <w:rsid w:val="00916181"/>
    <w:rsid w:val="009204C5"/>
    <w:rsid w:val="0092180D"/>
    <w:rsid w:val="00921909"/>
    <w:rsid w:val="009232C9"/>
    <w:rsid w:val="00923608"/>
    <w:rsid w:val="009238E5"/>
    <w:rsid w:val="00923F12"/>
    <w:rsid w:val="00924A59"/>
    <w:rsid w:val="00924FF8"/>
    <w:rsid w:val="009258B1"/>
    <w:rsid w:val="00925BA8"/>
    <w:rsid w:val="00926DA7"/>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180"/>
    <w:rsid w:val="0094590C"/>
    <w:rsid w:val="00946355"/>
    <w:rsid w:val="009468B7"/>
    <w:rsid w:val="009469D3"/>
    <w:rsid w:val="0094724E"/>
    <w:rsid w:val="00947973"/>
    <w:rsid w:val="00947BE6"/>
    <w:rsid w:val="0095048D"/>
    <w:rsid w:val="00951ADB"/>
    <w:rsid w:val="0095380C"/>
    <w:rsid w:val="00954353"/>
    <w:rsid w:val="009543C7"/>
    <w:rsid w:val="00955C0A"/>
    <w:rsid w:val="00955C4F"/>
    <w:rsid w:val="009572B1"/>
    <w:rsid w:val="00964C0A"/>
    <w:rsid w:val="009657F1"/>
    <w:rsid w:val="0096625D"/>
    <w:rsid w:val="009709F8"/>
    <w:rsid w:val="00972929"/>
    <w:rsid w:val="00972F91"/>
    <w:rsid w:val="00973827"/>
    <w:rsid w:val="009742D3"/>
    <w:rsid w:val="00977BA7"/>
    <w:rsid w:val="00980517"/>
    <w:rsid w:val="00981446"/>
    <w:rsid w:val="0098194F"/>
    <w:rsid w:val="009826C8"/>
    <w:rsid w:val="009836E4"/>
    <w:rsid w:val="0098412F"/>
    <w:rsid w:val="00985C93"/>
    <w:rsid w:val="00985F28"/>
    <w:rsid w:val="00986149"/>
    <w:rsid w:val="00986176"/>
    <w:rsid w:val="00986E7F"/>
    <w:rsid w:val="00987536"/>
    <w:rsid w:val="00990BD5"/>
    <w:rsid w:val="009917BA"/>
    <w:rsid w:val="0099196F"/>
    <w:rsid w:val="009925CC"/>
    <w:rsid w:val="00992B98"/>
    <w:rsid w:val="0099359F"/>
    <w:rsid w:val="00993621"/>
    <w:rsid w:val="009940CD"/>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D6"/>
    <w:rsid w:val="009B37E2"/>
    <w:rsid w:val="009B4519"/>
    <w:rsid w:val="009B506B"/>
    <w:rsid w:val="009B57EF"/>
    <w:rsid w:val="009B5B85"/>
    <w:rsid w:val="009B7204"/>
    <w:rsid w:val="009C0074"/>
    <w:rsid w:val="009C0564"/>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BAB"/>
    <w:rsid w:val="009D6A0A"/>
    <w:rsid w:val="009D70C0"/>
    <w:rsid w:val="009E058F"/>
    <w:rsid w:val="009E0A9E"/>
    <w:rsid w:val="009E19A2"/>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70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282"/>
    <w:rsid w:val="00A4549F"/>
    <w:rsid w:val="00A45B9B"/>
    <w:rsid w:val="00A462FE"/>
    <w:rsid w:val="00A501C9"/>
    <w:rsid w:val="00A50506"/>
    <w:rsid w:val="00A51005"/>
    <w:rsid w:val="00A51DA4"/>
    <w:rsid w:val="00A53F55"/>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9E1"/>
    <w:rsid w:val="00AB1BA7"/>
    <w:rsid w:val="00AB1E04"/>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5D5"/>
    <w:rsid w:val="00AF3DBB"/>
    <w:rsid w:val="00AF43E1"/>
    <w:rsid w:val="00AF5194"/>
    <w:rsid w:val="00AF53EF"/>
    <w:rsid w:val="00AF73C3"/>
    <w:rsid w:val="00AF795C"/>
    <w:rsid w:val="00B00752"/>
    <w:rsid w:val="00B026C1"/>
    <w:rsid w:val="00B02B9C"/>
    <w:rsid w:val="00B0353B"/>
    <w:rsid w:val="00B040B2"/>
    <w:rsid w:val="00B10558"/>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26FF"/>
    <w:rsid w:val="00B340AA"/>
    <w:rsid w:val="00B34A9F"/>
    <w:rsid w:val="00B34B80"/>
    <w:rsid w:val="00B35CDA"/>
    <w:rsid w:val="00B36010"/>
    <w:rsid w:val="00B37D97"/>
    <w:rsid w:val="00B411BD"/>
    <w:rsid w:val="00B41559"/>
    <w:rsid w:val="00B418E8"/>
    <w:rsid w:val="00B41C43"/>
    <w:rsid w:val="00B42285"/>
    <w:rsid w:val="00B4274B"/>
    <w:rsid w:val="00B435B1"/>
    <w:rsid w:val="00B4367F"/>
    <w:rsid w:val="00B438BA"/>
    <w:rsid w:val="00B447CA"/>
    <w:rsid w:val="00B44F99"/>
    <w:rsid w:val="00B45876"/>
    <w:rsid w:val="00B45AD5"/>
    <w:rsid w:val="00B51542"/>
    <w:rsid w:val="00B51D1D"/>
    <w:rsid w:val="00B5310E"/>
    <w:rsid w:val="00B544F5"/>
    <w:rsid w:val="00B54ACC"/>
    <w:rsid w:val="00B54DCB"/>
    <w:rsid w:val="00B54EED"/>
    <w:rsid w:val="00B55AC2"/>
    <w:rsid w:val="00B560C9"/>
    <w:rsid w:val="00B56533"/>
    <w:rsid w:val="00B567AC"/>
    <w:rsid w:val="00B56CFC"/>
    <w:rsid w:val="00B57777"/>
    <w:rsid w:val="00B57A17"/>
    <w:rsid w:val="00B61BE2"/>
    <w:rsid w:val="00B6266F"/>
    <w:rsid w:val="00B62E0B"/>
    <w:rsid w:val="00B63C32"/>
    <w:rsid w:val="00B64434"/>
    <w:rsid w:val="00B711CE"/>
    <w:rsid w:val="00B71DC8"/>
    <w:rsid w:val="00B746C6"/>
    <w:rsid w:val="00B7604C"/>
    <w:rsid w:val="00B762E6"/>
    <w:rsid w:val="00B7652C"/>
    <w:rsid w:val="00B766BF"/>
    <w:rsid w:val="00B76FA6"/>
    <w:rsid w:val="00B7739C"/>
    <w:rsid w:val="00B80910"/>
    <w:rsid w:val="00B818F4"/>
    <w:rsid w:val="00B81BC9"/>
    <w:rsid w:val="00B8222F"/>
    <w:rsid w:val="00B82615"/>
    <w:rsid w:val="00B83444"/>
    <w:rsid w:val="00B836ED"/>
    <w:rsid w:val="00B84D66"/>
    <w:rsid w:val="00B853BE"/>
    <w:rsid w:val="00B8540B"/>
    <w:rsid w:val="00B86476"/>
    <w:rsid w:val="00B86A3D"/>
    <w:rsid w:val="00B875C7"/>
    <w:rsid w:val="00B90D10"/>
    <w:rsid w:val="00B90FE5"/>
    <w:rsid w:val="00B919AD"/>
    <w:rsid w:val="00B91A2B"/>
    <w:rsid w:val="00B93204"/>
    <w:rsid w:val="00B9497E"/>
    <w:rsid w:val="00B94E17"/>
    <w:rsid w:val="00B957FE"/>
    <w:rsid w:val="00B95D2C"/>
    <w:rsid w:val="00B95F02"/>
    <w:rsid w:val="00B96BEF"/>
    <w:rsid w:val="00B96FC0"/>
    <w:rsid w:val="00B97260"/>
    <w:rsid w:val="00B97A69"/>
    <w:rsid w:val="00BA0632"/>
    <w:rsid w:val="00BA0AAA"/>
    <w:rsid w:val="00BA0DFB"/>
    <w:rsid w:val="00BA2635"/>
    <w:rsid w:val="00BA2FEF"/>
    <w:rsid w:val="00BB1548"/>
    <w:rsid w:val="00BB1CE7"/>
    <w:rsid w:val="00BB2FD3"/>
    <w:rsid w:val="00BB2FDF"/>
    <w:rsid w:val="00BB2FFF"/>
    <w:rsid w:val="00BB548D"/>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A98"/>
    <w:rsid w:val="00BD008E"/>
    <w:rsid w:val="00BD0403"/>
    <w:rsid w:val="00BD2F3B"/>
    <w:rsid w:val="00BD3372"/>
    <w:rsid w:val="00BD50AA"/>
    <w:rsid w:val="00BD5135"/>
    <w:rsid w:val="00BD59DE"/>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4B9"/>
    <w:rsid w:val="00C02766"/>
    <w:rsid w:val="00C02CB5"/>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3D92"/>
    <w:rsid w:val="00C24B4D"/>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63F5"/>
    <w:rsid w:val="00C570F7"/>
    <w:rsid w:val="00C62CD5"/>
    <w:rsid w:val="00C636E6"/>
    <w:rsid w:val="00C639D6"/>
    <w:rsid w:val="00C63F8E"/>
    <w:rsid w:val="00C64516"/>
    <w:rsid w:val="00C647FB"/>
    <w:rsid w:val="00C654E0"/>
    <w:rsid w:val="00C67EAB"/>
    <w:rsid w:val="00C70DFF"/>
    <w:rsid w:val="00C71A70"/>
    <w:rsid w:val="00C73566"/>
    <w:rsid w:val="00C75A6B"/>
    <w:rsid w:val="00C763B6"/>
    <w:rsid w:val="00C7644F"/>
    <w:rsid w:val="00C768F6"/>
    <w:rsid w:val="00C80073"/>
    <w:rsid w:val="00C80DEA"/>
    <w:rsid w:val="00C8239B"/>
    <w:rsid w:val="00C832DC"/>
    <w:rsid w:val="00C8377F"/>
    <w:rsid w:val="00C85E31"/>
    <w:rsid w:val="00C8646D"/>
    <w:rsid w:val="00C904D7"/>
    <w:rsid w:val="00C91118"/>
    <w:rsid w:val="00C91DE3"/>
    <w:rsid w:val="00C92C7F"/>
    <w:rsid w:val="00C9369D"/>
    <w:rsid w:val="00C944FA"/>
    <w:rsid w:val="00C95854"/>
    <w:rsid w:val="00C95EFF"/>
    <w:rsid w:val="00C96E6F"/>
    <w:rsid w:val="00C97872"/>
    <w:rsid w:val="00CA0532"/>
    <w:rsid w:val="00CA2241"/>
    <w:rsid w:val="00CA3CDD"/>
    <w:rsid w:val="00CA403B"/>
    <w:rsid w:val="00CA42F6"/>
    <w:rsid w:val="00CA505A"/>
    <w:rsid w:val="00CA59DD"/>
    <w:rsid w:val="00CA7890"/>
    <w:rsid w:val="00CB008E"/>
    <w:rsid w:val="00CB01FA"/>
    <w:rsid w:val="00CB0737"/>
    <w:rsid w:val="00CB097A"/>
    <w:rsid w:val="00CB152A"/>
    <w:rsid w:val="00CB26EC"/>
    <w:rsid w:val="00CB2D2A"/>
    <w:rsid w:val="00CB5758"/>
    <w:rsid w:val="00CB5B1E"/>
    <w:rsid w:val="00CB787A"/>
    <w:rsid w:val="00CC0C4A"/>
    <w:rsid w:val="00CC17F0"/>
    <w:rsid w:val="00CC1853"/>
    <w:rsid w:val="00CC1FAE"/>
    <w:rsid w:val="00CC24B9"/>
    <w:rsid w:val="00CC3A23"/>
    <w:rsid w:val="00CC737C"/>
    <w:rsid w:val="00CD087D"/>
    <w:rsid w:val="00CD0F5D"/>
    <w:rsid w:val="00CD1C0B"/>
    <w:rsid w:val="00CD239A"/>
    <w:rsid w:val="00CD5512"/>
    <w:rsid w:val="00CD6587"/>
    <w:rsid w:val="00CD6E3D"/>
    <w:rsid w:val="00CD71AB"/>
    <w:rsid w:val="00CD77EC"/>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BB7"/>
    <w:rsid w:val="00CF3EC9"/>
    <w:rsid w:val="00CF4247"/>
    <w:rsid w:val="00CF5263"/>
    <w:rsid w:val="00CF60B5"/>
    <w:rsid w:val="00D00411"/>
    <w:rsid w:val="00D004FA"/>
    <w:rsid w:val="00D006C0"/>
    <w:rsid w:val="00D01B21"/>
    <w:rsid w:val="00D01E2F"/>
    <w:rsid w:val="00D03102"/>
    <w:rsid w:val="00D03727"/>
    <w:rsid w:val="00D0378A"/>
    <w:rsid w:val="00D05132"/>
    <w:rsid w:val="00D05A57"/>
    <w:rsid w:val="00D05EA9"/>
    <w:rsid w:val="00D071F8"/>
    <w:rsid w:val="00D07252"/>
    <w:rsid w:val="00D074F4"/>
    <w:rsid w:val="00D07CE1"/>
    <w:rsid w:val="00D1026A"/>
    <w:rsid w:val="00D107CF"/>
    <w:rsid w:val="00D11359"/>
    <w:rsid w:val="00D11B0B"/>
    <w:rsid w:val="00D12293"/>
    <w:rsid w:val="00D14236"/>
    <w:rsid w:val="00D14553"/>
    <w:rsid w:val="00D14DB1"/>
    <w:rsid w:val="00D15F43"/>
    <w:rsid w:val="00D16E87"/>
    <w:rsid w:val="00D20B8B"/>
    <w:rsid w:val="00D2162C"/>
    <w:rsid w:val="00D21A3C"/>
    <w:rsid w:val="00D233F1"/>
    <w:rsid w:val="00D256F8"/>
    <w:rsid w:val="00D26670"/>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6A1"/>
    <w:rsid w:val="00D8781F"/>
    <w:rsid w:val="00D87ABF"/>
    <w:rsid w:val="00D90CD3"/>
    <w:rsid w:val="00D919E6"/>
    <w:rsid w:val="00D91BE1"/>
    <w:rsid w:val="00D91DFF"/>
    <w:rsid w:val="00D92C29"/>
    <w:rsid w:val="00D92F0E"/>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8F8"/>
    <w:rsid w:val="00DB1F2A"/>
    <w:rsid w:val="00DB2372"/>
    <w:rsid w:val="00DB297F"/>
    <w:rsid w:val="00DB2B4F"/>
    <w:rsid w:val="00DB3153"/>
    <w:rsid w:val="00DB317A"/>
    <w:rsid w:val="00DB3B82"/>
    <w:rsid w:val="00DB485D"/>
    <w:rsid w:val="00DC1327"/>
    <w:rsid w:val="00DC1350"/>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0DD"/>
    <w:rsid w:val="00DF78FA"/>
    <w:rsid w:val="00DF7B84"/>
    <w:rsid w:val="00E002F1"/>
    <w:rsid w:val="00E00646"/>
    <w:rsid w:val="00E0082C"/>
    <w:rsid w:val="00E00AEE"/>
    <w:rsid w:val="00E01DAA"/>
    <w:rsid w:val="00E023E5"/>
    <w:rsid w:val="00E02432"/>
    <w:rsid w:val="00E02537"/>
    <w:rsid w:val="00E04022"/>
    <w:rsid w:val="00E05D92"/>
    <w:rsid w:val="00E0728F"/>
    <w:rsid w:val="00E0755C"/>
    <w:rsid w:val="00E1032C"/>
    <w:rsid w:val="00E1147D"/>
    <w:rsid w:val="00E13044"/>
    <w:rsid w:val="00E14A7E"/>
    <w:rsid w:val="00E151E1"/>
    <w:rsid w:val="00E17619"/>
    <w:rsid w:val="00E17805"/>
    <w:rsid w:val="00E20F79"/>
    <w:rsid w:val="00E21278"/>
    <w:rsid w:val="00E22CCD"/>
    <w:rsid w:val="00E23A11"/>
    <w:rsid w:val="00E23FB7"/>
    <w:rsid w:val="00E24A27"/>
    <w:rsid w:val="00E25F89"/>
    <w:rsid w:val="00E30206"/>
    <w:rsid w:val="00E30561"/>
    <w:rsid w:val="00E32D62"/>
    <w:rsid w:val="00E339DC"/>
    <w:rsid w:val="00E33E15"/>
    <w:rsid w:val="00E35D51"/>
    <w:rsid w:val="00E361B8"/>
    <w:rsid w:val="00E36A1B"/>
    <w:rsid w:val="00E37B7C"/>
    <w:rsid w:val="00E429ED"/>
    <w:rsid w:val="00E43F37"/>
    <w:rsid w:val="00E450ED"/>
    <w:rsid w:val="00E4791B"/>
    <w:rsid w:val="00E47B7E"/>
    <w:rsid w:val="00E47E31"/>
    <w:rsid w:val="00E50AC6"/>
    <w:rsid w:val="00E50F86"/>
    <w:rsid w:val="00E51DDD"/>
    <w:rsid w:val="00E51FDD"/>
    <w:rsid w:val="00E52435"/>
    <w:rsid w:val="00E53122"/>
    <w:rsid w:val="00E5351B"/>
    <w:rsid w:val="00E53D5C"/>
    <w:rsid w:val="00E53FA9"/>
    <w:rsid w:val="00E5414C"/>
    <w:rsid w:val="00E547B3"/>
    <w:rsid w:val="00E56925"/>
    <w:rsid w:val="00E5733D"/>
    <w:rsid w:val="00E61CC0"/>
    <w:rsid w:val="00E6277B"/>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46EC"/>
    <w:rsid w:val="00E8519F"/>
    <w:rsid w:val="00E85CC3"/>
    <w:rsid w:val="00E8644A"/>
    <w:rsid w:val="00E87D3C"/>
    <w:rsid w:val="00E90279"/>
    <w:rsid w:val="00E90635"/>
    <w:rsid w:val="00E909A1"/>
    <w:rsid w:val="00E90BFF"/>
    <w:rsid w:val="00E916C0"/>
    <w:rsid w:val="00E91D33"/>
    <w:rsid w:val="00E91F04"/>
    <w:rsid w:val="00E91F35"/>
    <w:rsid w:val="00E95BA6"/>
    <w:rsid w:val="00E971C1"/>
    <w:rsid w:val="00E97648"/>
    <w:rsid w:val="00EA0E4A"/>
    <w:rsid w:val="00EA1A54"/>
    <w:rsid w:val="00EA2226"/>
    <w:rsid w:val="00EA26FC"/>
    <w:rsid w:val="00EA3B5A"/>
    <w:rsid w:val="00EA410E"/>
    <w:rsid w:val="00EA4239"/>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2F1F"/>
    <w:rsid w:val="00ED3024"/>
    <w:rsid w:val="00ED5FE4"/>
    <w:rsid w:val="00ED71C5"/>
    <w:rsid w:val="00EE0770"/>
    <w:rsid w:val="00EE16FA"/>
    <w:rsid w:val="00EE3C42"/>
    <w:rsid w:val="00EE3D4F"/>
    <w:rsid w:val="00EE505C"/>
    <w:rsid w:val="00EE534D"/>
    <w:rsid w:val="00EE5560"/>
    <w:rsid w:val="00EE6F1E"/>
    <w:rsid w:val="00EF0348"/>
    <w:rsid w:val="00EF1F9C"/>
    <w:rsid w:val="00EF4366"/>
    <w:rsid w:val="00EF4CD6"/>
    <w:rsid w:val="00EF55A0"/>
    <w:rsid w:val="00EF63D1"/>
    <w:rsid w:val="00EF6513"/>
    <w:rsid w:val="00EF6683"/>
    <w:rsid w:val="00EF6AEE"/>
    <w:rsid w:val="00EF7002"/>
    <w:rsid w:val="00EF769B"/>
    <w:rsid w:val="00F027BA"/>
    <w:rsid w:val="00F03E79"/>
    <w:rsid w:val="00F0628D"/>
    <w:rsid w:val="00F06651"/>
    <w:rsid w:val="00F07DE6"/>
    <w:rsid w:val="00F1056C"/>
    <w:rsid w:val="00F107F1"/>
    <w:rsid w:val="00F10D24"/>
    <w:rsid w:val="00F10FC1"/>
    <w:rsid w:val="00F112FD"/>
    <w:rsid w:val="00F133A1"/>
    <w:rsid w:val="00F13ECD"/>
    <w:rsid w:val="00F155CE"/>
    <w:rsid w:val="00F16BF2"/>
    <w:rsid w:val="00F17EAE"/>
    <w:rsid w:val="00F218D4"/>
    <w:rsid w:val="00F2250A"/>
    <w:rsid w:val="00F2371E"/>
    <w:rsid w:val="00F24788"/>
    <w:rsid w:val="00F2640F"/>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967"/>
    <w:rsid w:val="00F52ABA"/>
    <w:rsid w:val="00F52BC7"/>
    <w:rsid w:val="00F53BF4"/>
    <w:rsid w:val="00F53D09"/>
    <w:rsid w:val="00F54266"/>
    <w:rsid w:val="00F55043"/>
    <w:rsid w:val="00F56DCF"/>
    <w:rsid w:val="00F57034"/>
    <w:rsid w:val="00F60BE9"/>
    <w:rsid w:val="00F61FD8"/>
    <w:rsid w:val="00F62DBF"/>
    <w:rsid w:val="00F641FC"/>
    <w:rsid w:val="00F64606"/>
    <w:rsid w:val="00F647F7"/>
    <w:rsid w:val="00F6583C"/>
    <w:rsid w:val="00F6589A"/>
    <w:rsid w:val="00F6783E"/>
    <w:rsid w:val="00F702AB"/>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12C8"/>
    <w:rsid w:val="00F8132D"/>
    <w:rsid w:val="00F81796"/>
    <w:rsid w:val="00F818AE"/>
    <w:rsid w:val="00F81B40"/>
    <w:rsid w:val="00F820C4"/>
    <w:rsid w:val="00F836B6"/>
    <w:rsid w:val="00F83829"/>
    <w:rsid w:val="00F84069"/>
    <w:rsid w:val="00F8424B"/>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31C2"/>
    <w:rsid w:val="00FC4729"/>
    <w:rsid w:val="00FC4A8C"/>
    <w:rsid w:val="00FC4FD6"/>
    <w:rsid w:val="00FC53DB"/>
    <w:rsid w:val="00FC54FF"/>
    <w:rsid w:val="00FC5FC2"/>
    <w:rsid w:val="00FC6177"/>
    <w:rsid w:val="00FC63D1"/>
    <w:rsid w:val="00FC7528"/>
    <w:rsid w:val="00FD0572"/>
    <w:rsid w:val="00FD15B7"/>
    <w:rsid w:val="00FD1A97"/>
    <w:rsid w:val="00FD2D7B"/>
    <w:rsid w:val="00FD37F6"/>
    <w:rsid w:val="00FD4589"/>
    <w:rsid w:val="00FD473E"/>
    <w:rsid w:val="00FD7DF9"/>
    <w:rsid w:val="00FE0B51"/>
    <w:rsid w:val="00FE0B78"/>
    <w:rsid w:val="00FE0B9C"/>
    <w:rsid w:val="00FE0ED4"/>
    <w:rsid w:val="00FE15C3"/>
    <w:rsid w:val="00FE1EAB"/>
    <w:rsid w:val="00FE3465"/>
    <w:rsid w:val="00FE3D48"/>
    <w:rsid w:val="00FE610D"/>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E1F7C2"/>
  <w15:docId w15:val="{FBFD6B53-B011-4F07-A3D0-2DBC2EB0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1C1"/>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customStyle="1" w:styleId="Doc-text2">
    <w:name w:val="Doc-text2"/>
    <w:basedOn w:val="Normal"/>
    <w:link w:val="Doc-text2Char"/>
    <w:qFormat/>
    <w:rsid w:val="00E971C1"/>
    <w:pPr>
      <w:tabs>
        <w:tab w:val="left" w:pos="1622"/>
      </w:tabs>
      <w:overflowPunct w:val="0"/>
      <w:snapToGrid/>
      <w:spacing w:after="0"/>
      <w:ind w:left="1622" w:hanging="363"/>
      <w:jc w:val="left"/>
      <w:textAlignment w:val="baseline"/>
    </w:pPr>
    <w:rPr>
      <w:rFonts w:ascii="Arial" w:eastAsia="Times New Roman" w:hAnsi="Arial"/>
      <w:sz w:val="20"/>
      <w:szCs w:val="20"/>
      <w:lang w:val="x-none" w:eastAsia="x-none"/>
    </w:rPr>
  </w:style>
  <w:style w:type="character" w:customStyle="1" w:styleId="Doc-text2Char">
    <w:name w:val="Doc-text2 Char"/>
    <w:link w:val="Doc-text2"/>
    <w:rsid w:val="00E971C1"/>
    <w:rPr>
      <w:rFonts w:ascii="Arial" w:eastAsia="Times New Roman"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B63BD2-F1D4-4709-826A-4628E1737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2007-06-18T22:08:00Z</cp:lastPrinted>
  <dcterms:created xsi:type="dcterms:W3CDTF">2019-03-29T14:47:00Z</dcterms:created>
  <dcterms:modified xsi:type="dcterms:W3CDTF">2019-03-30T01:51:00Z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(3)dz89ktRM1hvq1ycIPSHbBhL5/7OUkNfwvgAlk1Zf0NtOuAKrLHAMF+4XinmlBee4Il+8CqGx
dvvjSm5LtVCQlTcnT/VsndTOR5AIsOppcD3j3+VkoijbkhtLvQCms01HKGXoxo9+XtjefuCy
38fbhJe3JLtsmW4mbtcjr0hf2Ff51hCT3kwyqjMwPIeEBzv6OdJ+gWTwqQTskOVSrlwkCm+8
WZsU6MXIO/Y+pmuLok</vt:lpwstr>
  </property>
  <property fmtid="{D5CDD505-2E9C-101B-9397-08002B2CF9AE}" pid="13" name="_2015_ms_pID_725343_00">
    <vt:lpwstr>_2015_ms_pID_725343</vt:lpwstr>
  </property>
  <property fmtid="{D5CDD505-2E9C-101B-9397-08002B2CF9AE}" pid="14" name="_2015_ms_pID_7253431">
    <vt:lpwstr>FiUaH855UasFrnLv4R3JQdQu4LZN13EtAcLrbj123LqYG3fGQR98oC
myXcj6F6IBIi/IWg6zgyClyfA8MuqBtCLNluGr28B5S9m2sxKAYoR6+kM5yMXrupqjOY4qpx
frAZTKZtHvRRxsHrDwPwmIdXch3ToYV4jgiJxj/eNVEJMU8ogCRmDIMZj3hrCJW8DvPc3llN
VLCL31cafIDgmSAaEuyG9UvhEUndF9LlB/Uk</vt:lpwstr>
  </property>
  <property fmtid="{D5CDD505-2E9C-101B-9397-08002B2CF9AE}" pid="15" name="_2015_ms_pID_7253431_00">
    <vt:lpwstr>_2015_ms_pID_7253431</vt:lpwstr>
  </property>
  <property fmtid="{D5CDD505-2E9C-101B-9397-08002B2CF9AE}" pid="16" name="_2015_ms_pID_7253432">
    <vt:lpwstr>OhqS1DubXUqoMTuNLaLK4qj8GDtwMLzK7Gn+
45La6YZYepjlmih8zCluMU52carL3w==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1553675075</vt:lpwstr>
  </property>
</Properties>
</file>