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B26C51" w14:textId="30BABA6A" w:rsidR="00693AE2" w:rsidRPr="0056520D" w:rsidRDefault="00693AE2" w:rsidP="00693AE2">
      <w:pPr>
        <w:pStyle w:val="Header"/>
        <w:rPr>
          <w:lang w:val="de-DE"/>
        </w:rPr>
      </w:pPr>
      <w:r w:rsidRPr="0056520D">
        <w:rPr>
          <w:lang w:val="de-DE"/>
        </w:rPr>
        <w:t>3GPP TSG-RAN WG1</w:t>
      </w:r>
      <w:r>
        <w:rPr>
          <w:lang w:val="de-DE"/>
        </w:rPr>
        <w:t xml:space="preserve"> </w:t>
      </w:r>
      <w:r>
        <w:t>Meeting 96</w:t>
      </w:r>
      <w:r w:rsidR="009E4AC0">
        <w:t>bis</w:t>
      </w:r>
      <w:r>
        <w:tab/>
      </w:r>
      <w:r>
        <w:rPr>
          <w:lang w:val="de-DE"/>
        </w:rPr>
        <w:tab/>
        <w:t>R1-19</w:t>
      </w:r>
      <w:r w:rsidR="005264B2">
        <w:rPr>
          <w:lang w:val="de-DE"/>
        </w:rPr>
        <w:t>05140</w:t>
      </w:r>
      <w:bookmarkStart w:id="0" w:name="_GoBack"/>
      <w:bookmarkEnd w:id="0"/>
    </w:p>
    <w:p w14:paraId="5BF25463" w14:textId="645F115C" w:rsidR="00693AE2" w:rsidRDefault="009E4AC0" w:rsidP="00693AE2">
      <w:pPr>
        <w:pStyle w:val="Header"/>
        <w:rPr>
          <w:lang w:val="de-DE"/>
        </w:rPr>
      </w:pPr>
      <w:r>
        <w:rPr>
          <w:lang w:val="de-DE"/>
        </w:rPr>
        <w:t>Xi‘an</w:t>
      </w:r>
      <w:r w:rsidR="00693AE2">
        <w:rPr>
          <w:lang w:val="de-DE"/>
        </w:rPr>
        <w:t xml:space="preserve">, </w:t>
      </w:r>
      <w:r>
        <w:rPr>
          <w:lang w:val="de-DE"/>
        </w:rPr>
        <w:t>China</w:t>
      </w:r>
      <w:r w:rsidR="00693AE2">
        <w:rPr>
          <w:lang w:val="de-DE"/>
        </w:rPr>
        <w:t xml:space="preserve">, </w:t>
      </w:r>
      <w:r>
        <w:rPr>
          <w:lang w:val="de-DE"/>
        </w:rPr>
        <w:t>April 8-12</w:t>
      </w:r>
      <w:r w:rsidR="00693AE2">
        <w:rPr>
          <w:lang w:val="de-DE"/>
        </w:rPr>
        <w:t>, 2019</w:t>
      </w:r>
    </w:p>
    <w:p w14:paraId="718953D8" w14:textId="77777777" w:rsidR="00693AE2" w:rsidRPr="000833FA" w:rsidRDefault="00693AE2" w:rsidP="00693AE2">
      <w:pPr>
        <w:pStyle w:val="Header"/>
      </w:pPr>
    </w:p>
    <w:p w14:paraId="3C6285F9" w14:textId="77777777" w:rsidR="00693AE2" w:rsidRPr="0003368D" w:rsidRDefault="00693AE2" w:rsidP="00693AE2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2ABA68B7" w14:textId="66343376" w:rsidR="00693AE2" w:rsidRPr="00E220C0" w:rsidRDefault="00693AE2" w:rsidP="00693AE2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9E4AC0" w:rsidRPr="009E4AC0">
        <w:t>Handling of LTE-DC and EN-DC in LTE specs</w:t>
      </w:r>
    </w:p>
    <w:p w14:paraId="4C50045B" w14:textId="663D2938" w:rsidR="00693AE2" w:rsidRPr="00E220C0" w:rsidRDefault="00693AE2" w:rsidP="00693AE2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>
        <w:t>7.</w:t>
      </w:r>
      <w:r w:rsidR="009E4AC0">
        <w:t>1.</w:t>
      </w:r>
      <w:r w:rsidR="003C48A3">
        <w:t>4</w:t>
      </w:r>
    </w:p>
    <w:p w14:paraId="34C3E2AA" w14:textId="77777777" w:rsidR="00693AE2" w:rsidRPr="0003368D" w:rsidRDefault="00693AE2" w:rsidP="00693AE2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59DB51CC" w14:textId="77777777" w:rsidR="00693AE2" w:rsidRPr="002100D2" w:rsidRDefault="00693AE2" w:rsidP="00693AE2">
      <w:pPr>
        <w:pBdr>
          <w:bottom w:val="single" w:sz="4" w:space="1" w:color="auto"/>
        </w:pBdr>
        <w:tabs>
          <w:tab w:val="left" w:pos="2552"/>
        </w:tabs>
      </w:pPr>
    </w:p>
    <w:p w14:paraId="4DDDE83C" w14:textId="77777777" w:rsidR="00693AE2" w:rsidRDefault="00693AE2" w:rsidP="00693AE2">
      <w:pPr>
        <w:pStyle w:val="Heading1"/>
        <w:spacing w:before="180"/>
        <w:ind w:left="562" w:hanging="562"/>
      </w:pPr>
      <w:r>
        <w:t>Introduction</w:t>
      </w:r>
    </w:p>
    <w:p w14:paraId="021939B7" w14:textId="08297F40" w:rsidR="00693AE2" w:rsidRPr="007D4902" w:rsidRDefault="00693AE2" w:rsidP="00693AE2">
      <w:pPr>
        <w:pStyle w:val="BodyText"/>
        <w:rPr>
          <w:lang w:val="en-AU"/>
        </w:rPr>
      </w:pPr>
      <w:bookmarkStart w:id="4" w:name="_Ref178064866"/>
      <w:r>
        <w:rPr>
          <w:lang w:val="en-AU"/>
        </w:rPr>
        <w:t>I</w:t>
      </w:r>
      <w:r w:rsidR="009E4AC0">
        <w:rPr>
          <w:lang w:val="en-AU"/>
        </w:rPr>
        <w:t xml:space="preserve">n this document we discuss spec interpretation related </w:t>
      </w:r>
      <w:r w:rsidR="00991E7F">
        <w:rPr>
          <w:lang w:val="en-AU"/>
        </w:rPr>
        <w:t xml:space="preserve">to </w:t>
      </w:r>
      <w:r w:rsidR="009E4AC0">
        <w:rPr>
          <w:lang w:val="en-AU"/>
        </w:rPr>
        <w:t>MCG and SCG handling in LTE specs considering EN-DC</w:t>
      </w:r>
      <w:r>
        <w:rPr>
          <w:lang w:val="en-AU"/>
        </w:rPr>
        <w:t>.</w:t>
      </w:r>
    </w:p>
    <w:bookmarkEnd w:id="4"/>
    <w:p w14:paraId="1CC7D15D" w14:textId="70C3756A" w:rsidR="00693AE2" w:rsidRDefault="00693AE2" w:rsidP="00693AE2">
      <w:pPr>
        <w:pStyle w:val="Heading1"/>
      </w:pPr>
      <w:r>
        <w:t>Discussion</w:t>
      </w:r>
    </w:p>
    <w:p w14:paraId="1F5D5F3C" w14:textId="77777777" w:rsidR="00693AE2" w:rsidRDefault="00693AE2" w:rsidP="00693AE2"/>
    <w:p w14:paraId="5C1B3D30" w14:textId="3C5D9EFF" w:rsidR="00693AE2" w:rsidRDefault="009E4AC0" w:rsidP="00693AE2">
      <w:r>
        <w:t>In RAN1 LTE specs, to specify the Rel12 functionality relate</w:t>
      </w:r>
      <w:r w:rsidR="00AE794D">
        <w:t>d</w:t>
      </w:r>
      <w:r>
        <w:t xml:space="preserve"> to LTE-LTE Dual connectivity</w:t>
      </w:r>
      <w:r w:rsidR="00AE794D">
        <w:t>,</w:t>
      </w:r>
      <w:r>
        <w:t xml:space="preserve"> the term “</w:t>
      </w:r>
      <w:r w:rsidR="00AE794D">
        <w:t>If the UE is configured with a SCG</w:t>
      </w:r>
      <w:r>
        <w:t xml:space="preserve">” </w:t>
      </w:r>
      <w:r w:rsidR="00AE794D">
        <w:t xml:space="preserve">is used in several places. For example, the following sentence is used at the beginning of many sections of 36.213 – “If the UE is configured with a SCG, the UE shall apply the procedures described in this clause for both MCG and SCG”. Then, </w:t>
      </w:r>
      <w:r w:rsidR="00B70636">
        <w:t xml:space="preserve">to capture </w:t>
      </w:r>
      <w:r w:rsidR="00AE794D">
        <w:t xml:space="preserve">EN-DC </w:t>
      </w:r>
      <w:r w:rsidR="00B70636">
        <w:t xml:space="preserve">related aspects </w:t>
      </w:r>
      <w:r w:rsidR="00AE794D">
        <w:t>(e.g. to specify case1 HARQ timing related functionality), “</w:t>
      </w:r>
      <w:r w:rsidR="00AE794D">
        <w:rPr>
          <w:bCs/>
          <w:noProof/>
        </w:rPr>
        <w:t>For a UE configured with EN-DC</w:t>
      </w:r>
      <w:r w:rsidR="00AE794D">
        <w:t xml:space="preserve">” is explicitly used. </w:t>
      </w:r>
    </w:p>
    <w:p w14:paraId="632983CA" w14:textId="4AB1D52B" w:rsidR="00AE794D" w:rsidRDefault="00AE794D" w:rsidP="00693AE2"/>
    <w:p w14:paraId="2963C5F3" w14:textId="342B048F" w:rsidR="002E09A1" w:rsidRDefault="00AE794D" w:rsidP="00693AE2">
      <w:r>
        <w:t xml:space="preserve">Considering the above, “If the UE is configured with a SCG” in RAN1 LTE specs should be interpreted to refer only to cases when UE is configured </w:t>
      </w:r>
      <w:r w:rsidR="0004340A">
        <w:t>with</w:t>
      </w:r>
      <w:r>
        <w:t xml:space="preserve"> LTE-LTE DC and the related functionality </w:t>
      </w:r>
      <w:r w:rsidR="00E050D4">
        <w:t>does</w:t>
      </w:r>
      <w:r>
        <w:t xml:space="preserve"> not apply to the case when UE is configured for EN-DC. </w:t>
      </w:r>
    </w:p>
    <w:p w14:paraId="69AB6D0F" w14:textId="77777777" w:rsidR="002E09A1" w:rsidRDefault="002E09A1" w:rsidP="00693AE2"/>
    <w:p w14:paraId="05857813" w14:textId="0F937B30" w:rsidR="0004340A" w:rsidRDefault="00AE794D" w:rsidP="00693AE2">
      <w:r>
        <w:t xml:space="preserve">It is </w:t>
      </w:r>
      <w:r w:rsidR="00D5608C">
        <w:t xml:space="preserve">good to clarify the above </w:t>
      </w:r>
      <w:r>
        <w:t xml:space="preserve">explicitly especially considering cases where “If the UE is configured with a SCG” </w:t>
      </w:r>
      <w:r w:rsidR="003D3C32">
        <w:t>impacts</w:t>
      </w:r>
      <w:r>
        <w:t xml:space="preserve"> MCG functionality</w:t>
      </w:r>
      <w:r w:rsidR="00980C4C">
        <w:t xml:space="preserve"> </w:t>
      </w:r>
      <w:r>
        <w:t xml:space="preserve">(e.g. </w:t>
      </w:r>
      <w:r w:rsidR="0004340A">
        <w:t xml:space="preserve">sub clauses 4.2.3, 7.1.8 etc. in 36.213). </w:t>
      </w:r>
    </w:p>
    <w:p w14:paraId="284813C1" w14:textId="77777777" w:rsidR="0004340A" w:rsidRDefault="0004340A" w:rsidP="00693AE2"/>
    <w:p w14:paraId="234BA4F8" w14:textId="63B3F353" w:rsidR="00AE794D" w:rsidRDefault="0004340A" w:rsidP="00693AE2">
      <w:r>
        <w:t xml:space="preserve">We </w:t>
      </w:r>
      <w:r w:rsidR="00F362CA">
        <w:t xml:space="preserve">therefore </w:t>
      </w:r>
      <w:r>
        <w:t>propose that RAN1 agrees to following conclusion to address this issue</w:t>
      </w:r>
    </w:p>
    <w:p w14:paraId="2CF28414" w14:textId="6EC1B487" w:rsidR="0004340A" w:rsidRDefault="0004340A" w:rsidP="00693AE2"/>
    <w:p w14:paraId="1C0743B7" w14:textId="386443D6" w:rsidR="00693AE2" w:rsidRDefault="0004340A" w:rsidP="00693AE2">
      <w:pPr>
        <w:rPr>
          <w:b/>
          <w:u w:val="single"/>
        </w:rPr>
      </w:pPr>
      <w:r w:rsidRPr="0004340A">
        <w:rPr>
          <w:b/>
          <w:u w:val="single"/>
        </w:rPr>
        <w:t>Propos</w:t>
      </w:r>
      <w:r>
        <w:rPr>
          <w:b/>
          <w:u w:val="single"/>
        </w:rPr>
        <w:t>al (for conclusion)</w:t>
      </w:r>
    </w:p>
    <w:p w14:paraId="03E417FD" w14:textId="6078F038" w:rsidR="0004340A" w:rsidRDefault="0004340A" w:rsidP="00693AE2">
      <w:pPr>
        <w:rPr>
          <w:b/>
          <w:u w:val="single"/>
        </w:rPr>
      </w:pPr>
    </w:p>
    <w:p w14:paraId="14809A98" w14:textId="78A5F54E" w:rsidR="00693AE2" w:rsidRPr="00DE1161" w:rsidRDefault="0004340A" w:rsidP="00693AE2">
      <w:pPr>
        <w:pStyle w:val="ListParagraph"/>
        <w:numPr>
          <w:ilvl w:val="0"/>
          <w:numId w:val="4"/>
        </w:numPr>
        <w:rPr>
          <w:b/>
          <w:u w:val="single"/>
        </w:rPr>
      </w:pPr>
      <w:r>
        <w:t xml:space="preserve">“If the UE is configured with a SCG” in RAN1 LTE specs should be interpreted to refer only to cases when UE is configured with LTE-LTE DC and the related functionality </w:t>
      </w:r>
      <w:r w:rsidR="008A7319">
        <w:t>does</w:t>
      </w:r>
      <w:r>
        <w:t xml:space="preserve"> not apply to the case when UE is configured for EN-DC</w:t>
      </w:r>
      <w:r w:rsidR="004B2623">
        <w:t xml:space="preserve"> (unless EN-DC is explicitly mentioned)</w:t>
      </w:r>
      <w:r>
        <w:t>.</w:t>
      </w:r>
    </w:p>
    <w:sectPr w:rsidR="00693AE2" w:rsidRPr="00DE116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8867E" w14:textId="77777777" w:rsidR="00607752" w:rsidRDefault="00607752">
      <w:r>
        <w:separator/>
      </w:r>
    </w:p>
  </w:endnote>
  <w:endnote w:type="continuationSeparator" w:id="0">
    <w:p w14:paraId="6E1D8704" w14:textId="77777777" w:rsidR="00607752" w:rsidRDefault="00607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202446" w14:textId="77777777" w:rsidR="00607752" w:rsidRDefault="00607752">
      <w:r>
        <w:separator/>
      </w:r>
    </w:p>
  </w:footnote>
  <w:footnote w:type="continuationSeparator" w:id="0">
    <w:p w14:paraId="42E18103" w14:textId="77777777" w:rsidR="00607752" w:rsidRDefault="00607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25559" w14:textId="77777777" w:rsidR="00E832CA" w:rsidRDefault="00607752" w:rsidP="00C44D46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1230B1"/>
    <w:multiLevelType w:val="hybridMultilevel"/>
    <w:tmpl w:val="84D4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BA6115"/>
    <w:multiLevelType w:val="hybridMultilevel"/>
    <w:tmpl w:val="54967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0D1EB9"/>
    <w:multiLevelType w:val="hybridMultilevel"/>
    <w:tmpl w:val="C5C80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AE2"/>
    <w:rsid w:val="0004340A"/>
    <w:rsid w:val="0028719B"/>
    <w:rsid w:val="002E09A1"/>
    <w:rsid w:val="00305716"/>
    <w:rsid w:val="0033362F"/>
    <w:rsid w:val="00342C7C"/>
    <w:rsid w:val="003C48A3"/>
    <w:rsid w:val="003D3C32"/>
    <w:rsid w:val="00425503"/>
    <w:rsid w:val="004B2623"/>
    <w:rsid w:val="004E30DF"/>
    <w:rsid w:val="005264B2"/>
    <w:rsid w:val="00607752"/>
    <w:rsid w:val="00693AE2"/>
    <w:rsid w:val="008A7319"/>
    <w:rsid w:val="00980C4C"/>
    <w:rsid w:val="00991E7F"/>
    <w:rsid w:val="009E4AC0"/>
    <w:rsid w:val="00A15FFD"/>
    <w:rsid w:val="00AE794D"/>
    <w:rsid w:val="00B70636"/>
    <w:rsid w:val="00BB3536"/>
    <w:rsid w:val="00C25D75"/>
    <w:rsid w:val="00D5608C"/>
    <w:rsid w:val="00DE1161"/>
    <w:rsid w:val="00E050D4"/>
    <w:rsid w:val="00E24F98"/>
    <w:rsid w:val="00F362CA"/>
    <w:rsid w:val="00F5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4175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3AE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693AE2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693AE2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693AE2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ascii="Arial" w:eastAsia="MS Mincho" w:hAnsi="Arial" w:cs="Arial"/>
      <w:b/>
      <w:bCs/>
      <w:i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693AE2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93AE2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693AE2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693AE2"/>
    <w:rPr>
      <w:rFonts w:ascii="Arial" w:eastAsia="MS Mincho" w:hAnsi="Arial" w:cs="Arial"/>
      <w:b/>
      <w:bCs/>
      <w:i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93AE2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693AE2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693AE2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93AE2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93AE2"/>
    <w:rPr>
      <w:rFonts w:ascii="Arial" w:eastAsia="MS Mincho" w:hAnsi="Arial" w:cs="Times New Roman"/>
      <w:b/>
      <w:sz w:val="20"/>
      <w:szCs w:val="24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693AE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693AE2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BB35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3536"/>
    <w:rPr>
      <w:rFonts w:ascii="Times New Roman" w:eastAsia="Times New Roman" w:hAnsi="Times New Roman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0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0D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6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2019-03-30T04:40:00Z</dcterms:created>
  <dcterms:modified xsi:type="dcterms:W3CDTF">2019-03-30T04:40:00Z</dcterms:modified>
</cp:coreProperties>
</file>