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w:t>
      </w:r>
      <w:r w:rsidR="000635C1">
        <w:rPr>
          <w:noProof w:val="0"/>
          <w:sz w:val="24"/>
          <w:lang w:val="en-GB"/>
        </w:rPr>
        <w:t>96</w:t>
      </w:r>
      <w:r w:rsidR="00232EC7">
        <w:rPr>
          <w:noProof w:val="0"/>
          <w:sz w:val="24"/>
          <w:lang w:val="en-GB"/>
        </w:rPr>
        <w:t>bis</w:t>
      </w:r>
      <w:r w:rsidRPr="0002651C">
        <w:rPr>
          <w:bCs/>
          <w:noProof w:val="0"/>
          <w:sz w:val="24"/>
          <w:lang w:val="en-GB" w:eastAsia="ja-JP"/>
        </w:rPr>
        <w:tab/>
      </w:r>
      <w:r w:rsidR="00D17727" w:rsidRPr="00D17727">
        <w:rPr>
          <w:bCs/>
          <w:noProof w:val="0"/>
          <w:sz w:val="24"/>
          <w:lang w:val="en-GB" w:eastAsia="ja-JP"/>
        </w:rPr>
        <w:t>R1-1905066</w:t>
      </w:r>
      <w:bookmarkStart w:id="3" w:name="_GoBack"/>
      <w:bookmarkEnd w:id="3"/>
    </w:p>
    <w:bookmarkEnd w:id="0"/>
    <w:bookmarkEnd w:id="1"/>
    <w:p w:rsidR="001A20CF" w:rsidRPr="00EA017E" w:rsidRDefault="00232EC7"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Xi’an, China, 8</w:t>
      </w:r>
      <w:r w:rsidRPr="00232EC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12</w:t>
      </w:r>
      <w:r w:rsidRPr="00232EC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00187BD9">
        <w:rPr>
          <w:rFonts w:ascii="Arial" w:eastAsia="MS Mincho" w:hAnsi="Arial" w:cs="Arial"/>
          <w:b/>
          <w:bCs/>
          <w:sz w:val="24"/>
          <w:szCs w:val="24"/>
          <w:lang w:eastAsia="ja-JP"/>
        </w:rPr>
        <w:t>April</w:t>
      </w:r>
      <w:r>
        <w:rPr>
          <w:rFonts w:ascii="Arial" w:eastAsia="MS Mincho" w:hAnsi="Arial" w:cs="Arial"/>
          <w:b/>
          <w:bCs/>
          <w:sz w:val="24"/>
          <w:szCs w:val="24"/>
          <w:lang w:eastAsia="ja-JP"/>
        </w:rPr>
        <w:t xml:space="preserve"> 2019</w:t>
      </w:r>
      <w:r w:rsidR="00EA017E" w:rsidRPr="00EA017E">
        <w:rPr>
          <w:rFonts w:ascii="Arial" w:eastAsia="MS Mincho" w:hAnsi="Arial" w:cs="Arial"/>
          <w:b/>
          <w:bCs/>
          <w:sz w:val="24"/>
          <w:szCs w:val="24"/>
          <w:lang w:eastAsia="ja-JP"/>
        </w:rPr>
        <w:t xml:space="preserve"> </w:t>
      </w:r>
      <w:r w:rsidR="001A20CF" w:rsidRPr="00EA017E">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7EEA">
        <w:rPr>
          <w:rFonts w:cs="Arial"/>
          <w:b/>
          <w:bCs/>
          <w:sz w:val="24"/>
        </w:rPr>
        <w:t>2.8.4</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635C1">
        <w:rPr>
          <w:rFonts w:ascii="Arial" w:hAnsi="Arial" w:cs="Arial"/>
          <w:b/>
          <w:bCs/>
          <w:sz w:val="24"/>
        </w:rPr>
        <w:t>O</w:t>
      </w:r>
      <w:r w:rsidR="00FC7FF0">
        <w:rPr>
          <w:rFonts w:ascii="Arial" w:hAnsi="Arial" w:cs="Arial"/>
          <w:b/>
          <w:bCs/>
          <w:sz w:val="24"/>
        </w:rPr>
        <w:t>n</w:t>
      </w:r>
      <w:r w:rsidR="005D1092">
        <w:rPr>
          <w:rFonts w:ascii="Arial" w:hAnsi="Arial" w:cs="Arial"/>
          <w:b/>
          <w:bCs/>
          <w:sz w:val="24"/>
        </w:rPr>
        <w:t xml:space="preserve"> </w:t>
      </w:r>
      <w:r w:rsidR="000635C1">
        <w:rPr>
          <w:rFonts w:ascii="Arial" w:hAnsi="Arial" w:cs="Arial"/>
          <w:b/>
          <w:bCs/>
          <w:sz w:val="24"/>
        </w:rPr>
        <w:t>the f</w:t>
      </w:r>
      <w:r w:rsidR="00577EEA">
        <w:rPr>
          <w:rFonts w:ascii="Arial" w:hAnsi="Arial" w:cs="Arial"/>
          <w:b/>
          <w:bCs/>
          <w:sz w:val="24"/>
        </w:rPr>
        <w:t>ull Tx power UL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EB1DD0" w:rsidRDefault="00EB1DD0" w:rsidP="00DC338E">
      <w:pPr>
        <w:jc w:val="both"/>
        <w:rPr>
          <w:rFonts w:ascii="Times New Roman" w:hAnsi="Times New Roman" w:cs="Times New Roman"/>
          <w:kern w:val="2"/>
          <w:sz w:val="20"/>
          <w:szCs w:val="20"/>
        </w:rPr>
      </w:pPr>
      <w:r>
        <w:rPr>
          <w:rFonts w:ascii="Times New Roman" w:hAnsi="Times New Roman" w:cs="Times New Roman"/>
          <w:kern w:val="2"/>
          <w:sz w:val="20"/>
          <w:szCs w:val="20"/>
        </w:rPr>
        <w:t>Multiple options are agreed in RAN1 #95 meeting [1] as potential solutions for uplink full power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4C89" w:rsidRPr="00E74C89" w:rsidTr="00A57414">
        <w:tc>
          <w:tcPr>
            <w:tcW w:w="9629" w:type="dxa"/>
            <w:shd w:val="clear" w:color="auto" w:fill="auto"/>
          </w:tcPr>
          <w:p w:rsidR="00E74C89" w:rsidRPr="00E74C89" w:rsidRDefault="00E74C89" w:rsidP="00E74C89">
            <w:pPr>
              <w:rPr>
                <w:rFonts w:ascii="Times New Roman" w:hAnsi="Times New Roman" w:cs="Times New Roman"/>
                <w:sz w:val="20"/>
                <w:szCs w:val="20"/>
              </w:rPr>
            </w:pPr>
            <w:r w:rsidRPr="00E74C89">
              <w:rPr>
                <w:rFonts w:ascii="Times New Roman" w:hAnsi="Times New Roman" w:cs="Times New Roman"/>
                <w:sz w:val="20"/>
                <w:szCs w:val="20"/>
              </w:rPr>
              <w:t>Option 1: Refinement/adjustment of UL codebook is supported</w:t>
            </w:r>
          </w:p>
          <w:p w:rsidR="00E74C89" w:rsidRPr="00E74C89" w:rsidRDefault="00E74C89" w:rsidP="00E74C89">
            <w:pPr>
              <w:numPr>
                <w:ilvl w:val="1"/>
                <w:numId w:val="32"/>
              </w:numPr>
              <w:spacing w:after="0" w:line="240" w:lineRule="auto"/>
              <w:ind w:left="800"/>
              <w:rPr>
                <w:rFonts w:ascii="Times New Roman" w:hAnsi="Times New Roman" w:cs="Times New Roman"/>
                <w:sz w:val="20"/>
                <w:szCs w:val="20"/>
              </w:rPr>
            </w:pPr>
            <w:r w:rsidRPr="00E74C89">
              <w:rPr>
                <w:rFonts w:ascii="Times New Roman" w:hAnsi="Times New Roman" w:cs="Times New Roman"/>
                <w:sz w:val="20"/>
                <w:szCs w:val="20"/>
              </w:rPr>
              <w:t>1-1: Support a new codebookSubset for non-coherent and partial-coherent transmission capable UEs</w:t>
            </w:r>
          </w:p>
          <w:p w:rsidR="00E74C89" w:rsidRPr="00E74C89" w:rsidRDefault="00E74C89" w:rsidP="00E74C89">
            <w:pPr>
              <w:numPr>
                <w:ilvl w:val="1"/>
                <w:numId w:val="32"/>
              </w:numPr>
              <w:spacing w:after="0" w:line="240" w:lineRule="auto"/>
              <w:ind w:left="800"/>
              <w:rPr>
                <w:rFonts w:ascii="Times New Roman" w:hAnsi="Times New Roman" w:cs="Times New Roman"/>
                <w:sz w:val="20"/>
                <w:szCs w:val="20"/>
              </w:rPr>
            </w:pPr>
            <w:r w:rsidRPr="00E74C89">
              <w:rPr>
                <w:rFonts w:ascii="Times New Roman" w:hAnsi="Times New Roman" w:cs="Times New Roman"/>
                <w:sz w:val="20"/>
                <w:szCs w:val="20"/>
              </w:rPr>
              <w:t>1-2: Introduce additional scaling factor for uplink codebook</w:t>
            </w:r>
          </w:p>
          <w:p w:rsidR="00E74C89" w:rsidRPr="00E74C89" w:rsidRDefault="00E74C89" w:rsidP="00E74C89">
            <w:pPr>
              <w:rPr>
                <w:rFonts w:ascii="Times New Roman" w:hAnsi="Times New Roman" w:cs="Times New Roman"/>
                <w:sz w:val="20"/>
                <w:szCs w:val="20"/>
              </w:rPr>
            </w:pPr>
          </w:p>
          <w:p w:rsidR="00E74C89" w:rsidRPr="00E74C89" w:rsidRDefault="00E74C89" w:rsidP="00E74C89">
            <w:pPr>
              <w:rPr>
                <w:rFonts w:ascii="Times New Roman" w:hAnsi="Times New Roman" w:cs="Times New Roman"/>
                <w:sz w:val="20"/>
                <w:szCs w:val="20"/>
              </w:rPr>
            </w:pPr>
            <w:r w:rsidRPr="00E74C89">
              <w:rPr>
                <w:rFonts w:ascii="Times New Roman" w:hAnsi="Times New Roman" w:cs="Times New Roman"/>
                <w:sz w:val="20"/>
                <w:szCs w:val="20"/>
              </w:rPr>
              <w:t>Option 2: UE transparently apply a small cyclic or linear delay</w:t>
            </w:r>
          </w:p>
          <w:p w:rsidR="00E74C89" w:rsidRPr="00E74C89" w:rsidRDefault="00E74C89" w:rsidP="00E74C89">
            <w:pPr>
              <w:rPr>
                <w:rFonts w:ascii="Times New Roman" w:hAnsi="Times New Roman" w:cs="Times New Roman"/>
                <w:sz w:val="20"/>
                <w:szCs w:val="20"/>
              </w:rPr>
            </w:pPr>
            <w:r w:rsidRPr="00E74C89">
              <w:rPr>
                <w:rFonts w:ascii="Times New Roman" w:hAnsi="Times New Roman" w:cs="Times New Roman"/>
                <w:sz w:val="20"/>
                <w:szCs w:val="20"/>
              </w:rPr>
              <w:t>Option 3: Power control mechanism to be modified to support UL full power transmission without precluding the use of full rated PA(s)</w:t>
            </w:r>
          </w:p>
          <w:p w:rsidR="00E74C89" w:rsidRPr="00E74C89" w:rsidRDefault="00E74C89" w:rsidP="00E74C89">
            <w:pPr>
              <w:numPr>
                <w:ilvl w:val="1"/>
                <w:numId w:val="32"/>
              </w:numPr>
              <w:spacing w:after="0" w:line="240" w:lineRule="auto"/>
              <w:ind w:left="800"/>
              <w:rPr>
                <w:rFonts w:ascii="Times New Roman" w:hAnsi="Times New Roman" w:cs="Times New Roman"/>
                <w:sz w:val="20"/>
                <w:szCs w:val="20"/>
              </w:rPr>
            </w:pPr>
            <w:r w:rsidRPr="00E74C89">
              <w:rPr>
                <w:rFonts w:ascii="Times New Roman" w:hAnsi="Times New Roman" w:cs="Times New Roman"/>
                <w:sz w:val="20"/>
                <w:szCs w:val="20"/>
              </w:rPr>
              <w:t>Note: Full rated PA refers to a PA having power not lower than that of the power class</w:t>
            </w:r>
          </w:p>
          <w:p w:rsidR="00E74C89" w:rsidRPr="00E74C89" w:rsidRDefault="00E74C89" w:rsidP="00E74C89">
            <w:pPr>
              <w:rPr>
                <w:rFonts w:ascii="Times New Roman" w:hAnsi="Times New Roman" w:cs="Times New Roman"/>
                <w:sz w:val="20"/>
                <w:szCs w:val="20"/>
              </w:rPr>
            </w:pPr>
          </w:p>
          <w:p w:rsidR="00E74C89" w:rsidRPr="00E74C89" w:rsidRDefault="00E74C89" w:rsidP="00E74C89">
            <w:pPr>
              <w:rPr>
                <w:rFonts w:ascii="Times New Roman" w:hAnsi="Times New Roman" w:cs="Times New Roman"/>
                <w:strike/>
                <w:sz w:val="20"/>
                <w:szCs w:val="20"/>
              </w:rPr>
            </w:pPr>
            <w:r w:rsidRPr="00E74C89">
              <w:rPr>
                <w:rFonts w:ascii="Times New Roman" w:hAnsi="Times New Roman" w:cs="Times New Roman"/>
                <w:sz w:val="20"/>
                <w:szCs w:val="20"/>
              </w:rPr>
              <w:t>Option 4: Up to UE implementation with UE capability signalling of full power transmission in UL</w:t>
            </w:r>
          </w:p>
          <w:p w:rsidR="00E74C89" w:rsidRPr="00E74C89" w:rsidRDefault="00E74C89" w:rsidP="00E74C89">
            <w:pPr>
              <w:tabs>
                <w:tab w:val="left" w:pos="1540"/>
              </w:tabs>
              <w:spacing w:line="256" w:lineRule="auto"/>
              <w:contextualSpacing/>
              <w:rPr>
                <w:rFonts w:ascii="Times New Roman" w:hAnsi="Times New Roman" w:cs="Times New Roman"/>
                <w:sz w:val="20"/>
                <w:szCs w:val="20"/>
              </w:rPr>
            </w:pPr>
            <w:r w:rsidRPr="00E74C89">
              <w:rPr>
                <w:rFonts w:ascii="Times New Roman" w:eastAsia="Malgun Gothic" w:hAnsi="Times New Roman" w:cs="Times New Roman"/>
                <w:sz w:val="20"/>
                <w:szCs w:val="20"/>
              </w:rPr>
              <w:t>Option5</w:t>
            </w:r>
            <w:r w:rsidRPr="00E74C89">
              <w:rPr>
                <w:rFonts w:ascii="Times New Roman" w:eastAsia="Malgun Gothic" w:hAnsi="Times New Roman" w:cs="Times New Roman"/>
                <w:b/>
                <w:sz w:val="20"/>
                <w:szCs w:val="20"/>
              </w:rPr>
              <w:t xml:space="preserve">: </w:t>
            </w:r>
            <w:r w:rsidRPr="00E74C89">
              <w:rPr>
                <w:rFonts w:ascii="Times New Roman" w:eastAsia="Malgun Gothic" w:hAnsi="Times New Roman" w:cs="Times New Roman"/>
                <w:sz w:val="20"/>
                <w:szCs w:val="20"/>
              </w:rPr>
              <w:t>For the precoders with 0 entries, t</w:t>
            </w:r>
            <w:r w:rsidRPr="00E74C89">
              <w:rPr>
                <w:rFonts w:ascii="Times New Roman" w:hAnsi="Times New Roman" w:cs="Times New Roman"/>
                <w:sz w:val="20"/>
                <w:szCs w:val="20"/>
              </w:rPr>
              <w:t xml:space="preserve">he linear value </w:t>
            </w:r>
            <w:r w:rsidRPr="00E74C89">
              <w:rPr>
                <w:rFonts w:ascii="Times New Roman" w:hAnsi="Times New Roman" w:cs="Times New Roman"/>
                <w:position w:val="-14"/>
                <w:sz w:val="20"/>
                <w:szCs w:val="20"/>
              </w:rPr>
              <w:object w:dxaOrig="1980" w:dyaOrig="420">
                <v:shape id="_x0000_i1026" type="#_x0000_t75" style="width:99.05pt;height:21.3pt" o:ole="">
                  <v:imagedata r:id="rId14" o:title=""/>
                </v:shape>
                <o:OLEObject Type="Embed" ProgID="Equation.DSMT4" ShapeID="_x0000_i1026" DrawAspect="Content" ObjectID="_1615392740" r:id="rId15"/>
              </w:object>
            </w:r>
            <w:r w:rsidRPr="00E74C89">
              <w:rPr>
                <w:rFonts w:ascii="Times New Roman" w:hAnsi="Times New Roman" w:cs="Times New Roman"/>
                <w:sz w:val="20"/>
                <w:szCs w:val="20"/>
              </w:rPr>
              <w:fldChar w:fldCharType="begin"/>
            </w:r>
            <w:r w:rsidRPr="00E74C89">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PUSCH</m:t>
                  </m:r>
                  <m:r>
                    <m:rPr>
                      <m:sty m:val="p"/>
                    </m:rPr>
                    <w:rPr>
                      <w:rFonts w:ascii="Cambria Math" w:hAnsi="Cambria Math" w:cs="Times New Roman"/>
                      <w:sz w:val="20"/>
                      <w:szCs w:val="20"/>
                    </w:rPr>
                    <m:t>,b,f,c</m:t>
                  </m:r>
                </m:sub>
              </m:sSub>
              <m:r>
                <m:rPr>
                  <m:sty m:val="p"/>
                </m:rPr>
                <w:rPr>
                  <w:rFonts w:ascii="Cambria Math" w:hAnsi="Cambria Math" w:cs="Times New Roman"/>
                  <w:sz w:val="20"/>
                  <w:szCs w:val="20"/>
                </w:rPr>
                <m:t>(i,j,</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d</m:t>
                  </m:r>
                </m:sub>
              </m:sSub>
              <m:r>
                <m:rPr>
                  <m:sty m:val="p"/>
                </m:rPr>
                <w:rPr>
                  <w:rFonts w:ascii="Cambria Math" w:hAnsi="Cambria Math" w:cs="Times New Roman"/>
                  <w:sz w:val="20"/>
                  <w:szCs w:val="20"/>
                </w:rPr>
                <m:t>,l)</m:t>
              </m:r>
            </m:oMath>
            <w:r w:rsidRPr="00E74C89">
              <w:rPr>
                <w:rFonts w:ascii="Times New Roman" w:hAnsi="Times New Roman" w:cs="Times New Roman"/>
                <w:sz w:val="20"/>
                <w:szCs w:val="20"/>
              </w:rPr>
              <w:instrText xml:space="preserve"> </w:instrText>
            </w:r>
            <w:r w:rsidRPr="00E74C89">
              <w:rPr>
                <w:rFonts w:ascii="Times New Roman" w:hAnsi="Times New Roman" w:cs="Times New Roman"/>
                <w:sz w:val="20"/>
                <w:szCs w:val="20"/>
              </w:rPr>
              <w:fldChar w:fldCharType="end"/>
            </w:r>
            <w:r w:rsidRPr="00E74C89">
              <w:rPr>
                <w:rFonts w:ascii="Times New Roman" w:hAnsi="Times New Roman" w:cs="Times New Roman"/>
                <w:sz w:val="20"/>
                <w:szCs w:val="20"/>
              </w:rPr>
              <w:t xml:space="preserve"> of a PUSCH transmission power is scaled by a ratio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Rel-16</w:t>
            </w:r>
            <w:r w:rsidRPr="00E74C89">
              <w:rPr>
                <w:rFonts w:ascii="Times New Roman" w:hAnsi="Times New Roman" w:cs="Times New Roman"/>
                <w:sz w:val="20"/>
                <w:szCs w:val="20"/>
              </w:rPr>
              <w:t xml:space="preserve">.  The value of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Rel-16</w:t>
            </w:r>
            <w:r w:rsidRPr="00E74C89">
              <w:rPr>
                <w:rFonts w:ascii="Times New Roman" w:hAnsi="Times New Roman" w:cs="Times New Roman"/>
                <w:sz w:val="20"/>
                <w:szCs w:val="20"/>
              </w:rPr>
              <w:t xml:space="preserve"> is selected up to UE implementation within the range of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Rel-15</w:t>
            </w:r>
            <w:r w:rsidRPr="00E74C89">
              <w:rPr>
                <w:rFonts w:ascii="Times New Roman" w:hAnsi="Times New Roman" w:cs="Times New Roman"/>
                <w:sz w:val="20"/>
                <w:szCs w:val="20"/>
              </w:rPr>
              <w:t xml:space="preserve">, 1],  where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Rel-15</w:t>
            </w:r>
            <w:r w:rsidRPr="00E74C89">
              <w:rPr>
                <w:rFonts w:ascii="Times New Roman" w:hAnsi="Times New Roman" w:cs="Times New Roman"/>
                <w:sz w:val="20"/>
                <w:szCs w:val="20"/>
              </w:rPr>
              <w:t xml:space="preserve"> is the ratio of the number of antenna ports with a non-zero PUSCH transmission power to the number of configured antenna ports for the PUSCH transmission scheme as defined in NR Rel-15 specification.  </w:t>
            </w:r>
          </w:p>
          <w:p w:rsidR="00E74C89" w:rsidRPr="00E74C89" w:rsidRDefault="00E74C89" w:rsidP="00E74C89">
            <w:pPr>
              <w:pStyle w:val="ListParagraph"/>
              <w:numPr>
                <w:ilvl w:val="0"/>
                <w:numId w:val="35"/>
              </w:numPr>
              <w:spacing w:after="0" w:line="240" w:lineRule="auto"/>
              <w:contextualSpacing w:val="0"/>
              <w:rPr>
                <w:rFonts w:ascii="Times New Roman" w:eastAsia="Malgun Gothic" w:hAnsi="Times New Roman" w:cs="Times New Roman"/>
                <w:sz w:val="20"/>
                <w:szCs w:val="20"/>
              </w:rPr>
            </w:pPr>
            <w:r w:rsidRPr="00E74C89">
              <w:rPr>
                <w:rFonts w:ascii="Times New Roman" w:hAnsi="Times New Roman" w:cs="Times New Roman"/>
                <w:sz w:val="20"/>
                <w:szCs w:val="20"/>
              </w:rPr>
              <w:t xml:space="preserve">UE is required to maintain consistent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Rel-16</w:t>
            </w:r>
            <w:r w:rsidRPr="00E74C89">
              <w:rPr>
                <w:rFonts w:ascii="Times New Roman" w:hAnsi="Times New Roman" w:cs="Times New Roman"/>
                <w:sz w:val="20"/>
                <w:szCs w:val="20"/>
              </w:rPr>
              <w:fldChar w:fldCharType="begin"/>
            </w:r>
            <w:r w:rsidRPr="00E74C89">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α</m:t>
                  </m:r>
                </m:e>
                <m:sub>
                  <m:r>
                    <m:rPr>
                      <m:sty m:val="p"/>
                    </m:rPr>
                    <w:rPr>
                      <w:rFonts w:ascii="Cambria Math" w:hAnsi="Cambria Math" w:cs="Times New Roman"/>
                      <w:sz w:val="20"/>
                      <w:szCs w:val="20"/>
                    </w:rPr>
                    <m:t>Rel-16</m:t>
                  </m:r>
                </m:sub>
              </m:sSub>
            </m:oMath>
            <w:r w:rsidRPr="00E74C89">
              <w:rPr>
                <w:rFonts w:ascii="Times New Roman" w:hAnsi="Times New Roman" w:cs="Times New Roman"/>
                <w:sz w:val="20"/>
                <w:szCs w:val="20"/>
              </w:rPr>
              <w:instrText xml:space="preserve"> </w:instrText>
            </w:r>
            <w:r w:rsidRPr="00E74C89">
              <w:rPr>
                <w:rFonts w:ascii="Times New Roman" w:hAnsi="Times New Roman" w:cs="Times New Roman"/>
                <w:sz w:val="20"/>
                <w:szCs w:val="20"/>
              </w:rPr>
              <w:fldChar w:fldCharType="end"/>
            </w:r>
            <w:r w:rsidRPr="00E74C89">
              <w:rPr>
                <w:rFonts w:ascii="Times New Roman" w:hAnsi="Times New Roman" w:cs="Times New Roman"/>
                <w:sz w:val="20"/>
                <w:szCs w:val="20"/>
              </w:rPr>
              <w:t xml:space="preserve"> value on different occasions of PUSCH transmissions with the same precoder for PUSCH</w:t>
            </w:r>
          </w:p>
          <w:p w:rsidR="00E74C89" w:rsidRPr="00E74C89" w:rsidRDefault="00E74C89" w:rsidP="00E74C89">
            <w:pPr>
              <w:spacing w:after="0" w:line="240" w:lineRule="auto"/>
              <w:rPr>
                <w:rFonts w:ascii="Times New Roman" w:hAnsi="Times New Roman" w:cs="Times New Roman"/>
                <w:sz w:val="20"/>
                <w:szCs w:val="20"/>
                <w:lang w:eastAsia="x-none"/>
              </w:rPr>
            </w:pPr>
          </w:p>
        </w:tc>
      </w:tr>
    </w:tbl>
    <w:p w:rsidR="00E74C89" w:rsidRDefault="00E74C89" w:rsidP="00E74C89">
      <w:pPr>
        <w:rPr>
          <w:rFonts w:ascii="Times New Roman" w:hAnsi="Times New Roman" w:cs="Times New Roman"/>
          <w:sz w:val="20"/>
          <w:szCs w:val="20"/>
        </w:rPr>
      </w:pPr>
    </w:p>
    <w:p w:rsidR="00C90463" w:rsidRDefault="000635C1" w:rsidP="00C16258">
      <w:pPr>
        <w:rPr>
          <w:rFonts w:ascii="Times New Roman" w:hAnsi="Times New Roman" w:cs="Times New Roman"/>
          <w:sz w:val="20"/>
          <w:szCs w:val="20"/>
        </w:rPr>
      </w:pPr>
      <w:r>
        <w:rPr>
          <w:rFonts w:ascii="Times New Roman" w:hAnsi="Times New Roman" w:cs="Times New Roman"/>
          <w:sz w:val="20"/>
          <w:szCs w:val="20"/>
        </w:rPr>
        <w:t>RAN1 #95 meeting also has this agreement on the</w:t>
      </w:r>
      <w:r w:rsidR="00C90463">
        <w:rPr>
          <w:rFonts w:ascii="Times New Roman" w:hAnsi="Times New Roman" w:cs="Times New Roman"/>
          <w:sz w:val="20"/>
          <w:szCs w:val="20"/>
        </w:rPr>
        <w:t xml:space="preserve"> scope of the full TX power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258" w:rsidRPr="0046285A" w:rsidTr="00A57414">
        <w:tc>
          <w:tcPr>
            <w:tcW w:w="9629" w:type="dxa"/>
            <w:shd w:val="clear" w:color="auto" w:fill="auto"/>
          </w:tcPr>
          <w:p w:rsidR="00C16258" w:rsidRPr="008A68C6" w:rsidRDefault="00C16258" w:rsidP="00A57414">
            <w:pPr>
              <w:rPr>
                <w:rFonts w:ascii="Times New Roman" w:hAnsi="Times New Roman" w:cs="Times New Roman"/>
                <w:b/>
                <w:sz w:val="20"/>
                <w:szCs w:val="20"/>
                <w:highlight w:val="green"/>
              </w:rPr>
            </w:pPr>
            <w:r w:rsidRPr="008A68C6">
              <w:rPr>
                <w:rFonts w:ascii="Times New Roman" w:hAnsi="Times New Roman" w:cs="Times New Roman"/>
                <w:b/>
                <w:sz w:val="20"/>
                <w:szCs w:val="20"/>
                <w:highlight w:val="green"/>
              </w:rPr>
              <w:t>Agreement</w:t>
            </w:r>
          </w:p>
          <w:p w:rsidR="00C16258" w:rsidRPr="00C16258" w:rsidRDefault="00C16258" w:rsidP="00C16258">
            <w:pPr>
              <w:rPr>
                <w:rFonts w:ascii="Times New Roman" w:hAnsi="Times New Roman" w:cs="Times New Roman"/>
                <w:sz w:val="20"/>
                <w:szCs w:val="20"/>
              </w:rPr>
            </w:pPr>
            <w:r w:rsidRPr="00C16258">
              <w:rPr>
                <w:rFonts w:ascii="Times New Roman" w:hAnsi="Times New Roman" w:cs="Times New Roman"/>
                <w:sz w:val="20"/>
                <w:szCs w:val="20"/>
              </w:rPr>
              <w:t xml:space="preserve">Full TX power UL transmission with multiple power amplifier is supported </w:t>
            </w:r>
            <w:r w:rsidRPr="00C16258">
              <w:rPr>
                <w:rFonts w:ascii="Times New Roman" w:hAnsi="Times New Roman" w:cs="Times New Roman"/>
                <w:color w:val="FF0000"/>
                <w:sz w:val="20"/>
                <w:szCs w:val="20"/>
              </w:rPr>
              <w:t>at least</w:t>
            </w:r>
            <w:r w:rsidRPr="00C16258">
              <w:rPr>
                <w:rFonts w:ascii="Times New Roman" w:hAnsi="Times New Roman" w:cs="Times New Roman"/>
                <w:sz w:val="20"/>
                <w:szCs w:val="20"/>
              </w:rPr>
              <w:t xml:space="preserve"> for codebook based UL transmission for non-coherent and partial/non-coherent capable UEs</w:t>
            </w:r>
          </w:p>
          <w:p w:rsidR="00C16258" w:rsidRPr="00C16258" w:rsidRDefault="00C16258" w:rsidP="00C16258">
            <w:pPr>
              <w:numPr>
                <w:ilvl w:val="0"/>
                <w:numId w:val="35"/>
              </w:numPr>
              <w:spacing w:after="0" w:line="240" w:lineRule="auto"/>
              <w:rPr>
                <w:rFonts w:ascii="Times New Roman" w:hAnsi="Times New Roman" w:cs="Times New Roman"/>
                <w:sz w:val="20"/>
                <w:szCs w:val="20"/>
                <w:lang w:eastAsia="x-none"/>
              </w:rPr>
            </w:pPr>
            <w:r w:rsidRPr="00C16258">
              <w:rPr>
                <w:rFonts w:ascii="Times New Roman" w:hAnsi="Times New Roman" w:cs="Times New Roman"/>
                <w:sz w:val="20"/>
                <w:szCs w:val="20"/>
                <w:lang w:eastAsia="x-none"/>
              </w:rPr>
              <w:t>This specification support is a UE optional feature</w:t>
            </w:r>
          </w:p>
          <w:p w:rsidR="00C16258" w:rsidRPr="00C90463" w:rsidRDefault="00C16258" w:rsidP="00C16258">
            <w:pPr>
              <w:numPr>
                <w:ilvl w:val="0"/>
                <w:numId w:val="35"/>
              </w:numPr>
              <w:spacing w:after="0" w:line="240" w:lineRule="auto"/>
              <w:rPr>
                <w:rFonts w:ascii="Times New Roman" w:hAnsi="Times New Roman" w:cs="Times New Roman"/>
                <w:sz w:val="20"/>
                <w:szCs w:val="20"/>
                <w:lang w:eastAsia="x-none"/>
              </w:rPr>
            </w:pPr>
            <w:r w:rsidRPr="00C16258">
              <w:rPr>
                <w:rFonts w:ascii="Times New Roman" w:hAnsi="Times New Roman" w:cs="Times New Roman"/>
                <w:sz w:val="20"/>
                <w:szCs w:val="20"/>
                <w:lang w:eastAsia="x-none"/>
              </w:rPr>
              <w:t>FFS: Whether this applies for the entire codebook or subset of codebook</w:t>
            </w:r>
          </w:p>
        </w:tc>
      </w:tr>
    </w:tbl>
    <w:p w:rsidR="00C16258" w:rsidRDefault="00C16258" w:rsidP="00C16258">
      <w:pPr>
        <w:rPr>
          <w:rFonts w:ascii="Times New Roman" w:hAnsi="Times New Roman" w:cs="Times New Roman"/>
          <w:sz w:val="20"/>
          <w:szCs w:val="20"/>
        </w:rPr>
      </w:pPr>
    </w:p>
    <w:p w:rsidR="000635C1" w:rsidRDefault="000635C1" w:rsidP="00C16258">
      <w:pPr>
        <w:rPr>
          <w:rFonts w:ascii="Times New Roman" w:hAnsi="Times New Roman" w:cs="Times New Roman"/>
          <w:sz w:val="20"/>
          <w:szCs w:val="20"/>
        </w:rPr>
      </w:pPr>
      <w:r>
        <w:rPr>
          <w:rFonts w:ascii="Times New Roman" w:hAnsi="Times New Roman" w:cs="Times New Roman"/>
          <w:sz w:val="20"/>
          <w:szCs w:val="20"/>
        </w:rPr>
        <w:t>Three UE capabilities are proposed in RAN1 ad hoc #1901 meeting</w:t>
      </w:r>
      <w:r w:rsidR="00F23F38">
        <w:rPr>
          <w:rFonts w:ascii="Times New Roman" w:hAnsi="Times New Roman" w:cs="Times New Roman"/>
          <w:sz w:val="20"/>
          <w:szCs w:val="20"/>
        </w:rPr>
        <w:t xml:space="preserve"> [2]</w:t>
      </w:r>
      <w:r>
        <w:rPr>
          <w:rFonts w:ascii="Times New Roman" w:hAnsi="Times New Roman" w:cs="Times New Roman"/>
          <w:sz w:val="20"/>
          <w:szCs w:val="20"/>
        </w:rPr>
        <w:t>:</w:t>
      </w:r>
    </w:p>
    <w:p w:rsidR="00F23F38" w:rsidRDefault="00F23F38" w:rsidP="00C16258">
      <w:pPr>
        <w:rPr>
          <w:rFonts w:ascii="Times New Roman" w:hAnsi="Times New Roman" w:cs="Times New Roman"/>
          <w:sz w:val="20"/>
          <w:szCs w:val="20"/>
        </w:rPr>
      </w:pPr>
    </w:p>
    <w:p w:rsidR="00F23F38" w:rsidRDefault="00F23F38" w:rsidP="00C1625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35C1" w:rsidRPr="0046285A" w:rsidTr="00A57414">
        <w:tc>
          <w:tcPr>
            <w:tcW w:w="9629" w:type="dxa"/>
            <w:shd w:val="clear" w:color="auto" w:fill="auto"/>
          </w:tcPr>
          <w:p w:rsidR="000635C1" w:rsidRPr="000635C1" w:rsidRDefault="000635C1" w:rsidP="000635C1">
            <w:pPr>
              <w:ind w:left="1440" w:hanging="1440"/>
              <w:rPr>
                <w:rFonts w:ascii="Times New Roman" w:hAnsi="Times New Roman" w:cs="Times New Roman"/>
                <w:b/>
                <w:sz w:val="20"/>
                <w:szCs w:val="20"/>
                <w:highlight w:val="green"/>
                <w:lang w:eastAsia="x-none"/>
              </w:rPr>
            </w:pPr>
            <w:r w:rsidRPr="000635C1">
              <w:rPr>
                <w:rFonts w:ascii="Times New Roman" w:hAnsi="Times New Roman" w:cs="Times New Roman"/>
                <w:b/>
                <w:sz w:val="20"/>
                <w:szCs w:val="20"/>
                <w:highlight w:val="green"/>
                <w:lang w:eastAsia="x-none"/>
              </w:rPr>
              <w:lastRenderedPageBreak/>
              <w:t>Agreement</w:t>
            </w:r>
          </w:p>
          <w:p w:rsidR="000635C1" w:rsidRPr="000635C1" w:rsidRDefault="000635C1" w:rsidP="000635C1">
            <w:pPr>
              <w:rPr>
                <w:rFonts w:ascii="Times New Roman" w:hAnsi="Times New Roman" w:cs="Times New Roman"/>
                <w:sz w:val="20"/>
                <w:szCs w:val="20"/>
              </w:rPr>
            </w:pPr>
            <w:r w:rsidRPr="000635C1">
              <w:rPr>
                <w:rFonts w:ascii="Times New Roman" w:hAnsi="Times New Roman" w:cs="Times New Roman"/>
                <w:sz w:val="20"/>
                <w:szCs w:val="20"/>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rsidR="000635C1" w:rsidRPr="000635C1" w:rsidRDefault="000635C1" w:rsidP="000635C1">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 xml:space="preserve">UE capability 1: for the UE to support full Tx power in UL transmission, full rated PAs on each Tx chain is supported with a new UE capability </w:t>
            </w:r>
          </w:p>
          <w:p w:rsidR="000635C1" w:rsidRPr="000635C1" w:rsidRDefault="000635C1" w:rsidP="000635C1">
            <w:pPr>
              <w:pStyle w:val="ListParagraph"/>
              <w:widowControl w:val="0"/>
              <w:numPr>
                <w:ilvl w:val="1"/>
                <w:numId w:val="35"/>
              </w:numPr>
              <w:spacing w:after="0" w:line="240" w:lineRule="auto"/>
              <w:contextualSpacing w:val="0"/>
              <w:jc w:val="both"/>
              <w:rPr>
                <w:rFonts w:ascii="Times New Roman" w:hAnsi="Times New Roman" w:cs="Times New Roman"/>
                <w:sz w:val="20"/>
                <w:szCs w:val="20"/>
              </w:rPr>
            </w:pPr>
            <w:r w:rsidRPr="000635C1">
              <w:rPr>
                <w:rFonts w:ascii="Times New Roman" w:hAnsi="Times New Roman" w:cs="Times New Roman"/>
                <w:sz w:val="20"/>
                <w:szCs w:val="20"/>
              </w:rPr>
              <w:t xml:space="preserve">FFS: detailed power scaling description </w:t>
            </w:r>
          </w:p>
          <w:p w:rsidR="000635C1" w:rsidRPr="000635C1" w:rsidRDefault="000635C1" w:rsidP="000635C1">
            <w:pPr>
              <w:pStyle w:val="ListParagraph"/>
              <w:widowControl w:val="0"/>
              <w:numPr>
                <w:ilvl w:val="1"/>
                <w:numId w:val="35"/>
              </w:numPr>
              <w:spacing w:after="0" w:line="240" w:lineRule="auto"/>
              <w:contextualSpacing w:val="0"/>
              <w:jc w:val="both"/>
              <w:rPr>
                <w:rFonts w:ascii="Times New Roman" w:hAnsi="Times New Roman" w:cs="Times New Roman"/>
                <w:sz w:val="20"/>
                <w:szCs w:val="20"/>
              </w:rPr>
            </w:pPr>
            <w:r w:rsidRPr="000635C1">
              <w:rPr>
                <w:rFonts w:ascii="Times New Roman" w:hAnsi="Times New Roman" w:cs="Times New Roman"/>
                <w:sz w:val="20"/>
                <w:szCs w:val="20"/>
              </w:rPr>
              <w:t>Note: Full Tx power means UE delivers total power of 23dBm for PC3</w:t>
            </w:r>
          </w:p>
          <w:p w:rsidR="000635C1" w:rsidRPr="000635C1" w:rsidRDefault="000635C1" w:rsidP="000635C1">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 xml:space="preserve">UE capability 2: for the UE to support full Tx power in UL transmission, no Tx chain is assumed to deliver full power with the new UE capability </w:t>
            </w:r>
          </w:p>
          <w:p w:rsidR="000635C1" w:rsidRPr="000635C1" w:rsidRDefault="000635C1" w:rsidP="000635C1">
            <w:pPr>
              <w:pStyle w:val="ListParagraph"/>
              <w:widowControl w:val="0"/>
              <w:numPr>
                <w:ilvl w:val="1"/>
                <w:numId w:val="35"/>
              </w:numPr>
              <w:spacing w:after="0" w:line="240" w:lineRule="auto"/>
              <w:contextualSpacing w:val="0"/>
              <w:jc w:val="both"/>
              <w:rPr>
                <w:rFonts w:ascii="Times New Roman" w:hAnsi="Times New Roman" w:cs="Times New Roman"/>
                <w:sz w:val="20"/>
                <w:szCs w:val="20"/>
              </w:rPr>
            </w:pPr>
            <w:r w:rsidRPr="000635C1">
              <w:rPr>
                <w:rFonts w:ascii="Times New Roman" w:hAnsi="Times New Roman" w:cs="Times New Roman"/>
                <w:sz w:val="20"/>
                <w:szCs w:val="20"/>
              </w:rPr>
              <w:t>FFS: detailed design</w:t>
            </w:r>
          </w:p>
          <w:p w:rsidR="000635C1" w:rsidRPr="000635C1" w:rsidRDefault="000635C1" w:rsidP="000635C1">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UE capability 3: for the UE to support full Tx power in UL transmission, subset of Tx chains with full rated PAs is supported with a new UE capability</w:t>
            </w:r>
          </w:p>
          <w:p w:rsidR="000635C1" w:rsidRPr="000635C1" w:rsidRDefault="000635C1" w:rsidP="000635C1">
            <w:pPr>
              <w:rPr>
                <w:rFonts w:ascii="Times New Roman" w:hAnsi="Times New Roman" w:cs="Times New Roman"/>
                <w:sz w:val="20"/>
                <w:szCs w:val="20"/>
              </w:rPr>
            </w:pPr>
            <w:r w:rsidRPr="000635C1">
              <w:rPr>
                <w:rFonts w:ascii="Times New Roman" w:hAnsi="Times New Roman" w:cs="Times New Roman"/>
                <w:sz w:val="20"/>
                <w:szCs w:val="20"/>
              </w:rPr>
              <w:t>FFS: Whether all three capabilities will be specified or a subset will be specified</w:t>
            </w:r>
          </w:p>
          <w:p w:rsidR="000635C1" w:rsidRPr="000635C1" w:rsidRDefault="000635C1" w:rsidP="000635C1">
            <w:pPr>
              <w:rPr>
                <w:rFonts w:ascii="Times New Roman" w:hAnsi="Times New Roman" w:cs="Times New Roman"/>
                <w:sz w:val="20"/>
                <w:szCs w:val="20"/>
              </w:rPr>
            </w:pPr>
            <w:r w:rsidRPr="000635C1">
              <w:rPr>
                <w:rFonts w:ascii="Times New Roman" w:hAnsi="Times New Roman" w:cs="Times New Roman"/>
                <w:sz w:val="20"/>
                <w:szCs w:val="20"/>
              </w:rPr>
              <w:t>FFS: UE capability signalling/reporting details</w:t>
            </w:r>
          </w:p>
          <w:p w:rsidR="000635C1" w:rsidRPr="000635C1" w:rsidRDefault="000635C1" w:rsidP="000635C1">
            <w:pPr>
              <w:rPr>
                <w:rFonts w:ascii="Times New Roman" w:hAnsi="Times New Roman" w:cs="Times New Roman"/>
                <w:sz w:val="20"/>
                <w:szCs w:val="20"/>
              </w:rPr>
            </w:pPr>
            <w:r w:rsidRPr="000635C1">
              <w:rPr>
                <w:rFonts w:ascii="Times New Roman" w:hAnsi="Times New Roman" w:cs="Times New Roman"/>
                <w:sz w:val="20"/>
                <w:szCs w:val="20"/>
              </w:rPr>
              <w:t>Note: Two or more of the above capabilities could be merged depending on the further details</w:t>
            </w:r>
          </w:p>
          <w:p w:rsidR="000635C1" w:rsidRPr="00C90463" w:rsidRDefault="000635C1" w:rsidP="000635C1">
            <w:pPr>
              <w:spacing w:after="0" w:line="240" w:lineRule="auto"/>
              <w:rPr>
                <w:rFonts w:ascii="Times New Roman" w:hAnsi="Times New Roman" w:cs="Times New Roman"/>
                <w:sz w:val="20"/>
                <w:szCs w:val="20"/>
                <w:lang w:eastAsia="x-none"/>
              </w:rPr>
            </w:pPr>
          </w:p>
        </w:tc>
      </w:tr>
    </w:tbl>
    <w:p w:rsidR="000635C1" w:rsidRDefault="000635C1" w:rsidP="000635C1">
      <w:pPr>
        <w:rPr>
          <w:rFonts w:ascii="Times New Roman" w:hAnsi="Times New Roman" w:cs="Times New Roman"/>
          <w:sz w:val="20"/>
          <w:szCs w:val="20"/>
        </w:rPr>
      </w:pPr>
    </w:p>
    <w:p w:rsidR="00F77EE6" w:rsidRPr="00F77EE6" w:rsidRDefault="00F77EE6" w:rsidP="000635C1">
      <w:pPr>
        <w:rPr>
          <w:rFonts w:ascii="Times New Roman" w:hAnsi="Times New Roman" w:cs="Times New Roman"/>
          <w:sz w:val="20"/>
          <w:szCs w:val="20"/>
        </w:rPr>
      </w:pPr>
      <w:r>
        <w:rPr>
          <w:rFonts w:ascii="Times New Roman" w:hAnsi="Times New Roman" w:cs="Times New Roman"/>
          <w:sz w:val="20"/>
          <w:szCs w:val="20"/>
        </w:rPr>
        <w:t>Regarding to the full power transmission capability for all these 3 UE capabilities, RAN1 #96 meeting reached this agreement with a working assumption</w:t>
      </w:r>
      <w:r w:rsidR="00EB1DD0">
        <w:rPr>
          <w:rFonts w:ascii="Times New Roman" w:hAnsi="Times New Roman" w:cs="Times New Roman"/>
          <w:sz w:val="20"/>
          <w:szCs w:val="20"/>
        </w:rPr>
        <w:t xml:space="preserve"> [3]</w:t>
      </w:r>
      <w:r>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7EE6" w:rsidRPr="00F77EE6" w:rsidTr="00A57414">
        <w:tc>
          <w:tcPr>
            <w:tcW w:w="9629" w:type="dxa"/>
            <w:shd w:val="clear" w:color="auto" w:fill="auto"/>
          </w:tcPr>
          <w:p w:rsidR="00F77EE6" w:rsidRPr="00F77EE6" w:rsidRDefault="00F77EE6" w:rsidP="00F77EE6">
            <w:pPr>
              <w:spacing w:after="0" w:line="240" w:lineRule="auto"/>
              <w:rPr>
                <w:rFonts w:ascii="Times New Roman" w:hAnsi="Times New Roman" w:cs="Times New Roman"/>
                <w:b/>
                <w:sz w:val="20"/>
                <w:szCs w:val="20"/>
                <w:highlight w:val="green"/>
              </w:rPr>
            </w:pPr>
            <w:r w:rsidRPr="00F77EE6">
              <w:rPr>
                <w:rFonts w:ascii="Times New Roman" w:hAnsi="Times New Roman" w:cs="Times New Roman"/>
                <w:b/>
                <w:sz w:val="20"/>
                <w:szCs w:val="20"/>
                <w:highlight w:val="green"/>
              </w:rPr>
              <w:t>Agreement</w:t>
            </w:r>
          </w:p>
          <w:p w:rsidR="00F77EE6" w:rsidRPr="00F77EE6" w:rsidRDefault="00F77EE6" w:rsidP="00F77EE6">
            <w:pPr>
              <w:spacing w:after="0" w:line="240" w:lineRule="auto"/>
              <w:rPr>
                <w:rFonts w:ascii="Times New Roman" w:hAnsi="Times New Roman" w:cs="Times New Roman"/>
                <w:sz w:val="20"/>
                <w:szCs w:val="20"/>
              </w:rPr>
            </w:pPr>
            <w:r w:rsidRPr="00F77EE6">
              <w:rPr>
                <w:rFonts w:ascii="Times New Roman" w:hAnsi="Times New Roman" w:cs="Times New Roman"/>
                <w:sz w:val="20"/>
                <w:szCs w:val="20"/>
              </w:rPr>
              <w:t>Note: UE capability 1, 2, 3 agreed in RAN1#AH1901 mean the PA architectures.</w:t>
            </w:r>
          </w:p>
          <w:p w:rsidR="00F77EE6" w:rsidRPr="00F77EE6" w:rsidRDefault="00F77EE6" w:rsidP="00F77EE6">
            <w:pPr>
              <w:spacing w:after="0" w:line="240" w:lineRule="auto"/>
              <w:rPr>
                <w:rFonts w:ascii="Times New Roman" w:hAnsi="Times New Roman" w:cs="Times New Roman"/>
                <w:sz w:val="20"/>
                <w:szCs w:val="20"/>
              </w:rPr>
            </w:pPr>
            <w:r w:rsidRPr="00F77EE6">
              <w:rPr>
                <w:rFonts w:ascii="Times New Roman" w:hAnsi="Times New Roman" w:cs="Times New Roman"/>
                <w:sz w:val="20"/>
                <w:szCs w:val="20"/>
              </w:rPr>
              <w:t>At least for PC3, UE capability 1, 3 can support full power transmission.</w:t>
            </w:r>
          </w:p>
          <w:p w:rsidR="00F77EE6" w:rsidRPr="00F77EE6" w:rsidRDefault="00F77EE6" w:rsidP="00F77EE6">
            <w:pPr>
              <w:spacing w:after="0" w:line="240" w:lineRule="auto"/>
              <w:rPr>
                <w:rFonts w:ascii="Times New Roman" w:hAnsi="Times New Roman" w:cs="Times New Roman"/>
                <w:sz w:val="20"/>
                <w:szCs w:val="20"/>
              </w:rPr>
            </w:pPr>
            <w:r w:rsidRPr="00F77EE6">
              <w:rPr>
                <w:rFonts w:ascii="Times New Roman" w:hAnsi="Times New Roman" w:cs="Times New Roman"/>
                <w:b/>
                <w:sz w:val="20"/>
                <w:szCs w:val="20"/>
                <w:highlight w:val="darkYellow"/>
              </w:rPr>
              <w:t>Working assumption</w:t>
            </w:r>
            <w:r w:rsidRPr="00F77EE6">
              <w:rPr>
                <w:rFonts w:ascii="Times New Roman" w:hAnsi="Times New Roman" w:cs="Times New Roman"/>
                <w:sz w:val="20"/>
                <w:szCs w:val="20"/>
              </w:rPr>
              <w:t>: For PC3, UE capability 2 can support full power transmission.</w:t>
            </w:r>
          </w:p>
          <w:p w:rsidR="00F77EE6" w:rsidRPr="00F77EE6" w:rsidRDefault="00F77EE6" w:rsidP="00F77EE6">
            <w:pPr>
              <w:numPr>
                <w:ilvl w:val="0"/>
                <w:numId w:val="35"/>
              </w:numPr>
              <w:spacing w:after="0" w:line="240" w:lineRule="auto"/>
              <w:rPr>
                <w:rFonts w:ascii="Times New Roman" w:hAnsi="Times New Roman" w:cs="Times New Roman"/>
                <w:sz w:val="20"/>
                <w:szCs w:val="20"/>
                <w:lang w:eastAsia="x-none"/>
              </w:rPr>
            </w:pPr>
            <w:r w:rsidRPr="00F77EE6">
              <w:rPr>
                <w:rFonts w:ascii="Times New Roman" w:hAnsi="Times New Roman" w:cs="Times New Roman"/>
                <w:sz w:val="20"/>
                <w:szCs w:val="20"/>
              </w:rPr>
              <w:t>Companies to check for any implementation issues and/or performance of Rel-16 full power transmission compared to Rel-15 non-coherent codebook subset uplink transmission)</w:t>
            </w:r>
          </w:p>
        </w:tc>
      </w:tr>
    </w:tbl>
    <w:p w:rsidR="00F77EE6" w:rsidRDefault="00F77EE6" w:rsidP="00F77EE6">
      <w:pPr>
        <w:rPr>
          <w:rFonts w:ascii="Times New Roman" w:hAnsi="Times New Roman" w:cs="Times New Roman"/>
          <w:sz w:val="20"/>
          <w:szCs w:val="20"/>
        </w:rPr>
      </w:pPr>
    </w:p>
    <w:p w:rsidR="00F77EE6" w:rsidRDefault="00F77EE6" w:rsidP="000635C1">
      <w:pPr>
        <w:rPr>
          <w:rFonts w:ascii="Times New Roman" w:hAnsi="Times New Roman" w:cs="Times New Roman"/>
          <w:sz w:val="20"/>
          <w:szCs w:val="20"/>
        </w:rPr>
      </w:pPr>
      <w:r>
        <w:rPr>
          <w:rFonts w:ascii="Times New Roman" w:hAnsi="Times New Roman" w:cs="Times New Roman"/>
          <w:sz w:val="20"/>
          <w:szCs w:val="20"/>
        </w:rPr>
        <w:t>For UE capability signaling, two alternatives are still open to be down-selected in this meeting</w:t>
      </w:r>
      <w:r w:rsidR="00EB1DD0">
        <w:rPr>
          <w:rFonts w:ascii="Times New Roman" w:hAnsi="Times New Roman" w:cs="Times New Roman"/>
          <w:sz w:val="20"/>
          <w:szCs w:val="20"/>
        </w:rPr>
        <w:t xml:space="preserve"> [3]</w:t>
      </w:r>
      <w:r>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7EE6" w:rsidRPr="00F77EE6" w:rsidTr="00A57414">
        <w:tc>
          <w:tcPr>
            <w:tcW w:w="9629" w:type="dxa"/>
            <w:shd w:val="clear" w:color="auto" w:fill="auto"/>
          </w:tcPr>
          <w:p w:rsidR="00F77EE6" w:rsidRPr="00F77EE6" w:rsidRDefault="00F77EE6" w:rsidP="00F77EE6">
            <w:pPr>
              <w:spacing w:after="0" w:line="240" w:lineRule="auto"/>
              <w:rPr>
                <w:rFonts w:ascii="Times New Roman" w:hAnsi="Times New Roman" w:cs="Times New Roman"/>
                <w:b/>
                <w:sz w:val="20"/>
                <w:szCs w:val="20"/>
                <w:highlight w:val="green"/>
              </w:rPr>
            </w:pPr>
            <w:r w:rsidRPr="00F77EE6">
              <w:rPr>
                <w:rFonts w:ascii="Times New Roman" w:hAnsi="Times New Roman" w:cs="Times New Roman"/>
                <w:b/>
                <w:sz w:val="20"/>
                <w:szCs w:val="20"/>
                <w:highlight w:val="green"/>
              </w:rPr>
              <w:t>Agreement</w:t>
            </w:r>
          </w:p>
          <w:p w:rsidR="00F77EE6" w:rsidRPr="00F77EE6" w:rsidRDefault="00F77EE6" w:rsidP="00F77EE6">
            <w:pPr>
              <w:spacing w:after="0" w:line="240" w:lineRule="auto"/>
              <w:rPr>
                <w:rFonts w:ascii="Times New Roman" w:eastAsia="SimSun" w:hAnsi="Times New Roman" w:cs="Times New Roman"/>
                <w:sz w:val="20"/>
                <w:szCs w:val="20"/>
              </w:rPr>
            </w:pPr>
            <w:r w:rsidRPr="00F77EE6">
              <w:rPr>
                <w:rFonts w:ascii="Times New Roman" w:eastAsia="SimSun" w:hAnsi="Times New Roman" w:cs="Times New Roman"/>
                <w:sz w:val="20"/>
                <w:szCs w:val="20"/>
              </w:rPr>
              <w:t>Down select among the following two alternatives by RAN1#96bis. As part of UE capabilities signalled the following is included:</w:t>
            </w:r>
          </w:p>
          <w:p w:rsidR="00F77EE6" w:rsidRPr="00F77EE6" w:rsidRDefault="00F77EE6" w:rsidP="00F77EE6">
            <w:pPr>
              <w:spacing w:after="0" w:line="240" w:lineRule="auto"/>
              <w:rPr>
                <w:rFonts w:ascii="Times New Roman" w:hAnsi="Times New Roman" w:cs="Times New Roman"/>
                <w:sz w:val="20"/>
                <w:szCs w:val="20"/>
              </w:rPr>
            </w:pPr>
            <w:r w:rsidRPr="00F77EE6">
              <w:rPr>
                <w:rFonts w:ascii="Times New Roman" w:hAnsi="Times New Roman" w:cs="Times New Roman"/>
                <w:sz w:val="20"/>
                <w:szCs w:val="20"/>
              </w:rPr>
              <w:t>Alt1: UE capability signaling of supported one or group of TPMI precoder(s)</w:t>
            </w:r>
          </w:p>
          <w:p w:rsidR="00F77EE6" w:rsidRPr="00F77EE6" w:rsidRDefault="00F77EE6" w:rsidP="00F77EE6">
            <w:pPr>
              <w:spacing w:after="0" w:line="240" w:lineRule="auto"/>
              <w:rPr>
                <w:rFonts w:ascii="Times New Roman" w:hAnsi="Times New Roman" w:cs="Times New Roman"/>
                <w:sz w:val="20"/>
                <w:szCs w:val="20"/>
              </w:rPr>
            </w:pPr>
            <w:r w:rsidRPr="00F77EE6">
              <w:rPr>
                <w:rFonts w:ascii="Times New Roman" w:hAnsi="Times New Roman" w:cs="Times New Roman"/>
                <w:sz w:val="20"/>
                <w:szCs w:val="20"/>
              </w:rPr>
              <w:t>Alt3: UE capability signaling of power scaling schemes for full uplink power transmission</w:t>
            </w:r>
          </w:p>
          <w:p w:rsidR="00F77EE6" w:rsidRPr="00F77EE6" w:rsidRDefault="00F77EE6" w:rsidP="00F77EE6">
            <w:pPr>
              <w:pStyle w:val="ListParagraph"/>
              <w:widowControl w:val="0"/>
              <w:numPr>
                <w:ilvl w:val="0"/>
                <w:numId w:val="39"/>
              </w:numPr>
              <w:spacing w:after="0" w:line="240" w:lineRule="auto"/>
              <w:contextualSpacing w:val="0"/>
              <w:jc w:val="both"/>
              <w:rPr>
                <w:rFonts w:ascii="Times New Roman" w:hAnsi="Times New Roman" w:cs="Times New Roman"/>
                <w:sz w:val="20"/>
                <w:szCs w:val="20"/>
              </w:rPr>
            </w:pPr>
            <w:r w:rsidRPr="00F77EE6">
              <w:rPr>
                <w:rFonts w:ascii="Times New Roman" w:hAnsi="Times New Roman" w:cs="Times New Roman"/>
                <w:sz w:val="20"/>
                <w:szCs w:val="20"/>
              </w:rPr>
              <w:t>Note: This does not imply any restriction on UE antenna virtualization</w:t>
            </w:r>
          </w:p>
          <w:p w:rsidR="00F77EE6" w:rsidRPr="00F77EE6" w:rsidRDefault="00F77EE6" w:rsidP="00F77EE6">
            <w:pPr>
              <w:pStyle w:val="ListParagraph"/>
              <w:widowControl w:val="0"/>
              <w:numPr>
                <w:ilvl w:val="0"/>
                <w:numId w:val="39"/>
              </w:numPr>
              <w:spacing w:after="0" w:line="240" w:lineRule="auto"/>
              <w:contextualSpacing w:val="0"/>
              <w:jc w:val="both"/>
              <w:rPr>
                <w:rFonts w:ascii="Times New Roman" w:hAnsi="Times New Roman" w:cs="Times New Roman"/>
                <w:sz w:val="20"/>
                <w:szCs w:val="20"/>
              </w:rPr>
            </w:pPr>
            <w:r w:rsidRPr="00F77EE6">
              <w:rPr>
                <w:rFonts w:ascii="Times New Roman" w:hAnsi="Times New Roman" w:cs="Times New Roman"/>
                <w:sz w:val="20"/>
                <w:szCs w:val="20"/>
              </w:rPr>
              <w:t>FFS: Whether full uplink power transmission needs to be supported for all precoders</w:t>
            </w:r>
          </w:p>
          <w:p w:rsidR="00F77EE6" w:rsidRPr="00F77EE6" w:rsidRDefault="00F77EE6" w:rsidP="00F77EE6">
            <w:pPr>
              <w:spacing w:after="0" w:line="240" w:lineRule="auto"/>
              <w:rPr>
                <w:rFonts w:ascii="Times New Roman" w:hAnsi="Times New Roman" w:cs="Times New Roman"/>
                <w:sz w:val="20"/>
                <w:szCs w:val="20"/>
                <w:lang w:eastAsia="x-none"/>
              </w:rPr>
            </w:pPr>
          </w:p>
        </w:tc>
      </w:tr>
    </w:tbl>
    <w:p w:rsidR="00F77EE6" w:rsidRDefault="00F77EE6" w:rsidP="000635C1">
      <w:pPr>
        <w:rPr>
          <w:rFonts w:ascii="Times New Roman" w:hAnsi="Times New Roman" w:cs="Times New Roman"/>
          <w:sz w:val="20"/>
          <w:szCs w:val="20"/>
        </w:rPr>
      </w:pPr>
    </w:p>
    <w:p w:rsidR="00F77EE6" w:rsidRDefault="00F77EE6" w:rsidP="000635C1">
      <w:pPr>
        <w:rPr>
          <w:rFonts w:ascii="Times New Roman" w:hAnsi="Times New Roman" w:cs="Times New Roman"/>
          <w:sz w:val="20"/>
          <w:szCs w:val="20"/>
        </w:rPr>
      </w:pPr>
      <w:r>
        <w:rPr>
          <w:rFonts w:ascii="Times New Roman" w:hAnsi="Times New Roman" w:cs="Times New Roman"/>
          <w:sz w:val="20"/>
          <w:szCs w:val="20"/>
        </w:rPr>
        <w:t>Alternatively, RAN4 has replied RAN1’s LS on the new UE capability for full power UL transmission</w:t>
      </w:r>
      <w:r w:rsidR="00D853FD">
        <w:rPr>
          <w:rFonts w:ascii="Times New Roman" w:hAnsi="Times New Roman" w:cs="Times New Roman"/>
          <w:sz w:val="20"/>
          <w:szCs w:val="20"/>
        </w:rPr>
        <w:t xml:space="preserve"> [</w:t>
      </w:r>
      <w:r w:rsidR="00EB1DD0">
        <w:rPr>
          <w:rFonts w:ascii="Times New Roman" w:hAnsi="Times New Roman" w:cs="Times New Roman"/>
          <w:sz w:val="20"/>
          <w:szCs w:val="20"/>
        </w:rPr>
        <w:t>5</w:t>
      </w:r>
      <w:r w:rsidR="00D853FD">
        <w:rPr>
          <w:rFonts w:ascii="Times New Roman" w:hAnsi="Times New Roman" w:cs="Times New Roman"/>
          <w:sz w:val="20"/>
          <w:szCs w:val="20"/>
        </w:rPr>
        <w:t>]</w:t>
      </w:r>
      <w:r>
        <w:rPr>
          <w:rFonts w:ascii="Times New Roman" w:hAnsi="Times New Roman" w:cs="Times New Roman"/>
          <w:sz w:val="20"/>
          <w:szCs w:val="20"/>
        </w:rPr>
        <w:t>. RAN4 has reached two WFs</w:t>
      </w:r>
      <w:r w:rsidR="00190F29">
        <w:rPr>
          <w:rFonts w:ascii="Times New Roman" w:hAnsi="Times New Roman" w:cs="Times New Roman"/>
          <w:sz w:val="20"/>
          <w:szCs w:val="20"/>
        </w:rPr>
        <w:t>, which are related to power class 2 (PC2) UE PA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7EE6" w:rsidRPr="00F77EE6" w:rsidTr="00A57414">
        <w:tc>
          <w:tcPr>
            <w:tcW w:w="9629" w:type="dxa"/>
            <w:shd w:val="clear" w:color="auto" w:fill="auto"/>
          </w:tcPr>
          <w:p w:rsidR="00F77EE6" w:rsidRDefault="00F77EE6" w:rsidP="00190F29">
            <w:pPr>
              <w:pStyle w:val="Header"/>
              <w:tabs>
                <w:tab w:val="left" w:pos="720"/>
              </w:tabs>
              <w:ind w:leftChars="300" w:left="660"/>
              <w:rPr>
                <w:rFonts w:ascii="Times New Roman" w:hAnsi="Times New Roman"/>
                <w:b w:val="0"/>
                <w:sz w:val="20"/>
                <w:lang w:eastAsia="zh-CN"/>
              </w:rPr>
            </w:pPr>
            <w:r w:rsidRPr="00F77EE6">
              <w:rPr>
                <w:rFonts w:ascii="Times New Roman" w:hAnsi="Times New Roman"/>
                <w:b w:val="0"/>
                <w:sz w:val="20"/>
                <w:lang w:eastAsia="zh-CN"/>
              </w:rPr>
              <w:t>“Only PA configurations of 23+23dBm for UL MIMO and 26dBm for 1Tx are supported by specification for NR TDD bands for PC2 UE in Rel-15”</w:t>
            </w:r>
          </w:p>
          <w:p w:rsidR="00190F29" w:rsidRPr="00F77EE6" w:rsidRDefault="00190F29" w:rsidP="00190F29">
            <w:pPr>
              <w:pStyle w:val="Header"/>
              <w:tabs>
                <w:tab w:val="left" w:pos="720"/>
              </w:tabs>
              <w:ind w:leftChars="300" w:left="660"/>
              <w:rPr>
                <w:rFonts w:ascii="Times New Roman" w:hAnsi="Times New Roman"/>
                <w:b w:val="0"/>
                <w:sz w:val="20"/>
                <w:lang w:eastAsia="zh-CN"/>
              </w:rPr>
            </w:pPr>
          </w:p>
          <w:p w:rsidR="00F77EE6" w:rsidRPr="00F77EE6" w:rsidRDefault="00F77EE6" w:rsidP="00190F29">
            <w:pPr>
              <w:pStyle w:val="Header"/>
              <w:tabs>
                <w:tab w:val="left" w:pos="720"/>
              </w:tabs>
              <w:rPr>
                <w:rFonts w:ascii="Times New Roman" w:hAnsi="Times New Roman"/>
                <w:b w:val="0"/>
                <w:sz w:val="20"/>
                <w:lang w:eastAsia="zh-CN"/>
              </w:rPr>
            </w:pPr>
            <w:r w:rsidRPr="00F77EE6">
              <w:rPr>
                <w:rFonts w:ascii="Times New Roman" w:hAnsi="Times New Roman"/>
                <w:b w:val="0"/>
                <w:sz w:val="20"/>
                <w:lang w:eastAsia="zh-CN"/>
              </w:rPr>
              <w:tab/>
              <w:t>“Clarify in the Rel-15 specification on ambiguous requirements for UE supporting UL MIMO</w:t>
            </w:r>
          </w:p>
          <w:p w:rsidR="00F77EE6" w:rsidRPr="00F77EE6" w:rsidRDefault="00F77EE6" w:rsidP="00190F29">
            <w:pPr>
              <w:pStyle w:val="Header"/>
              <w:widowControl/>
              <w:numPr>
                <w:ilvl w:val="1"/>
                <w:numId w:val="40"/>
              </w:numPr>
              <w:tabs>
                <w:tab w:val="left" w:pos="720"/>
                <w:tab w:val="center" w:pos="4153"/>
                <w:tab w:val="right" w:pos="8306"/>
              </w:tabs>
              <w:overflowPunct/>
              <w:autoSpaceDE/>
              <w:autoSpaceDN/>
              <w:adjustRightInd/>
              <w:textAlignment w:val="auto"/>
              <w:rPr>
                <w:rFonts w:ascii="Times New Roman" w:hAnsi="Times New Roman"/>
                <w:b w:val="0"/>
                <w:sz w:val="20"/>
                <w:lang w:eastAsia="zh-CN"/>
              </w:rPr>
            </w:pPr>
            <w:r w:rsidRPr="00F77EE6">
              <w:rPr>
                <w:rFonts w:ascii="Times New Roman" w:hAnsi="Times New Roman"/>
                <w:b w:val="0"/>
                <w:sz w:val="20"/>
                <w:lang w:eastAsia="zh-CN"/>
              </w:rPr>
              <w:t xml:space="preserve">Maximum output power </w:t>
            </w:r>
          </w:p>
          <w:p w:rsidR="00F77EE6" w:rsidRPr="00F77EE6" w:rsidRDefault="00F77EE6" w:rsidP="00190F29">
            <w:pPr>
              <w:pStyle w:val="Header"/>
              <w:widowControl/>
              <w:numPr>
                <w:ilvl w:val="2"/>
                <w:numId w:val="40"/>
              </w:numPr>
              <w:tabs>
                <w:tab w:val="left" w:pos="720"/>
                <w:tab w:val="center" w:pos="4153"/>
                <w:tab w:val="right" w:pos="8306"/>
              </w:tabs>
              <w:overflowPunct/>
              <w:autoSpaceDE/>
              <w:autoSpaceDN/>
              <w:adjustRightInd/>
              <w:textAlignment w:val="auto"/>
              <w:rPr>
                <w:rFonts w:ascii="Times New Roman" w:hAnsi="Times New Roman"/>
                <w:b w:val="0"/>
                <w:sz w:val="20"/>
                <w:lang w:eastAsia="zh-CN"/>
              </w:rPr>
            </w:pPr>
            <w:r w:rsidRPr="00F77EE6">
              <w:rPr>
                <w:rFonts w:ascii="Times New Roman" w:hAnsi="Times New Roman"/>
                <w:b w:val="0"/>
                <w:sz w:val="20"/>
                <w:lang w:eastAsia="zh-CN"/>
              </w:rPr>
              <w:t>Clarity in the spec that if PC2 UE is configured for transmission on single-antenna port, the requirements of the same power class in subclause 6.2.1 apply for the UE.</w:t>
            </w:r>
          </w:p>
          <w:p w:rsidR="00F77EE6" w:rsidRPr="00F77EE6" w:rsidRDefault="00F77EE6" w:rsidP="00190F29">
            <w:pPr>
              <w:pStyle w:val="Header"/>
              <w:widowControl/>
              <w:numPr>
                <w:ilvl w:val="2"/>
                <w:numId w:val="40"/>
              </w:numPr>
              <w:tabs>
                <w:tab w:val="left" w:pos="720"/>
                <w:tab w:val="center" w:pos="4153"/>
                <w:tab w:val="right" w:pos="8306"/>
              </w:tabs>
              <w:overflowPunct/>
              <w:autoSpaceDE/>
              <w:autoSpaceDN/>
              <w:adjustRightInd/>
              <w:textAlignment w:val="auto"/>
              <w:rPr>
                <w:rFonts w:cs="Arial"/>
                <w:i/>
                <w:lang w:eastAsia="zh-CN"/>
              </w:rPr>
            </w:pPr>
            <w:r w:rsidRPr="00F77EE6">
              <w:rPr>
                <w:rFonts w:ascii="Times New Roman" w:hAnsi="Times New Roman"/>
                <w:b w:val="0"/>
                <w:sz w:val="20"/>
                <w:lang w:eastAsia="zh-CN"/>
              </w:rPr>
              <w:t>How to configure for transmission on single-antenna port is up to UE implementation”</w:t>
            </w:r>
          </w:p>
        </w:tc>
      </w:tr>
    </w:tbl>
    <w:p w:rsidR="00F77EE6" w:rsidRDefault="00F77EE6" w:rsidP="000635C1">
      <w:pPr>
        <w:rPr>
          <w:rFonts w:ascii="Times New Roman" w:hAnsi="Times New Roman" w:cs="Times New Roman"/>
          <w:sz w:val="20"/>
          <w:szCs w:val="20"/>
        </w:rPr>
      </w:pPr>
    </w:p>
    <w:p w:rsidR="00F77EE6" w:rsidRDefault="00F1504C" w:rsidP="000635C1">
      <w:pPr>
        <w:rPr>
          <w:rFonts w:ascii="Times New Roman" w:hAnsi="Times New Roman" w:cs="Times New Roman"/>
          <w:sz w:val="20"/>
          <w:szCs w:val="20"/>
        </w:rPr>
      </w:pPr>
      <w:r>
        <w:rPr>
          <w:rFonts w:ascii="Times New Roman" w:hAnsi="Times New Roman" w:cs="Times New Roman"/>
          <w:sz w:val="20"/>
          <w:szCs w:val="20"/>
        </w:rPr>
        <w:t>Given the RAN1 and RAN4 progress and the urgency to conclude this WID topic, we discuss these full power UL transmission issues in this contribution:</w:t>
      </w:r>
    </w:p>
    <w:p w:rsidR="00F1504C" w:rsidRDefault="00F1504C" w:rsidP="00F1504C">
      <w:pPr>
        <w:pStyle w:val="ListParagraph"/>
        <w:numPr>
          <w:ilvl w:val="0"/>
          <w:numId w:val="41"/>
        </w:numPr>
        <w:rPr>
          <w:rFonts w:ascii="Times New Roman" w:hAnsi="Times New Roman" w:cs="Times New Roman"/>
          <w:sz w:val="20"/>
          <w:szCs w:val="20"/>
        </w:rPr>
      </w:pPr>
      <w:r>
        <w:rPr>
          <w:rFonts w:ascii="Times New Roman" w:hAnsi="Times New Roman" w:cs="Times New Roman"/>
          <w:sz w:val="20"/>
          <w:szCs w:val="20"/>
        </w:rPr>
        <w:t>Full power UL capability for the 3 UE capabilities;</w:t>
      </w:r>
    </w:p>
    <w:p w:rsidR="00F1504C" w:rsidRDefault="00F1504C" w:rsidP="00F1504C">
      <w:pPr>
        <w:pStyle w:val="ListParagraph"/>
        <w:numPr>
          <w:ilvl w:val="0"/>
          <w:numId w:val="41"/>
        </w:numPr>
        <w:rPr>
          <w:rFonts w:ascii="Times New Roman" w:hAnsi="Times New Roman" w:cs="Times New Roman"/>
          <w:sz w:val="20"/>
          <w:szCs w:val="20"/>
        </w:rPr>
      </w:pPr>
      <w:r>
        <w:rPr>
          <w:rFonts w:ascii="Times New Roman" w:hAnsi="Times New Roman" w:cs="Times New Roman"/>
          <w:sz w:val="20"/>
          <w:szCs w:val="20"/>
        </w:rPr>
        <w:lastRenderedPageBreak/>
        <w:t>Full power Tx solutions for UE capability 2;</w:t>
      </w:r>
    </w:p>
    <w:p w:rsidR="00F1504C" w:rsidRPr="00F1504C" w:rsidRDefault="00F1504C" w:rsidP="00F1504C">
      <w:pPr>
        <w:pStyle w:val="ListParagraph"/>
        <w:numPr>
          <w:ilvl w:val="0"/>
          <w:numId w:val="41"/>
        </w:numPr>
        <w:rPr>
          <w:rFonts w:ascii="Times New Roman" w:hAnsi="Times New Roman" w:cs="Times New Roman"/>
          <w:sz w:val="20"/>
          <w:szCs w:val="20"/>
        </w:rPr>
      </w:pPr>
      <w:r>
        <w:rPr>
          <w:rFonts w:ascii="Times New Roman" w:hAnsi="Times New Roman" w:cs="Times New Roman"/>
          <w:sz w:val="20"/>
          <w:szCs w:val="20"/>
        </w:rPr>
        <w:t xml:space="preserve">UE PC2 relevancy for full power UL transmission. </w:t>
      </w:r>
    </w:p>
    <w:p w:rsidR="00EA017E" w:rsidRDefault="00962638" w:rsidP="00EA017E">
      <w:pPr>
        <w:jc w:val="both"/>
        <w:rPr>
          <w:rFonts w:ascii="Times New Roman" w:hAnsi="Times New Roman" w:cs="Times New Roman"/>
          <w:kern w:val="2"/>
          <w:sz w:val="20"/>
          <w:szCs w:val="20"/>
        </w:rPr>
      </w:pPr>
      <w:r>
        <w:rPr>
          <w:rFonts w:ascii="Times New Roman" w:hAnsi="Times New Roman" w:cs="Times New Roman"/>
          <w:kern w:val="2"/>
          <w:sz w:val="20"/>
          <w:szCs w:val="20"/>
        </w:rPr>
        <w:t>Our preference</w:t>
      </w:r>
      <w:r w:rsidR="00C46150">
        <w:rPr>
          <w:rFonts w:ascii="Times New Roman" w:hAnsi="Times New Roman" w:cs="Times New Roman"/>
          <w:kern w:val="2"/>
          <w:sz w:val="20"/>
          <w:szCs w:val="20"/>
        </w:rPr>
        <w:t>s</w:t>
      </w:r>
      <w:r>
        <w:rPr>
          <w:rFonts w:ascii="Times New Roman" w:hAnsi="Times New Roman" w:cs="Times New Roman"/>
          <w:kern w:val="2"/>
          <w:sz w:val="20"/>
          <w:szCs w:val="20"/>
        </w:rPr>
        <w:t xml:space="preserve"> </w:t>
      </w:r>
      <w:r w:rsidR="00E42B0D">
        <w:rPr>
          <w:rFonts w:ascii="Times New Roman" w:hAnsi="Times New Roman" w:cs="Times New Roman"/>
          <w:kern w:val="2"/>
          <w:sz w:val="20"/>
          <w:szCs w:val="20"/>
        </w:rPr>
        <w:t>are</w:t>
      </w:r>
      <w:r>
        <w:rPr>
          <w:rFonts w:ascii="Times New Roman" w:hAnsi="Times New Roman" w:cs="Times New Roman"/>
          <w:kern w:val="2"/>
          <w:sz w:val="20"/>
          <w:szCs w:val="20"/>
        </w:rPr>
        <w:t xml:space="preserve"> also provided</w:t>
      </w:r>
      <w:r w:rsidR="00F1504C">
        <w:rPr>
          <w:rFonts w:ascii="Times New Roman" w:hAnsi="Times New Roman" w:cs="Times New Roman"/>
          <w:kern w:val="2"/>
          <w:sz w:val="20"/>
          <w:szCs w:val="20"/>
        </w:rPr>
        <w:t xml:space="preserve"> with proposals.</w:t>
      </w:r>
    </w:p>
    <w:p w:rsidR="00577EEA" w:rsidRDefault="00577EEA" w:rsidP="00EA017E">
      <w:pPr>
        <w:jc w:val="both"/>
        <w:rPr>
          <w:rFonts w:ascii="Times New Roman" w:hAnsi="Times New Roman" w:cs="Times New Roman"/>
          <w:kern w:val="2"/>
          <w:sz w:val="20"/>
          <w:szCs w:val="20"/>
        </w:rPr>
      </w:pPr>
    </w:p>
    <w:p w:rsidR="00EA017E" w:rsidRDefault="004C1CBE" w:rsidP="00EA017E">
      <w:pPr>
        <w:pStyle w:val="Heading1"/>
      </w:pPr>
      <w:r>
        <w:t>2</w:t>
      </w:r>
      <w:r w:rsidR="00EA017E" w:rsidRPr="00791982">
        <w:tab/>
      </w:r>
      <w:r w:rsidR="00577EEA">
        <w:t>Full power transmission for uplink transmission</w:t>
      </w:r>
    </w:p>
    <w:p w:rsidR="00577EEA" w:rsidRDefault="002D32CC" w:rsidP="00577EEA">
      <w:pPr>
        <w:rPr>
          <w:rFonts w:ascii="Times New Roman" w:hAnsi="Times New Roman" w:cs="Times New Roman"/>
          <w:sz w:val="20"/>
          <w:szCs w:val="20"/>
        </w:rPr>
      </w:pPr>
      <w:r>
        <w:rPr>
          <w:rFonts w:ascii="Times New Roman" w:hAnsi="Times New Roman" w:cs="Times New Roman"/>
          <w:sz w:val="20"/>
          <w:szCs w:val="20"/>
        </w:rPr>
        <w:t>The scope of the WID [</w:t>
      </w:r>
      <w:r w:rsidR="00EB1DD0">
        <w:rPr>
          <w:rFonts w:ascii="Times New Roman" w:hAnsi="Times New Roman" w:cs="Times New Roman"/>
          <w:sz w:val="20"/>
          <w:szCs w:val="20"/>
        </w:rPr>
        <w:t>4</w:t>
      </w:r>
      <w:r>
        <w:rPr>
          <w:rFonts w:ascii="Times New Roman" w:hAnsi="Times New Roman" w:cs="Times New Roman"/>
          <w:sz w:val="20"/>
          <w:szCs w:val="20"/>
        </w:rPr>
        <w:t>] on full power transmission for uplink transmission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2CC" w:rsidRPr="0046285A" w:rsidTr="00A57414">
        <w:tc>
          <w:tcPr>
            <w:tcW w:w="9629" w:type="dxa"/>
            <w:shd w:val="clear" w:color="auto" w:fill="auto"/>
          </w:tcPr>
          <w:p w:rsidR="002D32CC" w:rsidRPr="000575C9" w:rsidRDefault="000575C9" w:rsidP="000575C9">
            <w:pPr>
              <w:numPr>
                <w:ilvl w:val="1"/>
                <w:numId w:val="27"/>
              </w:num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eastAsia="ko-KR"/>
              </w:rPr>
            </w:pPr>
            <w:r w:rsidRPr="000575C9">
              <w:rPr>
                <w:rFonts w:ascii="Times New Roman" w:eastAsia="Malgun Gothic" w:hAnsi="Times New Roman" w:cs="Times New Roman"/>
                <w:sz w:val="20"/>
                <w:szCs w:val="20"/>
                <w:lang w:eastAsia="ko-KR"/>
              </w:rPr>
              <w:t>Specify enhancement to allow full power transmission in case of uplink transmission with multiple power amplifiers (assume no change on UE power class)</w:t>
            </w:r>
          </w:p>
        </w:tc>
      </w:tr>
    </w:tbl>
    <w:p w:rsidR="003673B3" w:rsidRDefault="003673B3" w:rsidP="002D32CC">
      <w:pPr>
        <w:rPr>
          <w:rFonts w:ascii="Times New Roman" w:hAnsi="Times New Roman" w:cs="Times New Roman"/>
          <w:sz w:val="20"/>
          <w:szCs w:val="20"/>
        </w:rPr>
      </w:pPr>
    </w:p>
    <w:p w:rsidR="00EB1DD0" w:rsidRDefault="00EB1DD0" w:rsidP="00EB1DD0">
      <w:pPr>
        <w:pStyle w:val="Heading2"/>
      </w:pPr>
      <w:r>
        <w:t>2.1</w:t>
      </w:r>
      <w:r>
        <w:tab/>
        <w:t>Full power UL capability</w:t>
      </w:r>
    </w:p>
    <w:p w:rsidR="00EB1DD0" w:rsidRDefault="00EB1DD0" w:rsidP="002D32CC">
      <w:pPr>
        <w:rPr>
          <w:rFonts w:ascii="Times New Roman" w:hAnsi="Times New Roman" w:cs="Times New Roman"/>
          <w:sz w:val="20"/>
          <w:szCs w:val="20"/>
        </w:rPr>
      </w:pPr>
      <w:r>
        <w:rPr>
          <w:rFonts w:ascii="Times New Roman" w:hAnsi="Times New Roman" w:cs="Times New Roman"/>
          <w:sz w:val="20"/>
          <w:szCs w:val="20"/>
        </w:rPr>
        <w:t>There are three UE capabilities for power class 3:</w:t>
      </w:r>
    </w:p>
    <w:p w:rsidR="00CB53DA" w:rsidRPr="000635C1" w:rsidRDefault="00CB53DA" w:rsidP="00CB53DA">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 xml:space="preserve">UE capability 1: for the UE to support full Tx power in UL transmission, full rated PAs on each Tx chain is supported with a new UE capability </w:t>
      </w:r>
    </w:p>
    <w:p w:rsidR="00CB53DA" w:rsidRPr="000635C1" w:rsidRDefault="00CB53DA" w:rsidP="00CB53DA">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 xml:space="preserve">UE capability 2: for the UE to support full Tx power in UL transmission, no Tx chain is assumed to deliver full power with the new UE capability </w:t>
      </w:r>
    </w:p>
    <w:p w:rsidR="00CB53DA" w:rsidRPr="000635C1" w:rsidRDefault="00CB53DA" w:rsidP="00CB53DA">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UE capability 3: for the UE to support full Tx power in UL transmission, subset of Tx chains with full rated PAs is supported with a new UE capability</w:t>
      </w:r>
    </w:p>
    <w:p w:rsidR="00CB53DA" w:rsidRDefault="00CB53DA" w:rsidP="00CB53DA">
      <w:pPr>
        <w:jc w:val="both"/>
        <w:rPr>
          <w:rFonts w:ascii="Times New Roman" w:hAnsi="Times New Roman" w:cs="Times New Roman"/>
          <w:sz w:val="20"/>
          <w:szCs w:val="20"/>
        </w:rPr>
      </w:pPr>
    </w:p>
    <w:p w:rsidR="00CB53DA" w:rsidRDefault="00CB53DA" w:rsidP="00CB53DA">
      <w:pPr>
        <w:jc w:val="both"/>
        <w:rPr>
          <w:rFonts w:ascii="Times New Roman" w:hAnsi="Times New Roman" w:cs="Times New Roman"/>
          <w:sz w:val="20"/>
          <w:szCs w:val="20"/>
        </w:rPr>
      </w:pPr>
      <w:r>
        <w:rPr>
          <w:rFonts w:ascii="Times New Roman" w:hAnsi="Times New Roman" w:cs="Times New Roman"/>
          <w:sz w:val="20"/>
          <w:szCs w:val="20"/>
        </w:rPr>
        <w:t>For the UE capability 1, there is no issue for UE to reach full power transmission, even when single Tx chain is applied. The possible solutions for full power Tx shall be applied to UE capability 2 and UE capability 3.</w:t>
      </w:r>
    </w:p>
    <w:p w:rsidR="00CB53DA" w:rsidRPr="00077424" w:rsidRDefault="00CB53DA" w:rsidP="00CB53DA">
      <w:pPr>
        <w:jc w:val="both"/>
        <w:rPr>
          <w:rFonts w:ascii="Times New Roman" w:hAnsi="Times New Roman" w:cs="Times New Roman"/>
          <w:b/>
          <w:sz w:val="20"/>
          <w:szCs w:val="20"/>
        </w:rPr>
      </w:pPr>
      <w:r w:rsidRPr="00077424">
        <w:rPr>
          <w:rFonts w:ascii="Times New Roman" w:hAnsi="Times New Roman" w:cs="Times New Roman"/>
          <w:b/>
          <w:sz w:val="20"/>
          <w:szCs w:val="20"/>
        </w:rPr>
        <w:t>Observation 1: No full power Tx solution is needed for UE capability 1.</w:t>
      </w:r>
    </w:p>
    <w:p w:rsidR="00B33AE3" w:rsidRDefault="00B33AE3" w:rsidP="00CB53DA">
      <w:pPr>
        <w:rPr>
          <w:rFonts w:ascii="Times New Roman" w:hAnsi="Times New Roman" w:cs="Times New Roman"/>
          <w:sz w:val="20"/>
          <w:szCs w:val="20"/>
        </w:rPr>
      </w:pPr>
      <w:r>
        <w:rPr>
          <w:rFonts w:ascii="Times New Roman" w:hAnsi="Times New Roman" w:cs="Times New Roman"/>
          <w:sz w:val="20"/>
          <w:szCs w:val="20"/>
        </w:rPr>
        <w:t>There are 3 possibilities for a 2Tx UE with its maximum PA power implementation:</w:t>
      </w:r>
    </w:p>
    <w:p w:rsidR="00B33AE3" w:rsidRDefault="00B33AE3" w:rsidP="00B33AE3">
      <w:pPr>
        <w:ind w:left="360"/>
        <w:rPr>
          <w:rFonts w:ascii="Times New Roman" w:hAnsi="Times New Roman" w:cs="Times New Roman"/>
          <w:sz w:val="20"/>
          <w:szCs w:val="20"/>
        </w:rPr>
      </w:pPr>
      <w:r>
        <w:rPr>
          <w:rFonts w:ascii="Times New Roman" w:hAnsi="Times New Roman" w:cs="Times New Roman"/>
          <w:sz w:val="20"/>
          <w:szCs w:val="20"/>
        </w:rPr>
        <w:t xml:space="preserve">Alt1: </w:t>
      </w:r>
      <w:r w:rsidRPr="00B33AE3">
        <w:rPr>
          <w:rFonts w:ascii="Times New Roman" w:hAnsi="Times New Roman" w:cs="Times New Roman"/>
          <w:sz w:val="20"/>
          <w:szCs w:val="20"/>
        </w:rPr>
        <w:t>23dBm + 23dBm</w:t>
      </w:r>
    </w:p>
    <w:p w:rsidR="00B33AE3" w:rsidRDefault="00B33AE3" w:rsidP="00B33AE3">
      <w:pPr>
        <w:ind w:left="360"/>
        <w:rPr>
          <w:rFonts w:ascii="Times New Roman" w:hAnsi="Times New Roman" w:cs="Times New Roman"/>
          <w:sz w:val="20"/>
          <w:szCs w:val="20"/>
        </w:rPr>
      </w:pPr>
      <w:r>
        <w:rPr>
          <w:rFonts w:ascii="Times New Roman" w:hAnsi="Times New Roman" w:cs="Times New Roman"/>
          <w:sz w:val="20"/>
          <w:szCs w:val="20"/>
        </w:rPr>
        <w:t xml:space="preserve">Alt 2: </w:t>
      </w:r>
      <w:r w:rsidR="00CB53DA" w:rsidRPr="00B33AE3">
        <w:rPr>
          <w:rFonts w:ascii="Times New Roman" w:hAnsi="Times New Roman" w:cs="Times New Roman"/>
          <w:sz w:val="20"/>
          <w:szCs w:val="20"/>
        </w:rPr>
        <w:t>20dBm + 20dBm</w:t>
      </w:r>
    </w:p>
    <w:p w:rsidR="00CB53DA" w:rsidRPr="00B33AE3" w:rsidRDefault="00B33AE3" w:rsidP="00B33AE3">
      <w:pPr>
        <w:ind w:left="360"/>
        <w:rPr>
          <w:rFonts w:ascii="Times New Roman" w:hAnsi="Times New Roman" w:cs="Times New Roman"/>
          <w:sz w:val="20"/>
          <w:szCs w:val="20"/>
        </w:rPr>
      </w:pPr>
      <w:r>
        <w:rPr>
          <w:rFonts w:ascii="Times New Roman" w:hAnsi="Times New Roman" w:cs="Times New Roman"/>
          <w:sz w:val="20"/>
          <w:szCs w:val="20"/>
        </w:rPr>
        <w:t xml:space="preserve">Alt 3: </w:t>
      </w:r>
      <w:r w:rsidR="00CB53DA" w:rsidRPr="00B33AE3">
        <w:rPr>
          <w:rFonts w:ascii="Times New Roman" w:hAnsi="Times New Roman" w:cs="Times New Roman"/>
          <w:sz w:val="20"/>
          <w:szCs w:val="20"/>
        </w:rPr>
        <w:t>23dBm + 20dBm</w:t>
      </w:r>
    </w:p>
    <w:p w:rsidR="00B33AE3" w:rsidRDefault="00B33AE3" w:rsidP="00B33AE3">
      <w:pPr>
        <w:jc w:val="both"/>
        <w:rPr>
          <w:rFonts w:ascii="Times New Roman" w:hAnsi="Times New Roman" w:cs="Times New Roman"/>
          <w:sz w:val="20"/>
          <w:szCs w:val="20"/>
        </w:rPr>
      </w:pPr>
      <w:r>
        <w:rPr>
          <w:rFonts w:ascii="Times New Roman" w:hAnsi="Times New Roman" w:cs="Times New Roman"/>
          <w:sz w:val="20"/>
          <w:szCs w:val="20"/>
        </w:rPr>
        <w:t>Alt 1, Alt 2, and Alt 3 are related to UE capability 1, 2, and 3, respectively, for 2Tx UE. Alt 1 is a PC2 implementation, where no full power Tx solution is needed. Alt 3 can achieve full power transmission at one of its Tx PA chain. The question is whether we shall have a full power solution for Alt 2, or UE capability 2.</w:t>
      </w:r>
    </w:p>
    <w:p w:rsidR="00CB53DA" w:rsidRDefault="00CB53DA" w:rsidP="00E86E48">
      <w:pPr>
        <w:jc w:val="both"/>
        <w:rPr>
          <w:rFonts w:ascii="Times New Roman" w:hAnsi="Times New Roman" w:cs="Times New Roman"/>
          <w:sz w:val="20"/>
          <w:szCs w:val="20"/>
        </w:rPr>
      </w:pPr>
      <w:r>
        <w:rPr>
          <w:rFonts w:ascii="Times New Roman" w:hAnsi="Times New Roman" w:cs="Times New Roman"/>
          <w:sz w:val="20"/>
          <w:szCs w:val="20"/>
        </w:rPr>
        <w:t>For 4Tx, there are more possibilities of UE PA implementation. Some of possible implements</w:t>
      </w:r>
      <w:r w:rsidR="00B33AE3">
        <w:rPr>
          <w:rFonts w:ascii="Times New Roman" w:hAnsi="Times New Roman" w:cs="Times New Roman"/>
          <w:sz w:val="20"/>
          <w:szCs w:val="20"/>
        </w:rPr>
        <w:t>, as non-exhaustive examples,</w:t>
      </w:r>
      <w:r>
        <w:rPr>
          <w:rFonts w:ascii="Times New Roman" w:hAnsi="Times New Roman" w:cs="Times New Roman"/>
          <w:sz w:val="20"/>
          <w:szCs w:val="20"/>
        </w:rPr>
        <w:t xml:space="preserve"> could be:</w:t>
      </w:r>
    </w:p>
    <w:p w:rsidR="00CB53DA" w:rsidRDefault="00CB53DA" w:rsidP="008E44C4">
      <w:pPr>
        <w:ind w:left="568"/>
        <w:rPr>
          <w:rFonts w:ascii="Times New Roman" w:hAnsi="Times New Roman" w:cs="Times New Roman"/>
          <w:sz w:val="20"/>
          <w:szCs w:val="20"/>
        </w:rPr>
      </w:pPr>
      <w:r>
        <w:rPr>
          <w:rFonts w:ascii="Times New Roman" w:hAnsi="Times New Roman" w:cs="Times New Roman"/>
          <w:sz w:val="20"/>
          <w:szCs w:val="20"/>
        </w:rPr>
        <w:t>Alt 1:</w:t>
      </w:r>
      <w:r>
        <w:rPr>
          <w:rFonts w:ascii="Times New Roman" w:hAnsi="Times New Roman" w:cs="Times New Roman"/>
          <w:sz w:val="20"/>
          <w:szCs w:val="20"/>
        </w:rPr>
        <w:tab/>
        <w:t>17dBm + 17dBm + 17dBm + 17dBm</w:t>
      </w:r>
    </w:p>
    <w:p w:rsidR="00CB53DA" w:rsidRDefault="00CB53DA" w:rsidP="008E44C4">
      <w:pPr>
        <w:ind w:left="568"/>
        <w:rPr>
          <w:rFonts w:ascii="Times New Roman" w:hAnsi="Times New Roman" w:cs="Times New Roman"/>
          <w:sz w:val="20"/>
          <w:szCs w:val="20"/>
        </w:rPr>
      </w:pPr>
      <w:r>
        <w:rPr>
          <w:rFonts w:ascii="Times New Roman" w:hAnsi="Times New Roman" w:cs="Times New Roman"/>
          <w:sz w:val="20"/>
          <w:szCs w:val="20"/>
        </w:rPr>
        <w:t>Alt 2:</w:t>
      </w:r>
      <w:r>
        <w:rPr>
          <w:rFonts w:ascii="Times New Roman" w:hAnsi="Times New Roman" w:cs="Times New Roman"/>
          <w:sz w:val="20"/>
          <w:szCs w:val="20"/>
        </w:rPr>
        <w:tab/>
        <w:t>20dBm + 20dBm + 17dBm + 17dBm</w:t>
      </w:r>
    </w:p>
    <w:p w:rsidR="00CB53DA" w:rsidRDefault="00CB53DA" w:rsidP="008E44C4">
      <w:pPr>
        <w:ind w:left="568"/>
        <w:rPr>
          <w:rFonts w:ascii="Times New Roman" w:hAnsi="Times New Roman" w:cs="Times New Roman"/>
          <w:sz w:val="20"/>
          <w:szCs w:val="20"/>
        </w:rPr>
      </w:pPr>
      <w:r>
        <w:rPr>
          <w:rFonts w:ascii="Times New Roman" w:hAnsi="Times New Roman" w:cs="Times New Roman"/>
          <w:sz w:val="20"/>
          <w:szCs w:val="20"/>
        </w:rPr>
        <w:t>Alt 3:</w:t>
      </w:r>
      <w:r>
        <w:rPr>
          <w:rFonts w:ascii="Times New Roman" w:hAnsi="Times New Roman" w:cs="Times New Roman"/>
          <w:sz w:val="20"/>
          <w:szCs w:val="20"/>
        </w:rPr>
        <w:tab/>
        <w:t>23dBm + 20dBm + 17dBm + 17dBm</w:t>
      </w:r>
    </w:p>
    <w:p w:rsidR="00CB53DA" w:rsidRDefault="00CB53DA" w:rsidP="008E44C4">
      <w:pPr>
        <w:ind w:left="568"/>
        <w:rPr>
          <w:rFonts w:ascii="Times New Roman" w:hAnsi="Times New Roman" w:cs="Times New Roman"/>
          <w:sz w:val="20"/>
          <w:szCs w:val="20"/>
        </w:rPr>
      </w:pPr>
      <w:r>
        <w:rPr>
          <w:rFonts w:ascii="Times New Roman" w:hAnsi="Times New Roman" w:cs="Times New Roman"/>
          <w:sz w:val="20"/>
          <w:szCs w:val="20"/>
        </w:rPr>
        <w:t>Alt 4:</w:t>
      </w:r>
      <w:r>
        <w:rPr>
          <w:rFonts w:ascii="Times New Roman" w:hAnsi="Times New Roman" w:cs="Times New Roman"/>
          <w:sz w:val="20"/>
          <w:szCs w:val="20"/>
        </w:rPr>
        <w:tab/>
        <w:t>20dBm + 20dBm + 20dBm + 20dBm</w:t>
      </w:r>
    </w:p>
    <w:p w:rsidR="002748BB" w:rsidRDefault="00E86E48" w:rsidP="00CB53DA">
      <w:pPr>
        <w:jc w:val="both"/>
        <w:rPr>
          <w:rFonts w:ascii="Times New Roman" w:hAnsi="Times New Roman" w:cs="Times New Roman"/>
          <w:sz w:val="20"/>
          <w:szCs w:val="20"/>
        </w:rPr>
      </w:pPr>
      <w:r>
        <w:rPr>
          <w:rFonts w:ascii="Times New Roman" w:hAnsi="Times New Roman" w:cs="Times New Roman"/>
          <w:sz w:val="20"/>
          <w:szCs w:val="20"/>
        </w:rPr>
        <w:t xml:space="preserve">Alt 1 belongs to UE capability 2. Alt 3 should be UE capability 3. Alt 2 and Alt 4 belong to both UE capability 2 and UE capability 3, where no Tx chain is capable to deliver full 23dBm power but a subset of Tx chains can deliver full 23dBm. </w:t>
      </w:r>
    </w:p>
    <w:p w:rsidR="002748BB" w:rsidRPr="002748BB" w:rsidRDefault="002748BB" w:rsidP="00CB53DA">
      <w:pPr>
        <w:jc w:val="both"/>
        <w:rPr>
          <w:rFonts w:ascii="Times New Roman" w:hAnsi="Times New Roman" w:cs="Times New Roman"/>
          <w:b/>
          <w:sz w:val="20"/>
          <w:szCs w:val="20"/>
        </w:rPr>
      </w:pPr>
      <w:r w:rsidRPr="002748BB">
        <w:rPr>
          <w:rFonts w:ascii="Times New Roman" w:hAnsi="Times New Roman" w:cs="Times New Roman"/>
          <w:b/>
          <w:sz w:val="20"/>
          <w:szCs w:val="20"/>
        </w:rPr>
        <w:t xml:space="preserve">Observation 2: There is overlap between UE capability 2 and UE capability 3. </w:t>
      </w:r>
    </w:p>
    <w:p w:rsidR="00E86E48" w:rsidRDefault="00E86E48" w:rsidP="00CB53DA">
      <w:pPr>
        <w:jc w:val="both"/>
        <w:rPr>
          <w:rFonts w:ascii="Times New Roman" w:hAnsi="Times New Roman" w:cs="Times New Roman"/>
          <w:sz w:val="20"/>
          <w:szCs w:val="20"/>
        </w:rPr>
      </w:pPr>
      <w:r>
        <w:rPr>
          <w:rFonts w:ascii="Times New Roman" w:hAnsi="Times New Roman" w:cs="Times New Roman"/>
          <w:sz w:val="20"/>
          <w:szCs w:val="20"/>
        </w:rPr>
        <w:t>The question remains whether the Alt 2 and Alt 4 need a solution to reach full power transmission.</w:t>
      </w:r>
    </w:p>
    <w:p w:rsidR="000357A6" w:rsidRDefault="000357A6" w:rsidP="00CB53DA">
      <w:pPr>
        <w:jc w:val="both"/>
        <w:rPr>
          <w:rFonts w:ascii="Times New Roman" w:hAnsi="Times New Roman" w:cs="Times New Roman"/>
          <w:sz w:val="20"/>
          <w:szCs w:val="20"/>
        </w:rPr>
      </w:pPr>
    </w:p>
    <w:p w:rsidR="00E86E48" w:rsidRDefault="00E86E48" w:rsidP="00CB53DA">
      <w:pPr>
        <w:jc w:val="both"/>
        <w:rPr>
          <w:rFonts w:ascii="Times New Roman" w:hAnsi="Times New Roman" w:cs="Times New Roman"/>
          <w:sz w:val="20"/>
          <w:szCs w:val="20"/>
        </w:rPr>
      </w:pPr>
      <w:r>
        <w:rPr>
          <w:rFonts w:ascii="Times New Roman" w:hAnsi="Times New Roman" w:cs="Times New Roman"/>
          <w:sz w:val="20"/>
          <w:szCs w:val="20"/>
        </w:rPr>
        <w:lastRenderedPageBreak/>
        <w:t>RAN1 #96 meeting agreed to support full power transmission for UE capability 1 and UE capability 3. For UE capability 2, the full Tx power support was agreed as a working assumption. Given that the essence of this WID topic is to define the solution to support full Tx power, we shall confirm this working assumption.</w:t>
      </w:r>
    </w:p>
    <w:p w:rsidR="00E86E48" w:rsidRPr="00E86E48" w:rsidRDefault="00E86E48" w:rsidP="00CB53DA">
      <w:pPr>
        <w:jc w:val="both"/>
        <w:rPr>
          <w:rFonts w:ascii="Times New Roman" w:hAnsi="Times New Roman" w:cs="Times New Roman"/>
          <w:b/>
          <w:sz w:val="20"/>
          <w:szCs w:val="20"/>
        </w:rPr>
      </w:pPr>
      <w:r w:rsidRPr="00E86E48">
        <w:rPr>
          <w:rFonts w:ascii="Times New Roman" w:hAnsi="Times New Roman" w:cs="Times New Roman"/>
          <w:b/>
          <w:sz w:val="20"/>
          <w:szCs w:val="20"/>
        </w:rPr>
        <w:t>Proposal 1: Confirm the Working Assumption that for PC3, UE capability 2 can support full power transmission.</w:t>
      </w:r>
    </w:p>
    <w:p w:rsidR="002748BB" w:rsidRDefault="002748BB" w:rsidP="002D32CC">
      <w:pPr>
        <w:rPr>
          <w:rFonts w:ascii="Times New Roman" w:hAnsi="Times New Roman" w:cs="Times New Roman"/>
          <w:sz w:val="20"/>
          <w:szCs w:val="20"/>
        </w:rPr>
      </w:pPr>
    </w:p>
    <w:p w:rsidR="002748BB" w:rsidRDefault="002748BB" w:rsidP="002748BB">
      <w:pPr>
        <w:pStyle w:val="Heading2"/>
      </w:pPr>
      <w:r>
        <w:t>2.2</w:t>
      </w:r>
      <w:r>
        <w:tab/>
        <w:t>Solutions for UE capability 2</w:t>
      </w:r>
    </w:p>
    <w:p w:rsidR="002748BB" w:rsidRDefault="002748BB" w:rsidP="00A57414">
      <w:pPr>
        <w:jc w:val="both"/>
        <w:rPr>
          <w:rFonts w:ascii="Times New Roman" w:hAnsi="Times New Roman" w:cs="Times New Roman"/>
          <w:sz w:val="20"/>
          <w:szCs w:val="20"/>
        </w:rPr>
      </w:pPr>
      <w:r>
        <w:rPr>
          <w:rFonts w:ascii="Times New Roman" w:hAnsi="Times New Roman" w:cs="Times New Roman"/>
          <w:sz w:val="20"/>
          <w:szCs w:val="20"/>
        </w:rPr>
        <w:t>Based on the RAN1 #96 meeting agreement, there are two “UE capability signalling”, as</w:t>
      </w:r>
    </w:p>
    <w:p w:rsidR="002748BB" w:rsidRPr="00A57414" w:rsidRDefault="002748BB" w:rsidP="002748BB">
      <w:pPr>
        <w:spacing w:after="0" w:line="240" w:lineRule="auto"/>
        <w:ind w:firstLine="284"/>
        <w:rPr>
          <w:rFonts w:ascii="Times New Roman" w:hAnsi="Times New Roman" w:cs="Times New Roman"/>
          <w:i/>
          <w:sz w:val="20"/>
          <w:szCs w:val="20"/>
        </w:rPr>
      </w:pPr>
      <w:r w:rsidRPr="00A57414">
        <w:rPr>
          <w:rFonts w:ascii="Times New Roman" w:hAnsi="Times New Roman" w:cs="Times New Roman"/>
          <w:i/>
          <w:sz w:val="20"/>
          <w:szCs w:val="20"/>
        </w:rPr>
        <w:t>Alt1: UE capability signaling of supported one or group of TPMI precoder(s)</w:t>
      </w:r>
    </w:p>
    <w:p w:rsidR="002748BB" w:rsidRPr="00F77EE6" w:rsidRDefault="002748BB" w:rsidP="002748BB">
      <w:pPr>
        <w:spacing w:after="0" w:line="240" w:lineRule="auto"/>
        <w:ind w:firstLine="284"/>
        <w:rPr>
          <w:rFonts w:ascii="Times New Roman" w:hAnsi="Times New Roman" w:cs="Times New Roman"/>
          <w:sz w:val="20"/>
          <w:szCs w:val="20"/>
        </w:rPr>
      </w:pPr>
      <w:r w:rsidRPr="00A57414">
        <w:rPr>
          <w:rFonts w:ascii="Times New Roman" w:hAnsi="Times New Roman" w:cs="Times New Roman"/>
          <w:i/>
          <w:sz w:val="20"/>
          <w:szCs w:val="20"/>
        </w:rPr>
        <w:t>Alt3: UE capability signaling of power scaling schemes for full uplink power transmission</w:t>
      </w:r>
    </w:p>
    <w:p w:rsidR="002748BB" w:rsidRDefault="002748BB" w:rsidP="002D32CC">
      <w:pPr>
        <w:rPr>
          <w:rFonts w:ascii="Times New Roman" w:hAnsi="Times New Roman" w:cs="Times New Roman"/>
          <w:sz w:val="20"/>
          <w:szCs w:val="20"/>
        </w:rPr>
      </w:pPr>
    </w:p>
    <w:p w:rsidR="002748BB" w:rsidRDefault="002748BB" w:rsidP="002748BB">
      <w:pPr>
        <w:jc w:val="both"/>
        <w:rPr>
          <w:rFonts w:ascii="Times New Roman" w:hAnsi="Times New Roman" w:cs="Times New Roman"/>
          <w:sz w:val="20"/>
          <w:szCs w:val="20"/>
        </w:rPr>
      </w:pPr>
      <w:r>
        <w:rPr>
          <w:rFonts w:ascii="Times New Roman" w:hAnsi="Times New Roman" w:cs="Times New Roman"/>
          <w:sz w:val="20"/>
          <w:szCs w:val="20"/>
        </w:rPr>
        <w:t>These two types of so-called “UE capability signalling” are related with two possible solutions to reach full power transmission, at least for UE capability 2. These two solutions are related to the previous agreed options, such as Option 1 and Option 3</w:t>
      </w:r>
    </w:p>
    <w:p w:rsidR="002748BB" w:rsidRPr="00A57414" w:rsidRDefault="002748BB" w:rsidP="002748BB">
      <w:pPr>
        <w:ind w:left="284"/>
        <w:rPr>
          <w:rFonts w:ascii="Times New Roman" w:hAnsi="Times New Roman" w:cs="Times New Roman"/>
          <w:i/>
          <w:sz w:val="20"/>
          <w:szCs w:val="20"/>
        </w:rPr>
      </w:pPr>
      <w:r w:rsidRPr="00A57414">
        <w:rPr>
          <w:rFonts w:ascii="Times New Roman" w:hAnsi="Times New Roman" w:cs="Times New Roman"/>
          <w:i/>
          <w:sz w:val="20"/>
          <w:szCs w:val="20"/>
        </w:rPr>
        <w:t>Option 1: Refinement/adjustment of UL codebook is supported</w:t>
      </w:r>
    </w:p>
    <w:p w:rsidR="002748BB" w:rsidRPr="00A57414" w:rsidRDefault="002748BB" w:rsidP="002748BB">
      <w:pPr>
        <w:numPr>
          <w:ilvl w:val="1"/>
          <w:numId w:val="32"/>
        </w:numPr>
        <w:spacing w:after="0" w:line="240" w:lineRule="auto"/>
        <w:ind w:left="1084"/>
        <w:rPr>
          <w:rFonts w:ascii="Times New Roman" w:hAnsi="Times New Roman" w:cs="Times New Roman"/>
          <w:i/>
          <w:sz w:val="20"/>
          <w:szCs w:val="20"/>
        </w:rPr>
      </w:pPr>
      <w:r w:rsidRPr="00A57414">
        <w:rPr>
          <w:rFonts w:ascii="Times New Roman" w:hAnsi="Times New Roman" w:cs="Times New Roman"/>
          <w:i/>
          <w:sz w:val="20"/>
          <w:szCs w:val="20"/>
        </w:rPr>
        <w:t>1-1: Support a new codebookSubset for non-coherent and partial-coherent transmission capable UEs</w:t>
      </w:r>
    </w:p>
    <w:p w:rsidR="002748BB" w:rsidRPr="00A57414" w:rsidRDefault="002748BB" w:rsidP="002748BB">
      <w:pPr>
        <w:numPr>
          <w:ilvl w:val="1"/>
          <w:numId w:val="32"/>
        </w:numPr>
        <w:spacing w:after="0" w:line="240" w:lineRule="auto"/>
        <w:ind w:left="1084"/>
        <w:rPr>
          <w:rFonts w:ascii="Times New Roman" w:hAnsi="Times New Roman" w:cs="Times New Roman"/>
          <w:i/>
          <w:sz w:val="20"/>
          <w:szCs w:val="20"/>
        </w:rPr>
      </w:pPr>
      <w:r w:rsidRPr="00A57414">
        <w:rPr>
          <w:rFonts w:ascii="Times New Roman" w:hAnsi="Times New Roman" w:cs="Times New Roman"/>
          <w:i/>
          <w:sz w:val="20"/>
          <w:szCs w:val="20"/>
        </w:rPr>
        <w:t>1-2: Introduce additional scaling factor for uplink codebook</w:t>
      </w:r>
    </w:p>
    <w:p w:rsidR="002748BB" w:rsidRPr="00A57414" w:rsidRDefault="002748BB" w:rsidP="002748BB">
      <w:pPr>
        <w:ind w:left="284"/>
        <w:rPr>
          <w:rFonts w:ascii="Times New Roman" w:hAnsi="Times New Roman" w:cs="Times New Roman"/>
          <w:i/>
          <w:sz w:val="20"/>
          <w:szCs w:val="20"/>
        </w:rPr>
      </w:pPr>
      <w:r w:rsidRPr="00A57414">
        <w:rPr>
          <w:rFonts w:ascii="Times New Roman" w:hAnsi="Times New Roman" w:cs="Times New Roman"/>
          <w:i/>
          <w:sz w:val="20"/>
          <w:szCs w:val="20"/>
        </w:rPr>
        <w:t>Option 3: Power control mechanism to be modified to support UL full power transmission without precluding the use of full rated PA(s)</w:t>
      </w:r>
    </w:p>
    <w:p w:rsidR="002748BB" w:rsidRPr="00A57414" w:rsidRDefault="002748BB" w:rsidP="002748BB">
      <w:pPr>
        <w:numPr>
          <w:ilvl w:val="1"/>
          <w:numId w:val="32"/>
        </w:numPr>
        <w:spacing w:after="0" w:line="240" w:lineRule="auto"/>
        <w:ind w:left="1084"/>
        <w:rPr>
          <w:rFonts w:ascii="Times New Roman" w:hAnsi="Times New Roman" w:cs="Times New Roman"/>
          <w:i/>
          <w:sz w:val="20"/>
          <w:szCs w:val="20"/>
        </w:rPr>
      </w:pPr>
      <w:r w:rsidRPr="00A57414">
        <w:rPr>
          <w:rFonts w:ascii="Times New Roman" w:hAnsi="Times New Roman" w:cs="Times New Roman"/>
          <w:i/>
          <w:sz w:val="20"/>
          <w:szCs w:val="20"/>
        </w:rPr>
        <w:t>Note: Full rated PA refers to a PA having power not lower than that of the power class</w:t>
      </w:r>
    </w:p>
    <w:p w:rsidR="002748BB" w:rsidRDefault="002748BB" w:rsidP="002748BB">
      <w:pPr>
        <w:rPr>
          <w:rFonts w:ascii="Times New Roman" w:hAnsi="Times New Roman" w:cs="Times New Roman"/>
          <w:sz w:val="20"/>
          <w:szCs w:val="20"/>
        </w:rPr>
      </w:pPr>
    </w:p>
    <w:p w:rsidR="00A57414" w:rsidRPr="008C5EF3" w:rsidRDefault="00A57414" w:rsidP="00A57414">
      <w:pPr>
        <w:rPr>
          <w:rFonts w:ascii="Times New Roman" w:hAnsi="Times New Roman" w:cs="Times New Roman"/>
          <w:sz w:val="20"/>
          <w:szCs w:val="20"/>
        </w:rPr>
      </w:pPr>
      <w:r>
        <w:rPr>
          <w:rFonts w:ascii="Times New Roman" w:hAnsi="Times New Roman" w:cs="Times New Roman"/>
          <w:sz w:val="20"/>
          <w:szCs w:val="20"/>
        </w:rPr>
        <w:t>For example, 2Tx rank-1 codebook are shown here from TS 38.211.</w:t>
      </w:r>
    </w:p>
    <w:p w:rsidR="00A57414" w:rsidRDefault="00A57414" w:rsidP="00A57414">
      <w:pPr>
        <w:pStyle w:val="TH"/>
        <w:rPr>
          <w:rFonts w:eastAsia="Times New Roman" w:cs="Times New Roman"/>
          <w:sz w:val="20"/>
          <w:szCs w:val="20"/>
        </w:rPr>
      </w:pPr>
      <w:r>
        <w:t xml:space="preserve">Table 6.3.1.5-1: Precoding matrix </w:t>
      </w:r>
      <w:r>
        <w:rPr>
          <w:rFonts w:eastAsia="Times New Roman" w:cs="Times New Roman"/>
          <w:position w:val="-6"/>
          <w:sz w:val="20"/>
          <w:szCs w:val="20"/>
        </w:rPr>
        <w:object w:dxaOrig="252" w:dyaOrig="240">
          <v:shape id="_x0000_i1027" type="#_x0000_t75" style="width:12.65pt;height:12.1pt" o:ole="">
            <v:imagedata r:id="rId16" o:title=""/>
          </v:shape>
          <o:OLEObject Type="Embed" ProgID="Equation.3" ShapeID="_x0000_i1027" DrawAspect="Content" ObjectID="_1615392741" r:id="rId17"/>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56"/>
        <w:gridCol w:w="851"/>
        <w:gridCol w:w="1140"/>
      </w:tblGrid>
      <w:tr w:rsidR="00A57414" w:rsidTr="00A57414">
        <w:trPr>
          <w:jc w:val="center"/>
        </w:trPr>
        <w:tc>
          <w:tcPr>
            <w:tcW w:w="1229"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H"/>
              <w:rPr>
                <w:rFonts w:eastAsia="Batang"/>
              </w:rPr>
            </w:pPr>
            <w:r>
              <w:rPr>
                <w:rFonts w:eastAsia="Batang"/>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H"/>
              <w:rPr>
                <w:rFonts w:eastAsia="Batang"/>
              </w:rPr>
            </w:pPr>
            <w:r>
              <w:rPr>
                <w:rFonts w:eastAsia="Batang" w:cs="Times New Roman"/>
                <w:szCs w:val="20"/>
              </w:rPr>
              <w:object w:dxaOrig="264" w:dyaOrig="240">
                <v:shape id="_x0000_i1028" type="#_x0000_t75" style="width:13.25pt;height:12.1pt" o:ole="">
                  <v:imagedata r:id="rId18" o:title=""/>
                </v:shape>
                <o:OLEObject Type="Embed" ProgID="Equation.3" ShapeID="_x0000_i1028" DrawAspect="Content" ObjectID="_1615392742" r:id="rId19"/>
              </w:object>
            </w:r>
            <w:r>
              <w:rPr>
                <w:rFonts w:eastAsia="Batang"/>
              </w:rPr>
              <w:br/>
              <w:t>(ordered from left to right in increasing order of TPMI index)</w:t>
            </w:r>
          </w:p>
        </w:tc>
      </w:tr>
      <w:tr w:rsidR="00A57414" w:rsidTr="00A57414">
        <w:trPr>
          <w:jc w:val="center"/>
        </w:trPr>
        <w:tc>
          <w:tcPr>
            <w:tcW w:w="1229"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rPr>
                <w:rFonts w:eastAsia="Batang"/>
              </w:rPr>
            </w:pPr>
            <w:r>
              <w:rPr>
                <w:rFonts w:eastAsia="Batang"/>
              </w:rPr>
              <w:t>0 – 5</w:t>
            </w:r>
          </w:p>
        </w:tc>
        <w:tc>
          <w:tcPr>
            <w:tcW w:w="861"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rPr>
                <w:rFonts w:eastAsia="Batang"/>
              </w:rPr>
            </w:pPr>
            <w:r>
              <w:rPr>
                <w:rFonts w:eastAsia="Batang" w:cs="Times New Roman"/>
                <w:position w:val="-26"/>
                <w:szCs w:val="20"/>
              </w:rPr>
              <w:object w:dxaOrig="648" w:dyaOrig="612">
                <v:shape id="_x0000_i1029" type="#_x0000_t75" style="width:32.25pt;height:30.55pt" o:ole="">
                  <v:imagedata r:id="rId20" o:title=""/>
                </v:shape>
                <o:OLEObject Type="Embed" ProgID="Equation.3" ShapeID="_x0000_i1029" DrawAspect="Content" ObjectID="_1615392743" r:id="rId21"/>
              </w:object>
            </w:r>
          </w:p>
        </w:tc>
        <w:tc>
          <w:tcPr>
            <w:tcW w:w="999"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rPr>
                <w:rFonts w:eastAsia="Batang"/>
              </w:rPr>
            </w:pPr>
            <w:r>
              <w:rPr>
                <w:rFonts w:eastAsia="Batang" w:cs="Times New Roman"/>
                <w:position w:val="-26"/>
                <w:szCs w:val="20"/>
              </w:rPr>
              <w:object w:dxaOrig="648" w:dyaOrig="612">
                <v:shape id="_x0000_i1030" type="#_x0000_t75" style="width:32.25pt;height:30.55pt" o:ole="">
                  <v:imagedata r:id="rId22" o:title=""/>
                </v:shape>
                <o:OLEObject Type="Embed" ProgID="Equation.3" ShapeID="_x0000_i1030" DrawAspect="Content" ObjectID="_1615392744" r:id="rId23"/>
              </w:object>
            </w:r>
          </w:p>
        </w:tc>
        <w:tc>
          <w:tcPr>
            <w:tcW w:w="906"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rPr>
                <w:rFonts w:eastAsia="Batang"/>
              </w:rPr>
            </w:pPr>
            <w:r>
              <w:rPr>
                <w:rFonts w:eastAsia="Batang"/>
                <w:noProof/>
                <w:lang w:eastAsia="en-GB"/>
              </w:rPr>
              <w:drawing>
                <wp:inline distT="0" distB="0" distL="0" distR="0" wp14:anchorId="42742A64" wp14:editId="7D8B1C5C">
                  <wp:extent cx="408940" cy="3879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rPr>
                <w:rFonts w:eastAsia="Batang"/>
              </w:rPr>
            </w:pPr>
            <w:r>
              <w:rPr>
                <w:rFonts w:eastAsia="Batang"/>
                <w:noProof/>
                <w:lang w:eastAsia="en-GB"/>
              </w:rPr>
              <w:drawing>
                <wp:inline distT="0" distB="0" distL="0" distR="0" wp14:anchorId="5CCBF40D" wp14:editId="175E6FAA">
                  <wp:extent cx="498475" cy="3879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8475" cy="38798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rPr>
                <w:rFonts w:eastAsia="Batang"/>
              </w:rPr>
            </w:pPr>
            <w:r>
              <w:rPr>
                <w:rFonts w:eastAsia="Batang"/>
                <w:noProof/>
                <w:lang w:eastAsia="en-GB"/>
              </w:rPr>
              <w:drawing>
                <wp:inline distT="0" distB="0" distL="0" distR="0" wp14:anchorId="1CEE978A" wp14:editId="08384741">
                  <wp:extent cx="429260" cy="387985"/>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926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rPr>
                <w:rFonts w:eastAsia="Batang"/>
              </w:rPr>
            </w:pPr>
            <w:r>
              <w:rPr>
                <w:rFonts w:eastAsia="Batang"/>
                <w:noProof/>
                <w:lang w:eastAsia="en-GB"/>
              </w:rPr>
              <w:drawing>
                <wp:inline distT="0" distB="0" distL="0" distR="0" wp14:anchorId="72122BFA" wp14:editId="3E2E0BD5">
                  <wp:extent cx="526415" cy="38798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6415" cy="3879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rPr>
                <w:rFonts w:eastAsia="Batang"/>
              </w:rPr>
            </w:pPr>
            <w:r>
              <w:t>-</w:t>
            </w:r>
          </w:p>
        </w:tc>
        <w:tc>
          <w:tcPr>
            <w:tcW w:w="1140"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rPr>
                <w:rFonts w:eastAsia="Batang"/>
              </w:rPr>
            </w:pPr>
            <w:r>
              <w:t>-</w:t>
            </w:r>
          </w:p>
        </w:tc>
      </w:tr>
    </w:tbl>
    <w:p w:rsidR="00A57414" w:rsidRDefault="00A57414" w:rsidP="00A57414">
      <w:pPr>
        <w:rPr>
          <w:rFonts w:ascii="Times New Roman" w:hAnsi="Times New Roman" w:cs="Times New Roman"/>
          <w:sz w:val="20"/>
          <w:szCs w:val="20"/>
        </w:rPr>
      </w:pPr>
    </w:p>
    <w:p w:rsidR="00A57414" w:rsidRPr="008C5EF3" w:rsidRDefault="00A57414" w:rsidP="00A57414">
      <w:pPr>
        <w:rPr>
          <w:rFonts w:ascii="Times New Roman" w:hAnsi="Times New Roman" w:cs="Times New Roman"/>
          <w:sz w:val="20"/>
          <w:szCs w:val="20"/>
        </w:rPr>
      </w:pPr>
      <w:r>
        <w:rPr>
          <w:rFonts w:ascii="Times New Roman" w:hAnsi="Times New Roman" w:cs="Times New Roman"/>
          <w:sz w:val="20"/>
          <w:szCs w:val="20"/>
        </w:rPr>
        <w:t>In TS 38.212, we have this “precoding information and number of layers” in DCI format 0_1 to specify UE precoding operation with different coherence levels.</w:t>
      </w:r>
    </w:p>
    <w:p w:rsidR="00A57414" w:rsidRDefault="00A57414" w:rsidP="00A57414">
      <w:pPr>
        <w:pStyle w:val="TH"/>
        <w:overflowPunct w:val="0"/>
        <w:autoSpaceDE w:val="0"/>
        <w:autoSpaceDN w:val="0"/>
        <w:adjustRightInd w:val="0"/>
        <w:textAlignment w:val="baseline"/>
        <w:rPr>
          <w:rFonts w:eastAsia="SimSun" w:cs="Times New Roman"/>
          <w:sz w:val="20"/>
          <w:szCs w:val="20"/>
        </w:rPr>
      </w:pPr>
      <w:r>
        <w:lastRenderedPageBreak/>
        <w:t xml:space="preserve">Table 7.3.1.1.2-5: Precoding information and number of layers, for 2 antenna ports, if </w:t>
      </w:r>
      <w:r>
        <w:rPr>
          <w:i/>
        </w:rPr>
        <w:t>transformPrecoder= enabled</w:t>
      </w:r>
      <w:r>
        <w:t xml:space="preserve">, or if </w:t>
      </w:r>
      <w:r>
        <w:rPr>
          <w:i/>
        </w:rPr>
        <w:t xml:space="preserve">transformPrecoder= disabled </w:t>
      </w:r>
      <w:r>
        <w:t>and</w:t>
      </w:r>
      <w:r>
        <w:rPr>
          <w:i/>
          <w:iCs/>
        </w:rPr>
        <w:t xml:space="preserve"> maxRank</w:t>
      </w:r>
      <w:r>
        <w:rPr>
          <w:iCs/>
        </w:rPr>
        <w:t xml:space="preserve"> = 1 (</w:t>
      </w:r>
      <w:r w:rsidRPr="00A57414">
        <w:rPr>
          <w:i/>
          <w:iCs/>
        </w:rPr>
        <w:t>The highlighted item is new proposal</w:t>
      </w:r>
      <w:r>
        <w:rPr>
          <w:iCs/>
        </w:rPr>
        <w:t>)</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A57414" w:rsidTr="00A57414">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rPr>
                <w:i/>
              </w:rPr>
              <w:t>codebookSubset</w:t>
            </w:r>
            <w:r>
              <w:t xml:space="preserve"> = </w:t>
            </w:r>
            <w:r>
              <w:rPr>
                <w:i/>
              </w:rPr>
              <w:t>fullyAndPartialAndNonCoherent</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rPr>
                <w:i/>
              </w:rPr>
              <w:t>codebookSubset</w:t>
            </w:r>
            <w:r>
              <w:t xml:space="preserve"> = </w:t>
            </w:r>
            <w:r>
              <w:rPr>
                <w:i/>
              </w:rPr>
              <w:t>nonCoherent</w:t>
            </w:r>
          </w:p>
        </w:tc>
      </w:tr>
      <w:tr w:rsidR="00A57414" w:rsidTr="00A57414">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0</w:t>
            </w:r>
          </w:p>
        </w:tc>
        <w:tc>
          <w:tcPr>
            <w:tcW w:w="266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TPMI=0</w:t>
            </w:r>
          </w:p>
        </w:tc>
      </w:tr>
      <w:tr w:rsidR="00A57414" w:rsidTr="00A57414">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1</w:t>
            </w:r>
          </w:p>
        </w:tc>
        <w:tc>
          <w:tcPr>
            <w:tcW w:w="266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1</w:t>
            </w:r>
          </w:p>
        </w:tc>
        <w:tc>
          <w:tcPr>
            <w:tcW w:w="182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TPMI=1</w:t>
            </w:r>
          </w:p>
        </w:tc>
      </w:tr>
      <w:tr w:rsidR="00A57414" w:rsidTr="00A57414">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2</w:t>
            </w:r>
          </w:p>
        </w:tc>
        <w:tc>
          <w:tcPr>
            <w:tcW w:w="266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A57414" w:rsidRPr="00A57414" w:rsidRDefault="00A57414" w:rsidP="00A57414">
            <w:pPr>
              <w:pStyle w:val="TAC"/>
              <w:rPr>
                <w:highlight w:val="yellow"/>
              </w:rPr>
            </w:pPr>
            <w:r w:rsidRPr="00A57414">
              <w:rPr>
                <w:highlight w:val="yellow"/>
              </w:rPr>
              <w:t>2</w:t>
            </w:r>
          </w:p>
        </w:tc>
        <w:tc>
          <w:tcPr>
            <w:tcW w:w="1828" w:type="dxa"/>
            <w:tcBorders>
              <w:top w:val="single" w:sz="4" w:space="0" w:color="auto"/>
              <w:left w:val="single" w:sz="4" w:space="0" w:color="auto"/>
              <w:bottom w:val="single" w:sz="4" w:space="0" w:color="auto"/>
              <w:right w:val="single" w:sz="4" w:space="0" w:color="auto"/>
            </w:tcBorders>
            <w:vAlign w:val="center"/>
          </w:tcPr>
          <w:p w:rsidR="00A57414" w:rsidRPr="00A57414" w:rsidRDefault="00A57414" w:rsidP="00A57414">
            <w:pPr>
              <w:pStyle w:val="TAC"/>
              <w:rPr>
                <w:highlight w:val="yellow"/>
              </w:rPr>
            </w:pPr>
            <w:r w:rsidRPr="00A57414">
              <w:rPr>
                <w:highlight w:val="yellow"/>
              </w:rPr>
              <w:t>1 layer: TPMI=2</w:t>
            </w:r>
          </w:p>
        </w:tc>
      </w:tr>
      <w:tr w:rsidR="00A57414" w:rsidTr="00A57414">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3</w:t>
            </w:r>
          </w:p>
        </w:tc>
        <w:tc>
          <w:tcPr>
            <w:tcW w:w="266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A57414" w:rsidRDefault="00A57414" w:rsidP="00A57414">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rsidR="00A57414" w:rsidRDefault="00A57414" w:rsidP="00A57414">
            <w:pPr>
              <w:pStyle w:val="TAC"/>
            </w:pPr>
          </w:p>
        </w:tc>
      </w:tr>
      <w:tr w:rsidR="00A57414" w:rsidTr="00A57414">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4</w:t>
            </w:r>
          </w:p>
        </w:tc>
        <w:tc>
          <w:tcPr>
            <w:tcW w:w="266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A57414" w:rsidRDefault="00A57414" w:rsidP="00A57414">
            <w:pPr>
              <w:pStyle w:val="TAC"/>
            </w:pPr>
          </w:p>
        </w:tc>
        <w:tc>
          <w:tcPr>
            <w:tcW w:w="1828" w:type="dxa"/>
            <w:tcBorders>
              <w:top w:val="single" w:sz="4" w:space="0" w:color="auto"/>
              <w:left w:val="single" w:sz="4" w:space="0" w:color="auto"/>
              <w:bottom w:val="single" w:sz="4" w:space="0" w:color="auto"/>
              <w:right w:val="single" w:sz="4" w:space="0" w:color="auto"/>
            </w:tcBorders>
          </w:tcPr>
          <w:p w:rsidR="00A57414" w:rsidRDefault="00A57414" w:rsidP="00A57414">
            <w:pPr>
              <w:pStyle w:val="TAC"/>
            </w:pPr>
          </w:p>
        </w:tc>
      </w:tr>
      <w:tr w:rsidR="00A57414" w:rsidTr="00A57414">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5</w:t>
            </w:r>
          </w:p>
        </w:tc>
        <w:tc>
          <w:tcPr>
            <w:tcW w:w="266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A57414" w:rsidRDefault="00A57414" w:rsidP="00A57414">
            <w:pPr>
              <w:pStyle w:val="TAC"/>
            </w:pPr>
          </w:p>
        </w:tc>
        <w:tc>
          <w:tcPr>
            <w:tcW w:w="1828" w:type="dxa"/>
            <w:tcBorders>
              <w:top w:val="single" w:sz="4" w:space="0" w:color="auto"/>
              <w:left w:val="single" w:sz="4" w:space="0" w:color="auto"/>
              <w:bottom w:val="single" w:sz="4" w:space="0" w:color="auto"/>
              <w:right w:val="single" w:sz="4" w:space="0" w:color="auto"/>
            </w:tcBorders>
          </w:tcPr>
          <w:p w:rsidR="00A57414" w:rsidRDefault="00A57414" w:rsidP="00A57414">
            <w:pPr>
              <w:pStyle w:val="TAC"/>
            </w:pPr>
          </w:p>
        </w:tc>
      </w:tr>
      <w:tr w:rsidR="00A57414" w:rsidTr="00A57414">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6-7</w:t>
            </w:r>
          </w:p>
        </w:tc>
        <w:tc>
          <w:tcPr>
            <w:tcW w:w="266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A57414" w:rsidRDefault="00A57414" w:rsidP="00A57414">
            <w:pPr>
              <w:pStyle w:val="TAC"/>
            </w:pPr>
          </w:p>
        </w:tc>
        <w:tc>
          <w:tcPr>
            <w:tcW w:w="1828" w:type="dxa"/>
            <w:tcBorders>
              <w:top w:val="single" w:sz="4" w:space="0" w:color="auto"/>
              <w:left w:val="single" w:sz="4" w:space="0" w:color="auto"/>
              <w:bottom w:val="single" w:sz="4" w:space="0" w:color="auto"/>
              <w:right w:val="single" w:sz="4" w:space="0" w:color="auto"/>
            </w:tcBorders>
          </w:tcPr>
          <w:p w:rsidR="00A57414" w:rsidRDefault="00A57414" w:rsidP="00A57414">
            <w:pPr>
              <w:pStyle w:val="TAC"/>
            </w:pPr>
          </w:p>
        </w:tc>
      </w:tr>
    </w:tbl>
    <w:p w:rsidR="00A57414" w:rsidRDefault="00A57414" w:rsidP="00A57414">
      <w:pPr>
        <w:rPr>
          <w:rFonts w:ascii="Times New Roman" w:hAnsi="Times New Roman" w:cs="Times New Roman"/>
          <w:sz w:val="20"/>
          <w:szCs w:val="20"/>
          <w:u w:val="single"/>
        </w:rPr>
      </w:pPr>
    </w:p>
    <w:p w:rsidR="00A57414" w:rsidRDefault="00A57414" w:rsidP="00A57414">
      <w:pPr>
        <w:jc w:val="both"/>
        <w:rPr>
          <w:rFonts w:ascii="Times New Roman" w:hAnsi="Times New Roman" w:cs="Times New Roman"/>
          <w:sz w:val="20"/>
          <w:szCs w:val="20"/>
        </w:rPr>
      </w:pPr>
      <w:r>
        <w:rPr>
          <w:rFonts w:ascii="Times New Roman" w:hAnsi="Times New Roman" w:cs="Times New Roman"/>
          <w:sz w:val="20"/>
          <w:szCs w:val="20"/>
        </w:rPr>
        <w:t>The “precoding information and number of layers” of DCI format 0_1 is also show here. When the non-coherent codebook is selected, there are only two TPMI=0, and 1, related to the two precoders:</w:t>
      </w:r>
    </w:p>
    <w:p w:rsidR="00A57414" w:rsidRDefault="00A57414" w:rsidP="00A57414">
      <w:pPr>
        <w:jc w:val="center"/>
        <w:rPr>
          <w:rFonts w:ascii="Times New Roman" w:hAnsi="Times New Roman" w:cs="Times New Roman"/>
          <w:sz w:val="20"/>
          <w:szCs w:val="20"/>
        </w:rPr>
      </w:pPr>
      <w:r>
        <w:rPr>
          <w:rFonts w:eastAsia="Batang" w:cs="Times New Roman"/>
          <w:position w:val="-26"/>
          <w:szCs w:val="20"/>
        </w:rPr>
        <w:object w:dxaOrig="648" w:dyaOrig="612">
          <v:shape id="_x0000_i1031" type="#_x0000_t75" style="width:32.25pt;height:30.55pt" o:ole="">
            <v:imagedata r:id="rId20" o:title=""/>
          </v:shape>
          <o:OLEObject Type="Embed" ProgID="Equation.3" ShapeID="_x0000_i1031" DrawAspect="Content" ObjectID="_1615392745" r:id="rId28"/>
        </w:object>
      </w:r>
      <w:r>
        <w:rPr>
          <w:rFonts w:eastAsia="Batang" w:cs="Times New Roman"/>
          <w:szCs w:val="20"/>
        </w:rPr>
        <w:t xml:space="preserve">, </w:t>
      </w:r>
      <w:r>
        <w:rPr>
          <w:rFonts w:eastAsia="Batang" w:cs="Times New Roman"/>
          <w:position w:val="-26"/>
          <w:szCs w:val="20"/>
        </w:rPr>
        <w:object w:dxaOrig="648" w:dyaOrig="612">
          <v:shape id="_x0000_i1032" type="#_x0000_t75" style="width:32.25pt;height:30.55pt" o:ole="">
            <v:imagedata r:id="rId22" o:title=""/>
          </v:shape>
          <o:OLEObject Type="Embed" ProgID="Equation.3" ShapeID="_x0000_i1032" DrawAspect="Content" ObjectID="_1615392746" r:id="rId29"/>
        </w:object>
      </w:r>
    </w:p>
    <w:p w:rsidR="00A57414" w:rsidRDefault="00A57414" w:rsidP="00A57414">
      <w:pPr>
        <w:jc w:val="both"/>
        <w:rPr>
          <w:rFonts w:ascii="Times New Roman" w:hAnsi="Times New Roman" w:cs="Times New Roman"/>
          <w:sz w:val="20"/>
          <w:szCs w:val="20"/>
        </w:rPr>
      </w:pPr>
      <w:r>
        <w:rPr>
          <w:rFonts w:ascii="Times New Roman" w:hAnsi="Times New Roman" w:cs="Times New Roman"/>
          <w:sz w:val="20"/>
          <w:szCs w:val="20"/>
        </w:rPr>
        <w:t xml:space="preserve">We may adjust the codebook to let non-coherent codebook also supports this precoder </w:t>
      </w:r>
    </w:p>
    <w:p w:rsidR="00A57414" w:rsidRDefault="00A57414" w:rsidP="00A57414">
      <w:pPr>
        <w:jc w:val="center"/>
        <w:rPr>
          <w:rFonts w:ascii="Times New Roman" w:hAnsi="Times New Roman" w:cs="Times New Roman"/>
          <w:sz w:val="20"/>
          <w:szCs w:val="20"/>
        </w:rPr>
      </w:pPr>
      <w:r>
        <w:rPr>
          <w:rFonts w:eastAsia="Batang"/>
          <w:noProof/>
          <w:lang w:eastAsia="en-GB"/>
        </w:rPr>
        <w:drawing>
          <wp:inline distT="0" distB="0" distL="0" distR="0" wp14:anchorId="0788C785" wp14:editId="255AE454">
            <wp:extent cx="408940" cy="3879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p w:rsidR="00A57414" w:rsidRDefault="00A57414" w:rsidP="00A57414">
      <w:pPr>
        <w:jc w:val="both"/>
        <w:rPr>
          <w:rFonts w:ascii="Times New Roman" w:hAnsi="Times New Roman" w:cs="Times New Roman"/>
          <w:sz w:val="20"/>
          <w:szCs w:val="20"/>
        </w:rPr>
      </w:pPr>
      <w:r w:rsidRPr="00641FCC">
        <w:rPr>
          <w:rFonts w:ascii="Times New Roman" w:hAnsi="Times New Roman" w:cs="Times New Roman"/>
          <w:sz w:val="20"/>
          <w:szCs w:val="20"/>
        </w:rPr>
        <w:t>with TPMI=2</w:t>
      </w:r>
      <w:r>
        <w:rPr>
          <w:rFonts w:ascii="Times New Roman" w:hAnsi="Times New Roman" w:cs="Times New Roman"/>
          <w:sz w:val="20"/>
          <w:szCs w:val="20"/>
        </w:rPr>
        <w:t xml:space="preserve"> for single layer transmission. With this approach, UE can still use their two Tx ports for rank-1 transmission even though these two Tx ports are not coherent. If the UE has its maximum power limit at 20dBm per Tx port, the full 23dBm transmission power can be reached with two non-coherent transmission. Similar approach can be extended to other ranks and 4Tx-port transmission.</w:t>
      </w:r>
    </w:p>
    <w:p w:rsidR="00A57414" w:rsidRPr="00E74C89" w:rsidRDefault="00A57414" w:rsidP="00A57414">
      <w:pPr>
        <w:rPr>
          <w:rFonts w:ascii="Times New Roman" w:hAnsi="Times New Roman" w:cs="Times New Roman"/>
          <w:sz w:val="20"/>
          <w:szCs w:val="20"/>
        </w:rPr>
      </w:pPr>
      <w:r>
        <w:rPr>
          <w:rFonts w:ascii="Times New Roman" w:hAnsi="Times New Roman" w:cs="Times New Roman"/>
          <w:sz w:val="20"/>
          <w:szCs w:val="20"/>
        </w:rPr>
        <w:t>The cost is the expanding of the size of non-coherent codebook size. In the 2Tx rank-1 transmission case, one more precoder will be added, which will increase the size of “precoding information and number of layers” in DCI from 1-bit to 2-bits.</w:t>
      </w:r>
    </w:p>
    <w:p w:rsidR="00A57414" w:rsidRDefault="00A57414" w:rsidP="00A57414">
      <w:pPr>
        <w:jc w:val="both"/>
        <w:rPr>
          <w:rFonts w:ascii="Times New Roman" w:hAnsi="Times New Roman" w:cs="Times New Roman"/>
          <w:sz w:val="20"/>
          <w:szCs w:val="20"/>
        </w:rPr>
      </w:pPr>
      <w:r>
        <w:rPr>
          <w:rFonts w:ascii="Times New Roman" w:hAnsi="Times New Roman" w:cs="Times New Roman"/>
          <w:sz w:val="20"/>
          <w:szCs w:val="20"/>
        </w:rPr>
        <w:t>For 4Tx rank-1 operation, we can follow the similar approach to include necessary precoders for partial/non-coherent codebook. One solution is to revise Table 7.3.1.1.2-3 of TS 38.212 with:</w:t>
      </w:r>
    </w:p>
    <w:p w:rsidR="00A57414" w:rsidRPr="00A57414" w:rsidRDefault="00A57414" w:rsidP="00A57414">
      <w:pPr>
        <w:pStyle w:val="TH"/>
        <w:overflowPunct w:val="0"/>
        <w:autoSpaceDE w:val="0"/>
        <w:autoSpaceDN w:val="0"/>
        <w:adjustRightInd w:val="0"/>
        <w:textAlignment w:val="baseline"/>
        <w:rPr>
          <w:i/>
        </w:rPr>
      </w:pPr>
      <w:r>
        <w:lastRenderedPageBreak/>
        <w:t xml:space="preserve">Table 7.3.1.1.2-3: Precoding information and number of layers for 4 antenna ports, if </w:t>
      </w:r>
      <w:r>
        <w:rPr>
          <w:i/>
        </w:rPr>
        <w:t>transformPrecoder= enabled</w:t>
      </w:r>
      <w:r>
        <w:t xml:space="preserve">, or if </w:t>
      </w:r>
      <w:r>
        <w:rPr>
          <w:i/>
        </w:rPr>
        <w:t>transformPrecoder=disabled</w:t>
      </w:r>
      <w:r>
        <w:t xml:space="preserve"> and </w:t>
      </w:r>
      <w:r>
        <w:rPr>
          <w:i/>
          <w:iCs/>
        </w:rPr>
        <w:t>maxRank</w:t>
      </w:r>
      <w:r>
        <w:rPr>
          <w:iCs/>
        </w:rPr>
        <w:t xml:space="preserve"> = 1 (</w:t>
      </w:r>
      <w:r>
        <w:rPr>
          <w:i/>
          <w:iCs/>
        </w:rPr>
        <w:t>Highlighted items are new proposals)</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A57414" w:rsidTr="00A57414">
        <w:trPr>
          <w:trHeight w:val="424"/>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rPr>
                <w:i/>
              </w:rPr>
              <w:t>codebookSubset</w:t>
            </w:r>
            <w:r>
              <w:t xml:space="preserve"> = </w:t>
            </w:r>
            <w:r>
              <w:rPr>
                <w:i/>
              </w:rPr>
              <w:t>fullyAndPartialAndNonCoherent</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rPr>
                <w:i/>
              </w:rPr>
              <w:t>codebookSubset</w:t>
            </w:r>
            <w:r>
              <w:t xml:space="preserve">= </w:t>
            </w:r>
            <w:r>
              <w:rPr>
                <w:i/>
              </w:rPr>
              <w:t>partialAndNonCoherent</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Bit field mapped to index</w:t>
            </w:r>
          </w:p>
        </w:tc>
        <w:tc>
          <w:tcPr>
            <w:tcW w:w="17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rPr>
                <w:i/>
              </w:rPr>
              <w:t>codebookSubset</w:t>
            </w:r>
            <w:r>
              <w:t xml:space="preserve">= </w:t>
            </w:r>
            <w:r>
              <w:rPr>
                <w:i/>
              </w:rPr>
              <w:t>nonCoherent</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0</w:t>
            </w:r>
          </w:p>
        </w:tc>
        <w:tc>
          <w:tcPr>
            <w:tcW w:w="275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TPMI=0</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0</w:t>
            </w:r>
          </w:p>
        </w:tc>
        <w:tc>
          <w:tcPr>
            <w:tcW w:w="209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TPMI=0</w:t>
            </w:r>
          </w:p>
        </w:tc>
        <w:tc>
          <w:tcPr>
            <w:tcW w:w="924"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0</w:t>
            </w:r>
          </w:p>
        </w:tc>
        <w:tc>
          <w:tcPr>
            <w:tcW w:w="1786"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TPMI=0</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1</w:t>
            </w:r>
          </w:p>
        </w:tc>
        <w:tc>
          <w:tcPr>
            <w:tcW w:w="275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TPMI=1</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1</w:t>
            </w:r>
          </w:p>
        </w:tc>
        <w:tc>
          <w:tcPr>
            <w:tcW w:w="209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TPMI=1</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1</w:t>
            </w:r>
          </w:p>
        </w:tc>
        <w:tc>
          <w:tcPr>
            <w:tcW w:w="1786"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TPMI=1</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w:t>
            </w:r>
          </w:p>
        </w:tc>
        <w:tc>
          <w:tcPr>
            <w:tcW w:w="275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w:t>
            </w:r>
          </w:p>
        </w:tc>
        <w:tc>
          <w:tcPr>
            <w:tcW w:w="209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3</w:t>
            </w:r>
          </w:p>
        </w:tc>
        <w:tc>
          <w:tcPr>
            <w:tcW w:w="275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TPMI=3</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3</w:t>
            </w:r>
          </w:p>
        </w:tc>
        <w:tc>
          <w:tcPr>
            <w:tcW w:w="2098"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TPMI=3</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7414" w:rsidRDefault="00A57414" w:rsidP="00A57414">
            <w:pPr>
              <w:pStyle w:val="TAC"/>
            </w:pPr>
            <w:r>
              <w:t>3</w:t>
            </w:r>
          </w:p>
        </w:tc>
        <w:tc>
          <w:tcPr>
            <w:tcW w:w="1786" w:type="dxa"/>
            <w:tcBorders>
              <w:top w:val="single" w:sz="4" w:space="0" w:color="auto"/>
              <w:left w:val="single" w:sz="4" w:space="0" w:color="auto"/>
              <w:bottom w:val="single" w:sz="4" w:space="0" w:color="auto"/>
              <w:right w:val="single" w:sz="4" w:space="0" w:color="auto"/>
            </w:tcBorders>
            <w:vAlign w:val="center"/>
            <w:hideMark/>
          </w:tcPr>
          <w:p w:rsidR="00A57414" w:rsidRDefault="00A57414" w:rsidP="00A57414">
            <w:pPr>
              <w:pStyle w:val="TAC"/>
            </w:pPr>
            <w:r>
              <w:t>1 layer: TPMI=3</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4</w:t>
            </w:r>
          </w:p>
        </w:tc>
        <w:tc>
          <w:tcPr>
            <w:tcW w:w="275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TPMI=4</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4</w:t>
            </w:r>
          </w:p>
        </w:tc>
        <w:tc>
          <w:tcPr>
            <w:tcW w:w="209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TPMI=4</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A57414" w:rsidRPr="00EC4D55" w:rsidRDefault="00A57414" w:rsidP="00A57414">
            <w:pPr>
              <w:pStyle w:val="TAC"/>
              <w:rPr>
                <w:highlight w:val="yellow"/>
              </w:rPr>
            </w:pPr>
            <w:r w:rsidRPr="00EC4D55">
              <w:rPr>
                <w:highlight w:val="yellow"/>
              </w:rPr>
              <w:t>4</w:t>
            </w:r>
          </w:p>
        </w:tc>
        <w:tc>
          <w:tcPr>
            <w:tcW w:w="1786" w:type="dxa"/>
            <w:tcBorders>
              <w:top w:val="single" w:sz="4" w:space="0" w:color="auto"/>
              <w:left w:val="single" w:sz="4" w:space="0" w:color="auto"/>
              <w:bottom w:val="single" w:sz="4" w:space="0" w:color="auto"/>
              <w:right w:val="single" w:sz="4" w:space="0" w:color="auto"/>
            </w:tcBorders>
          </w:tcPr>
          <w:p w:rsidR="00A57414" w:rsidRPr="00EC4D55" w:rsidRDefault="00A57414" w:rsidP="00A57414">
            <w:pPr>
              <w:pStyle w:val="TAC"/>
              <w:rPr>
                <w:highlight w:val="yellow"/>
              </w:rPr>
            </w:pPr>
            <w:r w:rsidRPr="00EC4D55">
              <w:rPr>
                <w:highlight w:val="yellow"/>
              </w:rPr>
              <w:t>1 layer: TPMI=4</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w:t>
            </w:r>
          </w:p>
        </w:tc>
        <w:tc>
          <w:tcPr>
            <w:tcW w:w="275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w:t>
            </w:r>
          </w:p>
        </w:tc>
        <w:tc>
          <w:tcPr>
            <w:tcW w:w="209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A57414" w:rsidRPr="00EC4D55" w:rsidRDefault="00A57414" w:rsidP="00A57414">
            <w:pPr>
              <w:pStyle w:val="TAC"/>
              <w:rPr>
                <w:highlight w:val="yellow"/>
              </w:rPr>
            </w:pPr>
            <w:r w:rsidRPr="00EC4D55">
              <w:rPr>
                <w:highlight w:val="yellow"/>
              </w:rPr>
              <w:t>5</w:t>
            </w:r>
          </w:p>
        </w:tc>
        <w:tc>
          <w:tcPr>
            <w:tcW w:w="1786" w:type="dxa"/>
            <w:tcBorders>
              <w:top w:val="single" w:sz="4" w:space="0" w:color="auto"/>
              <w:left w:val="single" w:sz="4" w:space="0" w:color="auto"/>
              <w:bottom w:val="single" w:sz="4" w:space="0" w:color="auto"/>
              <w:right w:val="single" w:sz="4" w:space="0" w:color="auto"/>
            </w:tcBorders>
          </w:tcPr>
          <w:p w:rsidR="00A57414" w:rsidRPr="00EC4D55" w:rsidRDefault="00A57414" w:rsidP="00A57414">
            <w:pPr>
              <w:pStyle w:val="TAC"/>
              <w:rPr>
                <w:highlight w:val="yellow"/>
              </w:rPr>
            </w:pPr>
            <w:r w:rsidRPr="00EC4D55">
              <w:rPr>
                <w:highlight w:val="yellow"/>
              </w:rPr>
              <w:t>1 layer: TPMI=8</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11</w:t>
            </w:r>
          </w:p>
        </w:tc>
        <w:tc>
          <w:tcPr>
            <w:tcW w:w="275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TPMI=11</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11</w:t>
            </w:r>
          </w:p>
        </w:tc>
        <w:tc>
          <w:tcPr>
            <w:tcW w:w="209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 TPMI=11</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A57414" w:rsidRPr="00EC4D55" w:rsidRDefault="00A57414" w:rsidP="00A57414">
            <w:pPr>
              <w:pStyle w:val="TAC"/>
              <w:rPr>
                <w:highlight w:val="yellow"/>
              </w:rPr>
            </w:pPr>
            <w:r w:rsidRPr="00EC4D55">
              <w:rPr>
                <w:highlight w:val="yellow"/>
              </w:rPr>
              <w:t>6</w:t>
            </w:r>
          </w:p>
        </w:tc>
        <w:tc>
          <w:tcPr>
            <w:tcW w:w="1786" w:type="dxa"/>
            <w:tcBorders>
              <w:top w:val="single" w:sz="4" w:space="0" w:color="auto"/>
              <w:left w:val="single" w:sz="4" w:space="0" w:color="auto"/>
              <w:bottom w:val="single" w:sz="4" w:space="0" w:color="auto"/>
              <w:right w:val="single" w:sz="4" w:space="0" w:color="auto"/>
            </w:tcBorders>
          </w:tcPr>
          <w:p w:rsidR="00A57414" w:rsidRPr="00EC4D55" w:rsidRDefault="00A57414" w:rsidP="00A57414">
            <w:pPr>
              <w:pStyle w:val="TAC"/>
              <w:rPr>
                <w:highlight w:val="yellow"/>
              </w:rPr>
            </w:pPr>
            <w:r w:rsidRPr="00EC4D55">
              <w:rPr>
                <w:highlight w:val="yellow"/>
              </w:rPr>
              <w:t>1 layer: TPMI=12</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12</w:t>
            </w:r>
          </w:p>
        </w:tc>
        <w:tc>
          <w:tcPr>
            <w:tcW w:w="275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layers: TPMI=12</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A57414" w:rsidRPr="00EC4D55" w:rsidRDefault="00A57414" w:rsidP="00A57414">
            <w:pPr>
              <w:pStyle w:val="TAC"/>
              <w:rPr>
                <w:strike/>
                <w:highlight w:val="yellow"/>
              </w:rPr>
            </w:pPr>
            <w:r w:rsidRPr="00EC4D55">
              <w:rPr>
                <w:strike/>
                <w:highlight w:val="yellow"/>
              </w:rPr>
              <w:t>12-15</w:t>
            </w:r>
          </w:p>
        </w:tc>
        <w:tc>
          <w:tcPr>
            <w:tcW w:w="2098" w:type="dxa"/>
            <w:tcBorders>
              <w:top w:val="single" w:sz="4" w:space="0" w:color="auto"/>
              <w:left w:val="single" w:sz="4" w:space="0" w:color="auto"/>
              <w:bottom w:val="single" w:sz="4" w:space="0" w:color="auto"/>
              <w:right w:val="single" w:sz="4" w:space="0" w:color="auto"/>
            </w:tcBorders>
            <w:hideMark/>
          </w:tcPr>
          <w:p w:rsidR="00A57414" w:rsidRPr="00EC4D55" w:rsidRDefault="00A57414" w:rsidP="00A57414">
            <w:pPr>
              <w:pStyle w:val="TAC"/>
              <w:rPr>
                <w:strike/>
                <w:highlight w:val="yellow"/>
              </w:rPr>
            </w:pPr>
            <w:r w:rsidRPr="00EC4D55">
              <w:rPr>
                <w:strike/>
                <w:highlight w:val="yellow"/>
              </w:rPr>
              <w:t>reserved</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A57414" w:rsidRPr="00EC4D55" w:rsidRDefault="00A57414" w:rsidP="00A57414">
            <w:pPr>
              <w:pStyle w:val="TAC"/>
              <w:rPr>
                <w:highlight w:val="yellow"/>
              </w:rPr>
            </w:pPr>
            <w:r w:rsidRPr="00EC4D55">
              <w:rPr>
                <w:highlight w:val="yellow"/>
              </w:rPr>
              <w:t>7</w:t>
            </w:r>
          </w:p>
        </w:tc>
        <w:tc>
          <w:tcPr>
            <w:tcW w:w="1786" w:type="dxa"/>
            <w:tcBorders>
              <w:top w:val="single" w:sz="4" w:space="0" w:color="auto"/>
              <w:left w:val="single" w:sz="4" w:space="0" w:color="auto"/>
              <w:bottom w:val="single" w:sz="4" w:space="0" w:color="auto"/>
              <w:right w:val="single" w:sz="4" w:space="0" w:color="auto"/>
            </w:tcBorders>
          </w:tcPr>
          <w:p w:rsidR="00A57414" w:rsidRPr="00EC4D55" w:rsidRDefault="00A57414" w:rsidP="00A57414">
            <w:pPr>
              <w:pStyle w:val="TAC"/>
              <w:rPr>
                <w:highlight w:val="yellow"/>
              </w:rPr>
            </w:pPr>
            <w:r w:rsidRPr="00EC4D55">
              <w:rPr>
                <w:highlight w:val="yellow"/>
              </w:rPr>
              <w:t>reserved</w:t>
            </w: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w:t>
            </w:r>
          </w:p>
        </w:tc>
        <w:tc>
          <w:tcPr>
            <w:tcW w:w="275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A57414" w:rsidRPr="00EC4D55" w:rsidRDefault="00A57414" w:rsidP="00A57414">
            <w:pPr>
              <w:pStyle w:val="TAC"/>
              <w:rPr>
                <w:highlight w:val="yellow"/>
              </w:rPr>
            </w:pPr>
            <w:r w:rsidRPr="00EC4D55">
              <w:rPr>
                <w:highlight w:val="yellow"/>
              </w:rPr>
              <w:t>12</w:t>
            </w:r>
          </w:p>
        </w:tc>
        <w:tc>
          <w:tcPr>
            <w:tcW w:w="2098" w:type="dxa"/>
            <w:tcBorders>
              <w:top w:val="single" w:sz="4" w:space="0" w:color="auto"/>
              <w:left w:val="single" w:sz="4" w:space="0" w:color="auto"/>
              <w:bottom w:val="single" w:sz="4" w:space="0" w:color="auto"/>
              <w:right w:val="single" w:sz="4" w:space="0" w:color="auto"/>
            </w:tcBorders>
          </w:tcPr>
          <w:p w:rsidR="00A57414" w:rsidRPr="00EC4D55" w:rsidRDefault="00A57414" w:rsidP="00A57414">
            <w:pPr>
              <w:pStyle w:val="TAC"/>
              <w:rPr>
                <w:highlight w:val="yellow"/>
              </w:rPr>
            </w:pPr>
            <w:r w:rsidRPr="00EC4D55">
              <w:rPr>
                <w:highlight w:val="yellow"/>
              </w:rPr>
              <w:t>1 layer: TPMI=12</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A57414" w:rsidRDefault="00A57414" w:rsidP="00A57414">
            <w:pPr>
              <w:pStyle w:val="TAC"/>
            </w:pPr>
          </w:p>
        </w:tc>
        <w:tc>
          <w:tcPr>
            <w:tcW w:w="1786" w:type="dxa"/>
            <w:tcBorders>
              <w:top w:val="single" w:sz="4" w:space="0" w:color="auto"/>
              <w:left w:val="single" w:sz="4" w:space="0" w:color="auto"/>
              <w:bottom w:val="single" w:sz="4" w:space="0" w:color="auto"/>
              <w:right w:val="single" w:sz="4" w:space="0" w:color="auto"/>
            </w:tcBorders>
          </w:tcPr>
          <w:p w:rsidR="00A57414" w:rsidRDefault="00A57414" w:rsidP="00A57414">
            <w:pPr>
              <w:pStyle w:val="TAC"/>
            </w:pP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27</w:t>
            </w:r>
          </w:p>
        </w:tc>
        <w:tc>
          <w:tcPr>
            <w:tcW w:w="275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1 layers: TPMI=27</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A57414" w:rsidRDefault="00A57414" w:rsidP="00A57414">
            <w:pPr>
              <w:pStyle w:val="TAC"/>
            </w:pPr>
          </w:p>
        </w:tc>
        <w:tc>
          <w:tcPr>
            <w:tcW w:w="2098" w:type="dxa"/>
            <w:tcBorders>
              <w:top w:val="single" w:sz="4" w:space="0" w:color="auto"/>
              <w:left w:val="single" w:sz="4" w:space="0" w:color="auto"/>
              <w:bottom w:val="single" w:sz="4" w:space="0" w:color="auto"/>
              <w:right w:val="single" w:sz="4" w:space="0" w:color="auto"/>
            </w:tcBorders>
          </w:tcPr>
          <w:p w:rsidR="00A57414" w:rsidRDefault="00A57414" w:rsidP="00A57414">
            <w:pPr>
              <w:pStyle w:val="TAC"/>
            </w:pP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A57414" w:rsidRDefault="00A57414" w:rsidP="00A57414">
            <w:pPr>
              <w:pStyle w:val="TAC"/>
            </w:pPr>
          </w:p>
        </w:tc>
        <w:tc>
          <w:tcPr>
            <w:tcW w:w="1786" w:type="dxa"/>
            <w:tcBorders>
              <w:top w:val="single" w:sz="4" w:space="0" w:color="auto"/>
              <w:left w:val="single" w:sz="4" w:space="0" w:color="auto"/>
              <w:bottom w:val="single" w:sz="4" w:space="0" w:color="auto"/>
              <w:right w:val="single" w:sz="4" w:space="0" w:color="auto"/>
            </w:tcBorders>
          </w:tcPr>
          <w:p w:rsidR="00A57414" w:rsidRDefault="00A57414" w:rsidP="00A57414">
            <w:pPr>
              <w:pStyle w:val="TAC"/>
            </w:pPr>
          </w:p>
        </w:tc>
      </w:tr>
      <w:tr w:rsidR="00A57414" w:rsidTr="00A57414">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A57414" w:rsidRDefault="00A57414" w:rsidP="00A57414">
            <w:pPr>
              <w:pStyle w:val="TAC"/>
            </w:pPr>
            <w:r>
              <w:t>28-31</w:t>
            </w:r>
          </w:p>
        </w:tc>
        <w:tc>
          <w:tcPr>
            <w:tcW w:w="2758" w:type="dxa"/>
            <w:tcBorders>
              <w:top w:val="single" w:sz="4" w:space="0" w:color="auto"/>
              <w:left w:val="single" w:sz="4" w:space="0" w:color="auto"/>
              <w:bottom w:val="single" w:sz="4" w:space="0" w:color="auto"/>
              <w:right w:val="single" w:sz="4" w:space="0" w:color="auto"/>
            </w:tcBorders>
            <w:hideMark/>
          </w:tcPr>
          <w:p w:rsidR="00A57414" w:rsidRDefault="00A57414" w:rsidP="00A57414">
            <w:pPr>
              <w:pStyle w:val="TAC"/>
            </w:pPr>
            <w:r>
              <w:t>reserved</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A57414" w:rsidRDefault="00A57414" w:rsidP="00A57414">
            <w:pPr>
              <w:pStyle w:val="TAC"/>
            </w:pPr>
          </w:p>
        </w:tc>
        <w:tc>
          <w:tcPr>
            <w:tcW w:w="2098" w:type="dxa"/>
            <w:tcBorders>
              <w:top w:val="single" w:sz="4" w:space="0" w:color="auto"/>
              <w:left w:val="single" w:sz="4" w:space="0" w:color="auto"/>
              <w:bottom w:val="single" w:sz="4" w:space="0" w:color="auto"/>
              <w:right w:val="single" w:sz="4" w:space="0" w:color="auto"/>
            </w:tcBorders>
          </w:tcPr>
          <w:p w:rsidR="00A57414" w:rsidRDefault="00A57414" w:rsidP="00A57414">
            <w:pPr>
              <w:pStyle w:val="TAC"/>
            </w:pP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A57414" w:rsidRDefault="00A57414" w:rsidP="00A57414">
            <w:pPr>
              <w:pStyle w:val="TAC"/>
            </w:pPr>
          </w:p>
        </w:tc>
        <w:tc>
          <w:tcPr>
            <w:tcW w:w="1786" w:type="dxa"/>
            <w:tcBorders>
              <w:top w:val="single" w:sz="4" w:space="0" w:color="auto"/>
              <w:left w:val="single" w:sz="4" w:space="0" w:color="auto"/>
              <w:bottom w:val="single" w:sz="4" w:space="0" w:color="auto"/>
              <w:right w:val="single" w:sz="4" w:space="0" w:color="auto"/>
            </w:tcBorders>
          </w:tcPr>
          <w:p w:rsidR="00A57414" w:rsidRDefault="00A57414" w:rsidP="00A57414">
            <w:pPr>
              <w:pStyle w:val="TAC"/>
            </w:pPr>
          </w:p>
        </w:tc>
      </w:tr>
    </w:tbl>
    <w:p w:rsidR="00A57414" w:rsidRDefault="00A57414" w:rsidP="00A57414">
      <w:pPr>
        <w:rPr>
          <w:szCs w:val="20"/>
        </w:rPr>
      </w:pPr>
    </w:p>
    <w:p w:rsidR="00A57414" w:rsidRDefault="00A57414" w:rsidP="00A57414">
      <w:pPr>
        <w:jc w:val="both"/>
        <w:rPr>
          <w:rFonts w:ascii="Times New Roman" w:hAnsi="Times New Roman" w:cs="Times New Roman"/>
          <w:sz w:val="20"/>
          <w:szCs w:val="20"/>
        </w:rPr>
      </w:pPr>
      <w:r>
        <w:rPr>
          <w:rFonts w:ascii="Times New Roman" w:hAnsi="Times New Roman" w:cs="Times New Roman"/>
          <w:sz w:val="20"/>
          <w:szCs w:val="20"/>
        </w:rPr>
        <w:t>where highlighted lines are new items to be included for partial/non-coherence capable UE operation. In this case, TPMI=4, layer-1 corresponds to this precoder</w:t>
      </w:r>
    </w:p>
    <w:p w:rsidR="00A57414" w:rsidRDefault="00A57414" w:rsidP="00A57414">
      <w:pPr>
        <w:jc w:val="center"/>
        <w:rPr>
          <w:rFonts w:ascii="Times New Roman" w:hAnsi="Times New Roman" w:cs="Times New Roman"/>
          <w:sz w:val="20"/>
          <w:szCs w:val="20"/>
        </w:rPr>
      </w:pPr>
      <w:r>
        <w:object w:dxaOrig="516" w:dyaOrig="1212">
          <v:shape id="_x0000_i1033" type="#_x0000_t75" style="width:25.9pt;height:60.5pt" o:ole="">
            <v:imagedata r:id="rId30" o:title=""/>
          </v:shape>
          <o:OLEObject Type="Embed" ProgID="Equation.3" ShapeID="_x0000_i1033" DrawAspect="Content" ObjectID="_1615392747" r:id="rId31"/>
        </w:object>
      </w:r>
    </w:p>
    <w:p w:rsidR="00A57414" w:rsidRDefault="00A57414" w:rsidP="00A57414">
      <w:pPr>
        <w:jc w:val="both"/>
        <w:rPr>
          <w:rFonts w:ascii="Times New Roman" w:hAnsi="Times New Roman" w:cs="Times New Roman"/>
          <w:sz w:val="20"/>
          <w:szCs w:val="20"/>
        </w:rPr>
      </w:pPr>
      <w:r>
        <w:rPr>
          <w:rFonts w:ascii="Times New Roman" w:hAnsi="Times New Roman" w:cs="Times New Roman"/>
          <w:sz w:val="20"/>
          <w:szCs w:val="20"/>
        </w:rPr>
        <w:t>for non-coherent Tx, where two of UE’s Tx chain can be used for 1-layer transmission. Also TPMI=12 is related to</w:t>
      </w:r>
    </w:p>
    <w:p w:rsidR="00A57414" w:rsidRDefault="00A57414" w:rsidP="00A57414">
      <w:pPr>
        <w:jc w:val="center"/>
        <w:rPr>
          <w:rFonts w:ascii="Times New Roman" w:hAnsi="Times New Roman" w:cs="Times New Roman"/>
          <w:sz w:val="20"/>
          <w:szCs w:val="20"/>
        </w:rPr>
      </w:pPr>
      <w:r>
        <w:rPr>
          <w:position w:val="-56"/>
        </w:rPr>
        <w:object w:dxaOrig="480" w:dyaOrig="1212">
          <v:shape id="_x0000_i1034" type="#_x0000_t75" style="width:24.2pt;height:60.5pt" o:ole="">
            <v:imagedata r:id="rId32" o:title=""/>
          </v:shape>
          <o:OLEObject Type="Embed" ProgID="Equation.3" ShapeID="_x0000_i1034" DrawAspect="Content" ObjectID="_1615392748" r:id="rId33"/>
        </w:object>
      </w:r>
    </w:p>
    <w:p w:rsidR="00A57414" w:rsidRDefault="00A57414" w:rsidP="00A57414">
      <w:pPr>
        <w:jc w:val="both"/>
        <w:rPr>
          <w:rFonts w:ascii="Times New Roman" w:hAnsi="Times New Roman" w:cs="Times New Roman"/>
          <w:sz w:val="20"/>
          <w:szCs w:val="20"/>
        </w:rPr>
      </w:pPr>
      <w:r>
        <w:rPr>
          <w:rFonts w:ascii="Times New Roman" w:hAnsi="Times New Roman" w:cs="Times New Roman"/>
          <w:sz w:val="20"/>
          <w:szCs w:val="20"/>
        </w:rPr>
        <w:t>w</w:t>
      </w:r>
      <w:r w:rsidRPr="006A0065">
        <w:rPr>
          <w:rFonts w:ascii="Times New Roman" w:hAnsi="Times New Roman" w:cs="Times New Roman"/>
          <w:sz w:val="20"/>
          <w:szCs w:val="20"/>
        </w:rPr>
        <w:t>here</w:t>
      </w:r>
      <w:r>
        <w:rPr>
          <w:rFonts w:ascii="Times New Roman" w:hAnsi="Times New Roman" w:cs="Times New Roman"/>
          <w:sz w:val="20"/>
          <w:szCs w:val="20"/>
        </w:rPr>
        <w:t xml:space="preserve"> all UE’s 4 Tx chains are combined with 1-layer transmission. This solution shall solve the full Tx power transmission issue that the partial/non-coherent UE may experience.</w:t>
      </w:r>
    </w:p>
    <w:p w:rsidR="00A57414" w:rsidRPr="006A0065" w:rsidRDefault="00A57414" w:rsidP="00A57414">
      <w:pPr>
        <w:jc w:val="both"/>
        <w:rPr>
          <w:rFonts w:ascii="Times New Roman" w:hAnsi="Times New Roman" w:cs="Times New Roman"/>
          <w:sz w:val="20"/>
          <w:szCs w:val="20"/>
        </w:rPr>
      </w:pPr>
      <w:r>
        <w:rPr>
          <w:rFonts w:ascii="Times New Roman" w:hAnsi="Times New Roman" w:cs="Times New Roman"/>
          <w:sz w:val="20"/>
          <w:szCs w:val="20"/>
        </w:rPr>
        <w:t>With these solutions, we have this proposal:</w:t>
      </w:r>
    </w:p>
    <w:p w:rsidR="00A57414" w:rsidRPr="00E74FD1" w:rsidRDefault="00A57414" w:rsidP="00A57414">
      <w:pPr>
        <w:jc w:val="both"/>
        <w:rPr>
          <w:rFonts w:ascii="Times New Roman" w:hAnsi="Times New Roman" w:cs="Times New Roman"/>
          <w:b/>
          <w:sz w:val="20"/>
          <w:szCs w:val="20"/>
        </w:rPr>
      </w:pPr>
      <w:r w:rsidRPr="00E74FD1">
        <w:rPr>
          <w:rFonts w:ascii="Times New Roman" w:hAnsi="Times New Roman" w:cs="Times New Roman"/>
          <w:b/>
          <w:sz w:val="20"/>
          <w:szCs w:val="20"/>
        </w:rPr>
        <w:t>Proposal</w:t>
      </w:r>
      <w:r>
        <w:rPr>
          <w:rFonts w:ascii="Times New Roman" w:hAnsi="Times New Roman" w:cs="Times New Roman"/>
          <w:b/>
          <w:sz w:val="20"/>
          <w:szCs w:val="20"/>
        </w:rPr>
        <w:t xml:space="preserve"> 2</w:t>
      </w:r>
      <w:r w:rsidRPr="00E74FD1">
        <w:rPr>
          <w:rFonts w:ascii="Times New Roman" w:hAnsi="Times New Roman" w:cs="Times New Roman"/>
          <w:b/>
          <w:sz w:val="20"/>
          <w:szCs w:val="20"/>
        </w:rPr>
        <w:t xml:space="preserve">: Support </w:t>
      </w:r>
      <w:r>
        <w:rPr>
          <w:rFonts w:ascii="Times New Roman" w:hAnsi="Times New Roman" w:cs="Times New Roman"/>
          <w:b/>
          <w:sz w:val="20"/>
          <w:szCs w:val="20"/>
        </w:rPr>
        <w:t xml:space="preserve">to </w:t>
      </w:r>
      <w:r w:rsidRPr="00E74FD1">
        <w:rPr>
          <w:rFonts w:ascii="Times New Roman" w:hAnsi="Times New Roman" w:cs="Times New Roman"/>
          <w:b/>
          <w:sz w:val="20"/>
          <w:szCs w:val="20"/>
        </w:rPr>
        <w:t>adjust the non-coherent and partial-coherent codebook size</w:t>
      </w:r>
      <w:r>
        <w:rPr>
          <w:rFonts w:ascii="Times New Roman" w:hAnsi="Times New Roman" w:cs="Times New Roman"/>
          <w:b/>
          <w:sz w:val="20"/>
          <w:szCs w:val="20"/>
        </w:rPr>
        <w:t xml:space="preserve"> with a new codebook subset.</w:t>
      </w:r>
    </w:p>
    <w:p w:rsidR="002748BB" w:rsidRDefault="002748BB" w:rsidP="002D32CC">
      <w:pPr>
        <w:rPr>
          <w:rFonts w:ascii="Times New Roman" w:hAnsi="Times New Roman" w:cs="Times New Roman"/>
          <w:sz w:val="20"/>
          <w:szCs w:val="20"/>
        </w:rPr>
      </w:pPr>
    </w:p>
    <w:p w:rsidR="00A57414" w:rsidRPr="00A57414" w:rsidRDefault="00A57414" w:rsidP="00A57414">
      <w:pPr>
        <w:pStyle w:val="Heading2"/>
      </w:pPr>
      <w:r>
        <w:t>2.3</w:t>
      </w:r>
      <w:r>
        <w:tab/>
        <w:t>Power class 2</w:t>
      </w:r>
    </w:p>
    <w:p w:rsidR="00763135" w:rsidRDefault="00BD1450" w:rsidP="002D32CC">
      <w:pPr>
        <w:rPr>
          <w:rFonts w:ascii="Times New Roman" w:hAnsi="Times New Roman" w:cs="Times New Roman"/>
          <w:sz w:val="20"/>
          <w:szCs w:val="20"/>
        </w:rPr>
      </w:pPr>
      <w:r>
        <w:rPr>
          <w:rFonts w:ascii="Times New Roman" w:hAnsi="Times New Roman" w:cs="Times New Roman"/>
          <w:sz w:val="20"/>
          <w:szCs w:val="20"/>
        </w:rPr>
        <w:t>There is an open question on whether this full power transmission is related to PC2. All RAN1 defined UE capabilities, as indicated in agreements, are related to PC3, where 23dBm is considered as the full Tx power. RAN4 provided their inputs related to PC2 PA configurations</w:t>
      </w:r>
      <w:r w:rsidR="00763135">
        <w:rPr>
          <w:rFonts w:ascii="Times New Roman" w:hAnsi="Times New Roman" w:cs="Times New Roman"/>
          <w:sz w:val="20"/>
          <w:szCs w:val="20"/>
        </w:rPr>
        <w:t>:</w:t>
      </w:r>
    </w:p>
    <w:p w:rsidR="00763135" w:rsidRPr="00763135" w:rsidRDefault="00763135" w:rsidP="00763135">
      <w:pPr>
        <w:ind w:left="568"/>
        <w:rPr>
          <w:rFonts w:ascii="Times New Roman" w:hAnsi="Times New Roman" w:cs="Times New Roman"/>
          <w:i/>
          <w:sz w:val="20"/>
          <w:szCs w:val="20"/>
        </w:rPr>
      </w:pPr>
      <w:r w:rsidRPr="00763135">
        <w:rPr>
          <w:rFonts w:ascii="Times New Roman" w:hAnsi="Times New Roman"/>
          <w:i/>
          <w:sz w:val="20"/>
        </w:rPr>
        <w:t>“Only PA configurations of 23+23dBm for UL MIMO and 26dBm for 1Tx are supported by specification for NR TDD bands for PC2 UE in Rel-15”</w:t>
      </w:r>
    </w:p>
    <w:p w:rsidR="00EB1DD0" w:rsidRDefault="00BD1450" w:rsidP="002D32CC">
      <w:pPr>
        <w:rPr>
          <w:rFonts w:ascii="Times New Roman" w:hAnsi="Times New Roman" w:cs="Times New Roman"/>
          <w:sz w:val="20"/>
          <w:szCs w:val="20"/>
        </w:rPr>
      </w:pPr>
      <w:r>
        <w:rPr>
          <w:rFonts w:ascii="Times New Roman" w:hAnsi="Times New Roman" w:cs="Times New Roman"/>
          <w:sz w:val="20"/>
          <w:szCs w:val="20"/>
        </w:rPr>
        <w:lastRenderedPageBreak/>
        <w:t>Although the original motivation of this WID topic is to find the solution for more common PC3 UE, the basic approach can be applied to PC</w:t>
      </w:r>
      <w:r w:rsidR="00763135">
        <w:rPr>
          <w:rFonts w:ascii="Times New Roman" w:hAnsi="Times New Roman" w:cs="Times New Roman"/>
          <w:sz w:val="20"/>
          <w:szCs w:val="20"/>
        </w:rPr>
        <w:t>2</w:t>
      </w:r>
      <w:r>
        <w:rPr>
          <w:rFonts w:ascii="Times New Roman" w:hAnsi="Times New Roman" w:cs="Times New Roman"/>
          <w:sz w:val="20"/>
          <w:szCs w:val="20"/>
        </w:rPr>
        <w:t xml:space="preserve"> as well, at least for 2Tx UE, where RAN4 has its clear definition and requirements. With this, we can propose to extend the possible PC3 solution to PC2, at least for 2Tx UE.</w:t>
      </w:r>
    </w:p>
    <w:p w:rsidR="00BD1450" w:rsidRPr="00BD1450" w:rsidRDefault="00BD1450" w:rsidP="002D32CC">
      <w:pPr>
        <w:rPr>
          <w:rFonts w:ascii="Times New Roman" w:hAnsi="Times New Roman" w:cs="Times New Roman"/>
          <w:b/>
          <w:sz w:val="20"/>
          <w:szCs w:val="20"/>
        </w:rPr>
      </w:pPr>
      <w:r w:rsidRPr="00BD1450">
        <w:rPr>
          <w:rFonts w:ascii="Times New Roman" w:hAnsi="Times New Roman" w:cs="Times New Roman"/>
          <w:b/>
          <w:sz w:val="20"/>
          <w:szCs w:val="20"/>
        </w:rPr>
        <w:t>Proposal 3:</w:t>
      </w:r>
      <w:r w:rsidRPr="00BD1450">
        <w:rPr>
          <w:rFonts w:ascii="Times New Roman" w:hAnsi="Times New Roman" w:cs="Times New Roman"/>
          <w:b/>
          <w:sz w:val="20"/>
          <w:szCs w:val="20"/>
        </w:rPr>
        <w:tab/>
        <w:t>Support to extend the solution of UE capability 2 to power class 2 UE, at least for 2Tx UE.</w:t>
      </w:r>
    </w:p>
    <w:p w:rsidR="00DE3890" w:rsidRDefault="00DE3890" w:rsidP="00BC27A2">
      <w:pPr>
        <w:jc w:val="both"/>
        <w:rPr>
          <w:rFonts w:ascii="Times New Roman" w:hAnsi="Times New Roman" w:cs="Times New Roman"/>
          <w:sz w:val="20"/>
          <w:szCs w:val="20"/>
        </w:rPr>
      </w:pPr>
    </w:p>
    <w:p w:rsidR="00930825" w:rsidRDefault="003673B3" w:rsidP="00B12B1E">
      <w:pPr>
        <w:pStyle w:val="Heading1"/>
        <w:jc w:val="both"/>
      </w:pPr>
      <w:r>
        <w:t>3</w:t>
      </w:r>
      <w:r w:rsidR="00930825">
        <w:tab/>
        <w:t>Conclusion</w:t>
      </w:r>
      <w:r w:rsidR="00B47610">
        <w:t>s</w:t>
      </w:r>
    </w:p>
    <w:p w:rsidR="00763135" w:rsidRDefault="00763135" w:rsidP="002B7F6C">
      <w:pPr>
        <w:jc w:val="both"/>
        <w:rPr>
          <w:rFonts w:ascii="Times New Roman" w:hAnsi="Times New Roman" w:cs="Times New Roman"/>
          <w:sz w:val="20"/>
          <w:szCs w:val="20"/>
        </w:rPr>
      </w:pPr>
      <w:r>
        <w:rPr>
          <w:rFonts w:ascii="Times New Roman" w:hAnsi="Times New Roman" w:cs="Times New Roman"/>
          <w:sz w:val="20"/>
          <w:szCs w:val="20"/>
        </w:rPr>
        <w:t>This contribution discusses these issues related to full power UL transmission:</w:t>
      </w:r>
    </w:p>
    <w:p w:rsidR="00763135" w:rsidRDefault="00763135" w:rsidP="00763135">
      <w:pPr>
        <w:pStyle w:val="ListParagraph"/>
        <w:numPr>
          <w:ilvl w:val="0"/>
          <w:numId w:val="41"/>
        </w:numPr>
        <w:rPr>
          <w:rFonts w:ascii="Times New Roman" w:hAnsi="Times New Roman" w:cs="Times New Roman"/>
          <w:sz w:val="20"/>
          <w:szCs w:val="20"/>
        </w:rPr>
      </w:pPr>
      <w:r>
        <w:rPr>
          <w:rFonts w:ascii="Times New Roman" w:hAnsi="Times New Roman" w:cs="Times New Roman"/>
          <w:sz w:val="20"/>
          <w:szCs w:val="20"/>
        </w:rPr>
        <w:t>Full power UL capability for the 3 UE capabilities;</w:t>
      </w:r>
    </w:p>
    <w:p w:rsidR="00763135" w:rsidRDefault="00763135" w:rsidP="00763135">
      <w:pPr>
        <w:pStyle w:val="ListParagraph"/>
        <w:numPr>
          <w:ilvl w:val="0"/>
          <w:numId w:val="41"/>
        </w:numPr>
        <w:rPr>
          <w:rFonts w:ascii="Times New Roman" w:hAnsi="Times New Roman" w:cs="Times New Roman"/>
          <w:sz w:val="20"/>
          <w:szCs w:val="20"/>
        </w:rPr>
      </w:pPr>
      <w:r>
        <w:rPr>
          <w:rFonts w:ascii="Times New Roman" w:hAnsi="Times New Roman" w:cs="Times New Roman"/>
          <w:sz w:val="20"/>
          <w:szCs w:val="20"/>
        </w:rPr>
        <w:t>Full power Tx solutions for UE capability 2;</w:t>
      </w:r>
    </w:p>
    <w:p w:rsidR="00763135" w:rsidRPr="00763135" w:rsidRDefault="00763135" w:rsidP="00763135">
      <w:pPr>
        <w:pStyle w:val="ListParagraph"/>
        <w:numPr>
          <w:ilvl w:val="0"/>
          <w:numId w:val="41"/>
        </w:numPr>
        <w:rPr>
          <w:rFonts w:ascii="Times New Roman" w:hAnsi="Times New Roman" w:cs="Times New Roman"/>
          <w:sz w:val="20"/>
          <w:szCs w:val="20"/>
        </w:rPr>
      </w:pPr>
      <w:r w:rsidRPr="00763135">
        <w:rPr>
          <w:rFonts w:ascii="Times New Roman" w:hAnsi="Times New Roman" w:cs="Times New Roman"/>
          <w:sz w:val="20"/>
          <w:szCs w:val="20"/>
        </w:rPr>
        <w:t>UE PC2 relevancy for full power UL transmission.</w:t>
      </w:r>
    </w:p>
    <w:p w:rsidR="00D60C0C" w:rsidRDefault="002C764B" w:rsidP="002B7F6C">
      <w:pPr>
        <w:jc w:val="both"/>
        <w:rPr>
          <w:rFonts w:ascii="Times New Roman" w:hAnsi="Times New Roman" w:cs="Times New Roman"/>
          <w:sz w:val="20"/>
          <w:szCs w:val="20"/>
        </w:rPr>
      </w:pPr>
      <w:r>
        <w:rPr>
          <w:rFonts w:ascii="Times New Roman" w:hAnsi="Times New Roman" w:cs="Times New Roman"/>
          <w:sz w:val="20"/>
          <w:szCs w:val="20"/>
        </w:rPr>
        <w:t xml:space="preserve">We have these </w:t>
      </w:r>
      <w:r w:rsidR="00F23F38">
        <w:rPr>
          <w:rFonts w:ascii="Times New Roman" w:hAnsi="Times New Roman" w:cs="Times New Roman"/>
          <w:sz w:val="20"/>
          <w:szCs w:val="20"/>
        </w:rPr>
        <w:t xml:space="preserve">observations and </w:t>
      </w:r>
      <w:r>
        <w:rPr>
          <w:rFonts w:ascii="Times New Roman" w:hAnsi="Times New Roman" w:cs="Times New Roman"/>
          <w:sz w:val="20"/>
          <w:szCs w:val="20"/>
        </w:rPr>
        <w:t>proposals:</w:t>
      </w:r>
    </w:p>
    <w:p w:rsidR="00F23F38" w:rsidRDefault="00F23F38" w:rsidP="00F23F38">
      <w:pPr>
        <w:jc w:val="both"/>
        <w:rPr>
          <w:rFonts w:ascii="Times New Roman" w:hAnsi="Times New Roman" w:cs="Times New Roman"/>
          <w:b/>
          <w:sz w:val="20"/>
          <w:szCs w:val="20"/>
        </w:rPr>
      </w:pPr>
      <w:r w:rsidRPr="00077424">
        <w:rPr>
          <w:rFonts w:ascii="Times New Roman" w:hAnsi="Times New Roman" w:cs="Times New Roman"/>
          <w:b/>
          <w:sz w:val="20"/>
          <w:szCs w:val="20"/>
        </w:rPr>
        <w:t>Observation 1: No full power Tx solution is needed for UE capability 1.</w:t>
      </w:r>
    </w:p>
    <w:p w:rsidR="00763135" w:rsidRDefault="00763135" w:rsidP="00F23F38">
      <w:pPr>
        <w:jc w:val="both"/>
        <w:rPr>
          <w:rFonts w:ascii="Times New Roman" w:hAnsi="Times New Roman" w:cs="Times New Roman"/>
          <w:b/>
          <w:sz w:val="20"/>
          <w:szCs w:val="20"/>
        </w:rPr>
      </w:pPr>
      <w:r w:rsidRPr="002748BB">
        <w:rPr>
          <w:rFonts w:ascii="Times New Roman" w:hAnsi="Times New Roman" w:cs="Times New Roman"/>
          <w:b/>
          <w:sz w:val="20"/>
          <w:szCs w:val="20"/>
        </w:rPr>
        <w:t>Observation 2: There is overlap between UE capability 2 and UE capability 3.</w:t>
      </w:r>
    </w:p>
    <w:p w:rsidR="00763135" w:rsidRPr="00E86E48" w:rsidRDefault="00763135" w:rsidP="00763135">
      <w:pPr>
        <w:jc w:val="both"/>
        <w:rPr>
          <w:rFonts w:ascii="Times New Roman" w:hAnsi="Times New Roman" w:cs="Times New Roman"/>
          <w:b/>
          <w:sz w:val="20"/>
          <w:szCs w:val="20"/>
        </w:rPr>
      </w:pPr>
      <w:r w:rsidRPr="00E86E48">
        <w:rPr>
          <w:rFonts w:ascii="Times New Roman" w:hAnsi="Times New Roman" w:cs="Times New Roman"/>
          <w:b/>
          <w:sz w:val="20"/>
          <w:szCs w:val="20"/>
        </w:rPr>
        <w:t>Proposal 1: Confirm the Working Assumption that for PC3, UE capability 2 can support full power transmission.</w:t>
      </w:r>
    </w:p>
    <w:p w:rsidR="00763135" w:rsidRPr="00E74FD1" w:rsidRDefault="00763135" w:rsidP="00763135">
      <w:pPr>
        <w:jc w:val="both"/>
        <w:rPr>
          <w:rFonts w:ascii="Times New Roman" w:hAnsi="Times New Roman" w:cs="Times New Roman"/>
          <w:b/>
          <w:sz w:val="20"/>
          <w:szCs w:val="20"/>
        </w:rPr>
      </w:pPr>
      <w:r w:rsidRPr="00E74FD1">
        <w:rPr>
          <w:rFonts w:ascii="Times New Roman" w:hAnsi="Times New Roman" w:cs="Times New Roman"/>
          <w:b/>
          <w:sz w:val="20"/>
          <w:szCs w:val="20"/>
        </w:rPr>
        <w:t>Proposal</w:t>
      </w:r>
      <w:r>
        <w:rPr>
          <w:rFonts w:ascii="Times New Roman" w:hAnsi="Times New Roman" w:cs="Times New Roman"/>
          <w:b/>
          <w:sz w:val="20"/>
          <w:szCs w:val="20"/>
        </w:rPr>
        <w:t xml:space="preserve"> 2</w:t>
      </w:r>
      <w:r w:rsidRPr="00E74FD1">
        <w:rPr>
          <w:rFonts w:ascii="Times New Roman" w:hAnsi="Times New Roman" w:cs="Times New Roman"/>
          <w:b/>
          <w:sz w:val="20"/>
          <w:szCs w:val="20"/>
        </w:rPr>
        <w:t xml:space="preserve">: Support </w:t>
      </w:r>
      <w:r>
        <w:rPr>
          <w:rFonts w:ascii="Times New Roman" w:hAnsi="Times New Roman" w:cs="Times New Roman"/>
          <w:b/>
          <w:sz w:val="20"/>
          <w:szCs w:val="20"/>
        </w:rPr>
        <w:t xml:space="preserve">to </w:t>
      </w:r>
      <w:r w:rsidRPr="00E74FD1">
        <w:rPr>
          <w:rFonts w:ascii="Times New Roman" w:hAnsi="Times New Roman" w:cs="Times New Roman"/>
          <w:b/>
          <w:sz w:val="20"/>
          <w:szCs w:val="20"/>
        </w:rPr>
        <w:t>adjust the non-coherent and partial-coherent codebook size</w:t>
      </w:r>
      <w:r>
        <w:rPr>
          <w:rFonts w:ascii="Times New Roman" w:hAnsi="Times New Roman" w:cs="Times New Roman"/>
          <w:b/>
          <w:sz w:val="20"/>
          <w:szCs w:val="20"/>
        </w:rPr>
        <w:t xml:space="preserve"> with a new codebook subset.</w:t>
      </w:r>
    </w:p>
    <w:p w:rsidR="00763135" w:rsidRPr="00BD1450" w:rsidRDefault="00763135" w:rsidP="00763135">
      <w:pPr>
        <w:rPr>
          <w:rFonts w:ascii="Times New Roman" w:hAnsi="Times New Roman" w:cs="Times New Roman"/>
          <w:b/>
          <w:sz w:val="20"/>
          <w:szCs w:val="20"/>
        </w:rPr>
      </w:pPr>
      <w:r w:rsidRPr="00BD1450">
        <w:rPr>
          <w:rFonts w:ascii="Times New Roman" w:hAnsi="Times New Roman" w:cs="Times New Roman"/>
          <w:b/>
          <w:sz w:val="20"/>
          <w:szCs w:val="20"/>
        </w:rPr>
        <w:t>Proposal 3:</w:t>
      </w:r>
      <w:r>
        <w:rPr>
          <w:rFonts w:ascii="Times New Roman" w:hAnsi="Times New Roman" w:cs="Times New Roman"/>
          <w:b/>
          <w:sz w:val="20"/>
          <w:szCs w:val="20"/>
        </w:rPr>
        <w:t xml:space="preserve"> </w:t>
      </w:r>
      <w:r w:rsidRPr="00BD1450">
        <w:rPr>
          <w:rFonts w:ascii="Times New Roman" w:hAnsi="Times New Roman" w:cs="Times New Roman"/>
          <w:b/>
          <w:sz w:val="20"/>
          <w:szCs w:val="20"/>
        </w:rPr>
        <w:t>Support to extend the solution of UE capability 2 to power class 2 UE, at least for 2Tx UE.</w:t>
      </w:r>
    </w:p>
    <w:p w:rsidR="00763135" w:rsidRDefault="00763135" w:rsidP="00F23F38">
      <w:pPr>
        <w:jc w:val="both"/>
        <w:rPr>
          <w:rFonts w:ascii="Times New Roman" w:hAnsi="Times New Roman" w:cs="Times New Roman"/>
          <w:b/>
          <w:sz w:val="20"/>
          <w:szCs w:val="20"/>
        </w:rPr>
      </w:pPr>
    </w:p>
    <w:p w:rsidR="00453A60" w:rsidRPr="00791982" w:rsidRDefault="00453A60" w:rsidP="00B12B1E">
      <w:pPr>
        <w:pStyle w:val="Heading1"/>
        <w:jc w:val="both"/>
      </w:pPr>
      <w:r w:rsidRPr="00E86042">
        <w:t>References</w:t>
      </w:r>
    </w:p>
    <w:p w:rsidR="00E97ABD" w:rsidRDefault="00E97ABD"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F23F38">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 xml:space="preserve">RAN1 #95 meeting, Chair’s notes, </w:t>
      </w:r>
      <w:r w:rsidR="008E44C4">
        <w:rPr>
          <w:rFonts w:ascii="Times New Roman" w:hAnsi="Times New Roman" w:cs="Times New Roman"/>
          <w:sz w:val="20"/>
          <w:szCs w:val="20"/>
        </w:rPr>
        <w:t>November</w:t>
      </w:r>
      <w:r>
        <w:rPr>
          <w:rFonts w:ascii="Times New Roman" w:hAnsi="Times New Roman" w:cs="Times New Roman"/>
          <w:sz w:val="20"/>
          <w:szCs w:val="20"/>
        </w:rPr>
        <w:t xml:space="preserve"> 2018</w:t>
      </w:r>
    </w:p>
    <w:p w:rsidR="00F23F38" w:rsidRDefault="00F23F38"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RAN1 ad hoc #1901 meeting, Chair’s notes, </w:t>
      </w:r>
      <w:r w:rsidR="008E44C4">
        <w:rPr>
          <w:rFonts w:ascii="Times New Roman" w:hAnsi="Times New Roman" w:cs="Times New Roman"/>
          <w:sz w:val="20"/>
          <w:szCs w:val="20"/>
        </w:rPr>
        <w:t>January</w:t>
      </w:r>
      <w:r>
        <w:rPr>
          <w:rFonts w:ascii="Times New Roman" w:hAnsi="Times New Roman" w:cs="Times New Roman"/>
          <w:sz w:val="20"/>
          <w:szCs w:val="20"/>
        </w:rPr>
        <w:t xml:space="preserve"> 2019</w:t>
      </w:r>
    </w:p>
    <w:p w:rsidR="00EB1DD0" w:rsidRDefault="00EB1DD0"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 xml:space="preserve">RAN1 #96 meeting, Chair’s notes, </w:t>
      </w:r>
      <w:r w:rsidR="008E44C4">
        <w:rPr>
          <w:rFonts w:ascii="Times New Roman" w:hAnsi="Times New Roman" w:cs="Times New Roman"/>
          <w:sz w:val="20"/>
          <w:szCs w:val="20"/>
        </w:rPr>
        <w:t>February</w:t>
      </w:r>
      <w:r>
        <w:rPr>
          <w:rFonts w:ascii="Times New Roman" w:hAnsi="Times New Roman" w:cs="Times New Roman"/>
          <w:sz w:val="20"/>
          <w:szCs w:val="20"/>
        </w:rPr>
        <w:t xml:space="preserve"> 2019</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w:t>
      </w:r>
      <w:r w:rsidR="00EB1DD0">
        <w:rPr>
          <w:rFonts w:ascii="Times New Roman" w:hAnsi="Times New Roman" w:cs="Times New Roman"/>
          <w:sz w:val="20"/>
          <w:szCs w:val="20"/>
        </w:rPr>
        <w:t>4</w:t>
      </w:r>
      <w:r w:rsidRPr="00C40A08">
        <w:rPr>
          <w:rFonts w:ascii="Times New Roman" w:hAnsi="Times New Roman" w:cs="Times New Roman"/>
          <w:sz w:val="20"/>
          <w:szCs w:val="20"/>
        </w:rPr>
        <w:t>]</w:t>
      </w:r>
      <w:r w:rsidRPr="00C40A08">
        <w:rPr>
          <w:rFonts w:ascii="Times New Roman" w:hAnsi="Times New Roman" w:cs="Times New Roman"/>
          <w:sz w:val="20"/>
          <w:szCs w:val="20"/>
        </w:rPr>
        <w:tab/>
      </w:r>
      <w:r w:rsidR="00577EEA">
        <w:rPr>
          <w:rFonts w:ascii="Times New Roman" w:hAnsi="Times New Roman" w:cs="Times New Roman"/>
          <w:sz w:val="20"/>
          <w:szCs w:val="20"/>
        </w:rPr>
        <w:t xml:space="preserve">RP-182067, Revised WID: enhancements on MIMO for NR, RAN #81, </w:t>
      </w:r>
      <w:r w:rsidR="008E44C4">
        <w:rPr>
          <w:rFonts w:ascii="Times New Roman" w:hAnsi="Times New Roman" w:cs="Times New Roman"/>
          <w:sz w:val="20"/>
          <w:szCs w:val="20"/>
        </w:rPr>
        <w:t>September</w:t>
      </w:r>
      <w:r w:rsidR="00577EEA">
        <w:rPr>
          <w:rFonts w:ascii="Times New Roman" w:hAnsi="Times New Roman" w:cs="Times New Roman"/>
          <w:sz w:val="20"/>
          <w:szCs w:val="20"/>
        </w:rPr>
        <w:t xml:space="preserve"> 2018</w:t>
      </w:r>
    </w:p>
    <w:p w:rsidR="00D853FD" w:rsidRDefault="00D853FD"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EB1DD0">
        <w:rPr>
          <w:rFonts w:ascii="Times New Roman" w:hAnsi="Times New Roman" w:cs="Times New Roman"/>
          <w:sz w:val="20"/>
          <w:szCs w:val="20"/>
        </w:rPr>
        <w:t>5</w:t>
      </w:r>
      <w:r>
        <w:rPr>
          <w:rFonts w:ascii="Times New Roman" w:hAnsi="Times New Roman" w:cs="Times New Roman"/>
          <w:sz w:val="20"/>
          <w:szCs w:val="20"/>
        </w:rPr>
        <w:t>]</w:t>
      </w:r>
      <w:r w:rsidR="00EB1DD0">
        <w:rPr>
          <w:rFonts w:ascii="Times New Roman" w:hAnsi="Times New Roman" w:cs="Times New Roman"/>
          <w:sz w:val="20"/>
          <w:szCs w:val="20"/>
        </w:rPr>
        <w:tab/>
      </w:r>
      <w:r w:rsidR="00EB1DD0" w:rsidRPr="00EB1DD0">
        <w:rPr>
          <w:rFonts w:ascii="Times New Roman" w:hAnsi="Times New Roman" w:cs="Times New Roman"/>
          <w:sz w:val="20"/>
          <w:szCs w:val="20"/>
        </w:rPr>
        <w:t>R4-1902497</w:t>
      </w:r>
      <w:r w:rsidR="00EB1DD0">
        <w:rPr>
          <w:rFonts w:ascii="Times New Roman" w:hAnsi="Times New Roman" w:cs="Times New Roman"/>
          <w:sz w:val="20"/>
          <w:szCs w:val="20"/>
        </w:rPr>
        <w:t xml:space="preserve">, </w:t>
      </w:r>
      <w:r w:rsidR="00EB1DD0" w:rsidRPr="00EB1DD0">
        <w:rPr>
          <w:rFonts w:ascii="Times New Roman" w:hAnsi="Times New Roman" w:cs="Times New Roman"/>
          <w:sz w:val="20"/>
          <w:szCs w:val="20"/>
        </w:rPr>
        <w:t>Reply LS on new UE capability for Full TX power UL transmission</w:t>
      </w:r>
      <w:r w:rsidR="00EB1DD0">
        <w:rPr>
          <w:rFonts w:ascii="Times New Roman" w:hAnsi="Times New Roman" w:cs="Times New Roman"/>
          <w:sz w:val="20"/>
          <w:szCs w:val="20"/>
        </w:rPr>
        <w:t xml:space="preserve">, RAN4, RAN4 #90, </w:t>
      </w:r>
      <w:r w:rsidR="008E44C4">
        <w:rPr>
          <w:rFonts w:ascii="Times New Roman" w:hAnsi="Times New Roman" w:cs="Times New Roman"/>
          <w:sz w:val="20"/>
          <w:szCs w:val="20"/>
        </w:rPr>
        <w:t>February</w:t>
      </w:r>
      <w:r w:rsidR="00EB1DD0">
        <w:rPr>
          <w:rFonts w:ascii="Times New Roman" w:hAnsi="Times New Roman" w:cs="Times New Roman"/>
          <w:sz w:val="20"/>
          <w:szCs w:val="20"/>
        </w:rPr>
        <w:t xml:space="preserve"> 2019</w:t>
      </w:r>
    </w:p>
    <w:p w:rsidR="00D853FD" w:rsidRDefault="00D853FD"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ab/>
      </w:r>
    </w:p>
    <w:p w:rsidR="00577EEA" w:rsidRDefault="00577EEA" w:rsidP="00B12B1E">
      <w:pPr>
        <w:ind w:left="540" w:hanging="540"/>
        <w:jc w:val="both"/>
        <w:rPr>
          <w:rFonts w:ascii="Times New Roman" w:hAnsi="Times New Roman" w:cs="Times New Roman"/>
          <w:sz w:val="20"/>
          <w:szCs w:val="20"/>
        </w:rPr>
      </w:pPr>
    </w:p>
    <w:p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3CCD" w:rsidRDefault="00753CCD">
      <w:r>
        <w:separator/>
      </w:r>
    </w:p>
  </w:endnote>
  <w:endnote w:type="continuationSeparator" w:id="0">
    <w:p w:rsidR="00753CCD" w:rsidRDefault="0075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3CCD" w:rsidRDefault="00753CCD">
      <w:r>
        <w:separator/>
      </w:r>
    </w:p>
  </w:footnote>
  <w:footnote w:type="continuationSeparator" w:id="0">
    <w:p w:rsidR="00753CCD" w:rsidRDefault="00753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pt;height:9.2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2236B"/>
    <w:multiLevelType w:val="hybridMultilevel"/>
    <w:tmpl w:val="9C76F73E"/>
    <w:lvl w:ilvl="0" w:tplc="64265C0C">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23735"/>
    <w:multiLevelType w:val="hybridMultilevel"/>
    <w:tmpl w:val="23EC7148"/>
    <w:lvl w:ilvl="0" w:tplc="B2D06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cs="Times New Roman" w:hint="default"/>
      </w:rPr>
    </w:lvl>
    <w:lvl w:ilvl="1" w:tplc="AC4C9352">
      <w:start w:val="7052"/>
      <w:numFmt w:val="bullet"/>
      <w:lvlText w:val="•"/>
      <w:lvlJc w:val="left"/>
      <w:pPr>
        <w:tabs>
          <w:tab w:val="num" w:pos="1440"/>
        </w:tabs>
        <w:ind w:left="1440" w:hanging="360"/>
      </w:pPr>
      <w:rPr>
        <w:rFonts w:ascii="Arial" w:hAnsi="Arial" w:cs="Times New Roman" w:hint="default"/>
      </w:rPr>
    </w:lvl>
    <w:lvl w:ilvl="2" w:tplc="24063E78">
      <w:start w:val="7052"/>
      <w:numFmt w:val="bullet"/>
      <w:lvlText w:val="•"/>
      <w:lvlJc w:val="left"/>
      <w:pPr>
        <w:tabs>
          <w:tab w:val="num" w:pos="2160"/>
        </w:tabs>
        <w:ind w:left="2160" w:hanging="360"/>
      </w:pPr>
      <w:rPr>
        <w:rFonts w:ascii="Arial" w:hAnsi="Arial" w:cs="Times New Roman" w:hint="default"/>
      </w:rPr>
    </w:lvl>
    <w:lvl w:ilvl="3" w:tplc="DE74B7B6">
      <w:start w:val="1"/>
      <w:numFmt w:val="bullet"/>
      <w:lvlText w:val="•"/>
      <w:lvlJc w:val="left"/>
      <w:pPr>
        <w:tabs>
          <w:tab w:val="num" w:pos="2880"/>
        </w:tabs>
        <w:ind w:left="2880" w:hanging="360"/>
      </w:pPr>
      <w:rPr>
        <w:rFonts w:ascii="Arial" w:hAnsi="Arial" w:cs="Times New Roman" w:hint="default"/>
      </w:rPr>
    </w:lvl>
    <w:lvl w:ilvl="4" w:tplc="4B08F114">
      <w:start w:val="1"/>
      <w:numFmt w:val="bullet"/>
      <w:lvlText w:val="•"/>
      <w:lvlJc w:val="left"/>
      <w:pPr>
        <w:tabs>
          <w:tab w:val="num" w:pos="3600"/>
        </w:tabs>
        <w:ind w:left="3600" w:hanging="360"/>
      </w:pPr>
      <w:rPr>
        <w:rFonts w:ascii="Arial" w:hAnsi="Arial" w:cs="Times New Roman" w:hint="default"/>
      </w:rPr>
    </w:lvl>
    <w:lvl w:ilvl="5" w:tplc="0E6A6B70">
      <w:start w:val="1"/>
      <w:numFmt w:val="bullet"/>
      <w:lvlText w:val="•"/>
      <w:lvlJc w:val="left"/>
      <w:pPr>
        <w:tabs>
          <w:tab w:val="num" w:pos="4320"/>
        </w:tabs>
        <w:ind w:left="4320" w:hanging="360"/>
      </w:pPr>
      <w:rPr>
        <w:rFonts w:ascii="Arial" w:hAnsi="Arial" w:cs="Times New Roman" w:hint="default"/>
      </w:rPr>
    </w:lvl>
    <w:lvl w:ilvl="6" w:tplc="10249B8E">
      <w:start w:val="1"/>
      <w:numFmt w:val="bullet"/>
      <w:lvlText w:val="•"/>
      <w:lvlJc w:val="left"/>
      <w:pPr>
        <w:tabs>
          <w:tab w:val="num" w:pos="5040"/>
        </w:tabs>
        <w:ind w:left="5040" w:hanging="360"/>
      </w:pPr>
      <w:rPr>
        <w:rFonts w:ascii="Arial" w:hAnsi="Arial" w:cs="Times New Roman" w:hint="default"/>
      </w:rPr>
    </w:lvl>
    <w:lvl w:ilvl="7" w:tplc="0EA640D0">
      <w:start w:val="1"/>
      <w:numFmt w:val="bullet"/>
      <w:lvlText w:val="•"/>
      <w:lvlJc w:val="left"/>
      <w:pPr>
        <w:tabs>
          <w:tab w:val="num" w:pos="5760"/>
        </w:tabs>
        <w:ind w:left="5760" w:hanging="360"/>
      </w:pPr>
      <w:rPr>
        <w:rFonts w:ascii="Arial" w:hAnsi="Arial" w:cs="Times New Roman" w:hint="default"/>
      </w:rPr>
    </w:lvl>
    <w:lvl w:ilvl="8" w:tplc="D76268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F081A"/>
    <w:multiLevelType w:val="hybridMultilevel"/>
    <w:tmpl w:val="C4BAAC12"/>
    <w:lvl w:ilvl="0" w:tplc="7BCA63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3"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4D0F98"/>
    <w:multiLevelType w:val="hybridMultilevel"/>
    <w:tmpl w:val="9D86A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723146"/>
    <w:multiLevelType w:val="hybridMultilevel"/>
    <w:tmpl w:val="9A96FDF0"/>
    <w:lvl w:ilvl="0" w:tplc="CB90EB68">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5"/>
  </w:num>
  <w:num w:numId="2">
    <w:abstractNumId w:val="8"/>
  </w:num>
  <w:num w:numId="3">
    <w:abstractNumId w:val="13"/>
  </w:num>
  <w:num w:numId="4">
    <w:abstractNumId w:val="20"/>
  </w:num>
  <w:num w:numId="5">
    <w:abstractNumId w:val="39"/>
  </w:num>
  <w:num w:numId="6">
    <w:abstractNumId w:val="14"/>
  </w:num>
  <w:num w:numId="7">
    <w:abstractNumId w:val="37"/>
  </w:num>
  <w:num w:numId="8">
    <w:abstractNumId w:val="38"/>
  </w:num>
  <w:num w:numId="9">
    <w:abstractNumId w:val="0"/>
  </w:num>
  <w:num w:numId="10">
    <w:abstractNumId w:val="21"/>
  </w:num>
  <w:num w:numId="11">
    <w:abstractNumId w:val="5"/>
  </w:num>
  <w:num w:numId="12">
    <w:abstractNumId w:val="24"/>
  </w:num>
  <w:num w:numId="13">
    <w:abstractNumId w:val="36"/>
  </w:num>
  <w:num w:numId="14">
    <w:abstractNumId w:val="26"/>
  </w:num>
  <w:num w:numId="15">
    <w:abstractNumId w:val="23"/>
  </w:num>
  <w:num w:numId="16">
    <w:abstractNumId w:val="4"/>
  </w:num>
  <w:num w:numId="17">
    <w:abstractNumId w:val="2"/>
  </w:num>
  <w:num w:numId="18">
    <w:abstractNumId w:val="7"/>
  </w:num>
  <w:num w:numId="19">
    <w:abstractNumId w:val="35"/>
  </w:num>
  <w:num w:numId="20">
    <w:abstractNumId w:val="17"/>
  </w:num>
  <w:num w:numId="21">
    <w:abstractNumId w:val="18"/>
  </w:num>
  <w:num w:numId="22">
    <w:abstractNumId w:val="3"/>
  </w:num>
  <w:num w:numId="23">
    <w:abstractNumId w:val="30"/>
  </w:num>
  <w:num w:numId="24">
    <w:abstractNumId w:val="28"/>
  </w:num>
  <w:num w:numId="25">
    <w:abstractNumId w:val="25"/>
  </w:num>
  <w:num w:numId="26">
    <w:abstractNumId w:val="40"/>
  </w:num>
  <w:num w:numId="27">
    <w:abstractNumId w:val="11"/>
  </w:num>
  <w:num w:numId="28">
    <w:abstractNumId w:val="22"/>
  </w:num>
  <w:num w:numId="29">
    <w:abstractNumId w:val="27"/>
  </w:num>
  <w:num w:numId="30">
    <w:abstractNumId w:val="10"/>
  </w:num>
  <w:num w:numId="31">
    <w:abstractNumId w:val="9"/>
  </w:num>
  <w:num w:numId="32">
    <w:abstractNumId w:val="16"/>
  </w:num>
  <w:num w:numId="33">
    <w:abstractNumId w:val="1"/>
  </w:num>
  <w:num w:numId="34">
    <w:abstractNumId w:val="31"/>
  </w:num>
  <w:num w:numId="35">
    <w:abstractNumId w:val="6"/>
  </w:num>
  <w:num w:numId="36">
    <w:abstractNumId w:val="32"/>
  </w:num>
  <w:num w:numId="37">
    <w:abstractNumId w:val="29"/>
  </w:num>
  <w:num w:numId="38">
    <w:abstractNumId w:val="33"/>
  </w:num>
  <w:num w:numId="39">
    <w:abstractNumId w:val="34"/>
  </w:num>
  <w:num w:numId="40">
    <w:abstractNumId w:val="12"/>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57A6"/>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5C1"/>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77424"/>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87BD9"/>
    <w:rsid w:val="001900A2"/>
    <w:rsid w:val="00190F29"/>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2F2C"/>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EC7"/>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48BB"/>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644"/>
    <w:rsid w:val="002C180A"/>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43"/>
    <w:rsid w:val="00312CEC"/>
    <w:rsid w:val="00313A59"/>
    <w:rsid w:val="00313A5B"/>
    <w:rsid w:val="00313CB0"/>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02A"/>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5154"/>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3CCD"/>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135"/>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4C4"/>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679"/>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414"/>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090"/>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3AE3"/>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5CF"/>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450"/>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150"/>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3D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B8F"/>
    <w:rsid w:val="00D15C2E"/>
    <w:rsid w:val="00D1678E"/>
    <w:rsid w:val="00D173F5"/>
    <w:rsid w:val="00D17426"/>
    <w:rsid w:val="00D17431"/>
    <w:rsid w:val="00D17727"/>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3F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2B0D"/>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0EB1"/>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846"/>
    <w:rsid w:val="00E71E56"/>
    <w:rsid w:val="00E723A7"/>
    <w:rsid w:val="00E729DE"/>
    <w:rsid w:val="00E7338E"/>
    <w:rsid w:val="00E73EAD"/>
    <w:rsid w:val="00E74212"/>
    <w:rsid w:val="00E744E6"/>
    <w:rsid w:val="00E748A8"/>
    <w:rsid w:val="00E74C89"/>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6E48"/>
    <w:rsid w:val="00E87A05"/>
    <w:rsid w:val="00E905F6"/>
    <w:rsid w:val="00E9069B"/>
    <w:rsid w:val="00E916EF"/>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DD0"/>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04C"/>
    <w:rsid w:val="00F15435"/>
    <w:rsid w:val="00F15774"/>
    <w:rsid w:val="00F162CB"/>
    <w:rsid w:val="00F17208"/>
    <w:rsid w:val="00F174DB"/>
    <w:rsid w:val="00F17E89"/>
    <w:rsid w:val="00F2078F"/>
    <w:rsid w:val="00F21801"/>
    <w:rsid w:val="00F22353"/>
    <w:rsid w:val="00F23E98"/>
    <w:rsid w:val="00F23F3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77EE6"/>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727"/>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177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772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F77EE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440244">
      <w:bodyDiv w:val="1"/>
      <w:marLeft w:val="0"/>
      <w:marRight w:val="0"/>
      <w:marTop w:val="0"/>
      <w:marBottom w:val="0"/>
      <w:divBdr>
        <w:top w:val="none" w:sz="0" w:space="0" w:color="auto"/>
        <w:left w:val="none" w:sz="0" w:space="0" w:color="auto"/>
        <w:bottom w:val="none" w:sz="0" w:space="0" w:color="auto"/>
        <w:right w:val="none" w:sz="0" w:space="0" w:color="auto"/>
      </w:divBdr>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5AIRPNAIUNRU-1830940522-5221</_dlc_DocId>
    <_dlc_DocIdUrl xmlns="71c5aaf6-e6ce-465b-b873-5148d2a4c105">
      <Url>https://nokia.sharepoint.com/sites/c5g/5gradio/_layouts/15/DocIdRedir.aspx?ID=5AIRPNAIUNRU-1830940522-5221</Url>
      <Description>5AIRPNAIUNRU-1830940522-5221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49D33996-8C60-4E09-B49A-0316B5AFDDFE}">
  <ds:schemaRefs>
    <ds:schemaRef ds:uri="Microsoft.SharePoint.Taxonomy.ContentTypeSync"/>
  </ds:schemaRefs>
</ds:datastoreItem>
</file>

<file path=customXml/itemProps3.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04BF5D7-0CC6-4618-B69A-4CE3AE68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6.xml><?xml version="1.0" encoding="utf-8"?>
<ds:datastoreItem xmlns:ds="http://schemas.openxmlformats.org/officeDocument/2006/customXml" ds:itemID="{28A76EC1-BB0C-4B51-94F9-279D588D3C50}">
  <ds:schemaRefs>
    <ds:schemaRef ds:uri="http://schemas.microsoft.com/sharepoint/events"/>
  </ds:schemaRefs>
</ds:datastoreItem>
</file>

<file path=customXml/itemProps7.xml><?xml version="1.0" encoding="utf-8"?>
<ds:datastoreItem xmlns:ds="http://schemas.openxmlformats.org/officeDocument/2006/customXml" ds:itemID="{E01979C8-473B-4FE2-BF3A-73946DB2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7</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60</cp:revision>
  <dcterms:created xsi:type="dcterms:W3CDTF">2018-08-10T05:23:00Z</dcterms:created>
  <dcterms:modified xsi:type="dcterms:W3CDTF">2019-03-29T17:25:00Z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e183d983-ebdd-4a81-b546-71c5a43f0a08</vt:lpwstr>
  </property>
</Properties>
</file>