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Lines="50" w:afterLines="50" w:line="240" w:lineRule="atLeast"/>
        <w:rPr>
          <w:rFonts w:eastAsia="宋体" w:cs="Arial"/>
          <w:highlight w:val="none"/>
          <w:lang w:eastAsia="zh-CN"/>
        </w:rPr>
      </w:pPr>
      <w:r>
        <w:rPr>
          <w:rFonts w:hint="eastAsia" w:cs="Arial"/>
        </w:rPr>
        <w:t>3GPP TSG RAN WG1 #96bis</w:t>
      </w:r>
      <w:r>
        <w:rPr>
          <w:rFonts w:cs="Arial"/>
        </w:rPr>
        <w:t xml:space="preserve">                         </w:t>
      </w:r>
      <w:r>
        <w:rPr>
          <w:rFonts w:cs="Arial"/>
        </w:rPr>
        <w:tab/>
      </w:r>
      <w:r>
        <w:rPr>
          <w:rFonts w:hint="eastAsia" w:ascii="宋体" w:hAnsi="宋体" w:eastAsia="宋体" w:cs="Arial"/>
          <w:lang w:eastAsia="zh-CN"/>
        </w:rPr>
        <w:t xml:space="preserve">                                   </w:t>
      </w:r>
      <w:r>
        <w:rPr>
          <w:rFonts w:hint="eastAsia" w:ascii="宋体" w:hAnsi="宋体" w:eastAsia="宋体" w:cs="Arial"/>
          <w:highlight w:val="none"/>
          <w:lang w:eastAsia="zh-CN"/>
        </w:rPr>
        <w:t xml:space="preserve"> </w:t>
      </w:r>
      <w:r>
        <w:rPr>
          <w:rFonts w:cs="Arial"/>
          <w:highlight w:val="none"/>
        </w:rPr>
        <w:t>R1-</w:t>
      </w:r>
      <w:r>
        <w:rPr>
          <w:rFonts w:hint="eastAsia" w:eastAsia="宋体" w:cs="Arial"/>
          <w:highlight w:val="none"/>
          <w:lang w:eastAsia="zh-CN"/>
        </w:rPr>
        <w:t>19</w:t>
      </w:r>
      <w:r>
        <w:rPr>
          <w:rFonts w:hint="eastAsia" w:eastAsia="宋体" w:cs="Arial"/>
          <w:highlight w:val="none"/>
          <w:lang w:eastAsia="zh-CN"/>
        </w:rPr>
        <w:t>04732</w:t>
      </w:r>
    </w:p>
    <w:p>
      <w:pPr>
        <w:pStyle w:val="16"/>
        <w:spacing w:beforeLines="50" w:afterLines="50" w:line="240" w:lineRule="atLeast"/>
        <w:rPr>
          <w:rFonts w:cs="Arial"/>
        </w:rPr>
      </w:pPr>
      <w:r>
        <w:rPr>
          <w:rFonts w:hint="eastAsia" w:eastAsia="宋体" w:cs="Arial"/>
          <w:lang w:eastAsia="zh-CN"/>
        </w:rPr>
        <w:t>Xi</w:t>
      </w:r>
      <w:r>
        <w:rPr>
          <w:rFonts w:eastAsia="宋体" w:cs="Arial"/>
          <w:lang w:eastAsia="zh-CN"/>
        </w:rPr>
        <w:t>’</w:t>
      </w:r>
      <w:r>
        <w:rPr>
          <w:rFonts w:hint="eastAsia" w:eastAsia="宋体" w:cs="Arial"/>
          <w:lang w:eastAsia="zh-CN"/>
        </w:rPr>
        <w:t>an, China, 8th – 12th April, 2019</w:t>
      </w:r>
    </w:p>
    <w:p>
      <w:pPr>
        <w:pStyle w:val="16"/>
        <w:tabs>
          <w:tab w:val="left" w:pos="1800"/>
        </w:tabs>
        <w:spacing w:beforeLines="50" w:afterLines="50" w:line="240" w:lineRule="atLeast"/>
        <w:ind w:left="1800" w:hanging="1800"/>
        <w:rPr>
          <w:rFonts w:cs="Arial"/>
        </w:rPr>
      </w:pPr>
      <w:r>
        <w:rPr>
          <w:rFonts w:cs="Arial"/>
        </w:rPr>
        <w:t>Source:</w:t>
      </w:r>
      <w:r>
        <w:rPr>
          <w:rFonts w:cs="Arial"/>
        </w:rPr>
        <w:tab/>
      </w:r>
      <w:r>
        <w:rPr>
          <w:rFonts w:cs="Arial"/>
        </w:rPr>
        <w:t>CMCC</w:t>
      </w:r>
    </w:p>
    <w:p>
      <w:pPr>
        <w:pStyle w:val="16"/>
        <w:tabs>
          <w:tab w:val="left" w:pos="1800"/>
        </w:tabs>
        <w:spacing w:beforeLines="50" w:afterLines="50" w:line="240" w:lineRule="atLeast"/>
        <w:rPr>
          <w:rFonts w:eastAsia="宋体" w:cs="Arial"/>
          <w:lang w:eastAsia="zh-CN"/>
        </w:rPr>
      </w:pPr>
      <w:r>
        <w:rPr>
          <w:rFonts w:cs="Arial"/>
        </w:rPr>
        <w:t>Title:</w:t>
      </w:r>
      <w:r>
        <w:rPr>
          <w:rFonts w:cs="Arial"/>
        </w:rPr>
        <w:tab/>
      </w:r>
      <w:r>
        <w:rPr>
          <w:rFonts w:hint="eastAsia" w:eastAsia="宋体" w:cs="Arial"/>
          <w:lang w:eastAsia="zh-CN"/>
        </w:rPr>
        <w:t>Considerations on Timing Advance for Non-Terrestrial Networks</w:t>
      </w:r>
    </w:p>
    <w:p>
      <w:pPr>
        <w:pStyle w:val="16"/>
        <w:tabs>
          <w:tab w:val="left" w:pos="1800"/>
        </w:tabs>
        <w:spacing w:beforeLines="50" w:afterLines="50" w:line="240" w:lineRule="atLeast"/>
        <w:ind w:left="1800" w:hanging="1800"/>
        <w:rPr>
          <w:rFonts w:eastAsia="宋体" w:cs="Arial"/>
          <w:lang w:eastAsia="zh-CN"/>
        </w:rPr>
      </w:pPr>
      <w:r>
        <w:rPr>
          <w:rFonts w:cs="Arial"/>
        </w:rPr>
        <w:t>Agenda Item:</w:t>
      </w:r>
      <w:r>
        <w:rPr>
          <w:rFonts w:cs="Arial"/>
        </w:rPr>
        <w:tab/>
      </w:r>
      <w:r>
        <w:rPr>
          <w:rFonts w:hint="eastAsia" w:eastAsia="宋体" w:cs="Arial"/>
          <w:bCs/>
          <w:lang w:eastAsia="zh-CN"/>
        </w:rPr>
        <w:t>7.2.5.3</w:t>
      </w:r>
    </w:p>
    <w:p>
      <w:pPr>
        <w:pStyle w:val="16"/>
        <w:tabs>
          <w:tab w:val="left" w:pos="1800"/>
        </w:tabs>
        <w:spacing w:beforeLines="50" w:afterLines="50" w:line="240" w:lineRule="atLeast"/>
        <w:rPr>
          <w:rFonts w:ascii="Times New Roman" w:hAnsi="Times New Roman" w:eastAsia="MS Mincho"/>
          <w:bCs/>
          <w:sz w:val="22"/>
          <w:szCs w:val="22"/>
          <w:lang w:eastAsia="ja-JP"/>
        </w:rPr>
      </w:pPr>
      <w:r>
        <w:rPr>
          <w:rFonts w:cs="Arial"/>
        </w:rPr>
        <w:t>Document for:</w:t>
      </w:r>
      <w:r>
        <w:rPr>
          <w:rFonts w:cs="Arial"/>
        </w:rPr>
        <w:tab/>
      </w:r>
      <w:r>
        <w:rPr>
          <w:rFonts w:cs="Arial"/>
        </w:rPr>
        <w:t>Discussion</w:t>
      </w:r>
      <w:r>
        <w:rPr>
          <w:rFonts w:eastAsia="宋体" w:cs="Arial"/>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Lines="50" w:afterLines="50" w:line="240" w:lineRule="atLeast"/>
        <w:ind w:left="425" w:hanging="425"/>
        <w:textAlignment w:val="baseline"/>
        <w:rPr>
          <w:rFonts w:ascii="Times New Roman" w:hAnsi="Times New Roman" w:eastAsia="宋体"/>
          <w:sz w:val="28"/>
          <w:szCs w:val="20"/>
          <w:lang w:eastAsia="zh-CN"/>
        </w:rPr>
      </w:pPr>
      <w:r>
        <w:rPr>
          <w:rFonts w:ascii="Times New Roman" w:hAnsi="Times New Roman" w:eastAsia="宋体"/>
          <w:sz w:val="28"/>
          <w:szCs w:val="20"/>
          <w:lang w:eastAsia="zh-CN"/>
        </w:rPr>
        <w:t>Introduction</w:t>
      </w:r>
    </w:p>
    <w:p>
      <w:pPr>
        <w:pStyle w:val="3"/>
        <w:spacing w:beforeLines="50" w:afterLines="50" w:line="240" w:lineRule="atLeast"/>
        <w:rPr>
          <w:sz w:val="22"/>
          <w:szCs w:val="22"/>
          <w:lang w:eastAsia="zh-CN"/>
        </w:rPr>
      </w:pPr>
      <w:r>
        <w:rPr>
          <w:rFonts w:hint="eastAsia"/>
          <w:sz w:val="22"/>
          <w:szCs w:val="22"/>
          <w:lang w:eastAsia="zh-CN"/>
        </w:rPr>
        <w:t>The SI on solutions evaluation for NR to support Non-Terrestrial Network (NTN) has been approved in RAN #80, and from the RAN1 #96bis the RAN1 work has restarted. RAN1 needs to identify the potential impacts and study the related solutions on physical layer. The target work was approved in RAN #80 as follows [1].</w:t>
      </w:r>
    </w:p>
    <w:p>
      <w:pPr>
        <w:spacing w:beforeLines="50" w:afterLines="50" w:line="240" w:lineRule="atLeast"/>
        <w:jc w:val="both"/>
        <w:rPr>
          <w:i/>
          <w:sz w:val="22"/>
          <w:szCs w:val="22"/>
        </w:rPr>
      </w:pPr>
      <w:r>
        <w:rPr>
          <w:b/>
          <w:bCs/>
          <w:i/>
          <w:iCs/>
          <w:sz w:val="22"/>
          <w:szCs w:val="22"/>
        </w:rPr>
        <w:t>Physical layer</w:t>
      </w:r>
    </w:p>
    <w:p>
      <w:pPr>
        <w:spacing w:beforeLines="50" w:afterLines="50" w:line="240" w:lineRule="atLeast"/>
        <w:jc w:val="both"/>
        <w:rPr>
          <w:i/>
          <w:sz w:val="22"/>
          <w:szCs w:val="22"/>
        </w:rPr>
      </w:pPr>
      <w:r>
        <w:rPr>
          <w:i/>
          <w:sz w:val="22"/>
          <w:szCs w:val="22"/>
          <w:lang w:val="nl-NL"/>
        </w:rPr>
        <w:t xml:space="preserve">Consolidation of potential impacts as initially identified in TR 38.811 and identification of related solutions if needed  [RAN1]: </w:t>
      </w:r>
    </w:p>
    <w:p>
      <w:pPr>
        <w:widowControl w:val="0"/>
        <w:numPr>
          <w:ilvl w:val="0"/>
          <w:numId w:val="7"/>
        </w:numPr>
        <w:spacing w:beforeLines="50" w:afterLines="50" w:line="240" w:lineRule="atLeast"/>
        <w:ind w:left="720" w:hanging="360"/>
        <w:jc w:val="both"/>
        <w:rPr>
          <w:i/>
          <w:sz w:val="22"/>
          <w:szCs w:val="22"/>
        </w:rPr>
      </w:pPr>
      <w:r>
        <w:rPr>
          <w:i/>
          <w:sz w:val="22"/>
          <w:szCs w:val="22"/>
        </w:rPr>
        <w:t>Physical layer control procedures (e.g. CSI feedback, power control)</w:t>
      </w:r>
    </w:p>
    <w:p>
      <w:pPr>
        <w:widowControl w:val="0"/>
        <w:numPr>
          <w:ilvl w:val="0"/>
          <w:numId w:val="7"/>
        </w:numPr>
        <w:spacing w:beforeLines="50" w:afterLines="50" w:line="240" w:lineRule="atLeast"/>
        <w:ind w:left="720" w:hanging="360"/>
        <w:jc w:val="both"/>
        <w:rPr>
          <w:i/>
          <w:sz w:val="22"/>
          <w:szCs w:val="22"/>
        </w:rPr>
      </w:pPr>
      <w:r>
        <w:rPr>
          <w:i/>
          <w:sz w:val="22"/>
          <w:szCs w:val="22"/>
        </w:rPr>
        <w:t>Uplink Timing advance/RACH procedure including PRACH sequence/format/message</w:t>
      </w:r>
    </w:p>
    <w:p>
      <w:pPr>
        <w:widowControl w:val="0"/>
        <w:numPr>
          <w:ilvl w:val="0"/>
          <w:numId w:val="7"/>
        </w:numPr>
        <w:spacing w:beforeLines="50" w:afterLines="50" w:line="240" w:lineRule="atLeast"/>
        <w:ind w:left="720" w:hanging="360"/>
        <w:jc w:val="both"/>
        <w:rPr>
          <w:i/>
          <w:sz w:val="22"/>
          <w:szCs w:val="22"/>
        </w:rPr>
      </w:pPr>
      <w:r>
        <w:rPr>
          <w:i/>
          <w:sz w:val="22"/>
          <w:szCs w:val="22"/>
        </w:rPr>
        <w:t>Making retransmission mechanisms at the physical layer more delay-tolerant as appropriate. This may also include capability to deactivate the HARQ mechanisms.</w:t>
      </w:r>
    </w:p>
    <w:p>
      <w:pPr>
        <w:spacing w:beforeLines="50" w:afterLines="50" w:line="240" w:lineRule="atLeast"/>
        <w:jc w:val="both"/>
        <w:rPr>
          <w:sz w:val="22"/>
          <w:szCs w:val="22"/>
          <w:lang w:eastAsia="zh-CN"/>
        </w:rPr>
      </w:pPr>
      <w:r>
        <w:rPr>
          <w:i/>
          <w:sz w:val="22"/>
          <w:szCs w:val="22"/>
        </w:rPr>
        <w:t>Performance assessment of NR in selected deployment scenarios (LEO based satellite access, GEO based satellite access) through link level (Radio link) and system level (cell) simulations [RAN1]</w:t>
      </w:r>
    </w:p>
    <w:p>
      <w:pPr>
        <w:pStyle w:val="3"/>
        <w:spacing w:beforeLines="50" w:afterLines="50" w:line="240" w:lineRule="atLeast"/>
        <w:rPr>
          <w:sz w:val="22"/>
          <w:szCs w:val="22"/>
          <w:lang w:eastAsia="zh-CN"/>
        </w:rPr>
      </w:pPr>
      <w:r>
        <w:rPr>
          <w:rFonts w:hint="eastAsia"/>
          <w:sz w:val="22"/>
          <w:szCs w:val="22"/>
          <w:lang w:eastAsia="zh-CN"/>
        </w:rPr>
        <w:t xml:space="preserve">In this contribution we mainly analyzed the timing advance (TA) for Non-Terrestrial Networks. </w:t>
      </w:r>
    </w:p>
    <w:p>
      <w:pPr>
        <w:pStyle w:val="2"/>
        <w:keepLines/>
        <w:numPr>
          <w:ilvl w:val="0"/>
          <w:numId w:val="6"/>
        </w:numPr>
        <w:pBdr>
          <w:top w:val="single" w:color="auto" w:sz="12" w:space="3"/>
        </w:pBdr>
        <w:overflowPunct w:val="0"/>
        <w:autoSpaceDE w:val="0"/>
        <w:autoSpaceDN w:val="0"/>
        <w:adjustRightInd w:val="0"/>
        <w:spacing w:beforeLines="50" w:afterLines="50" w:line="240" w:lineRule="atLeast"/>
        <w:ind w:left="425" w:hanging="425"/>
        <w:jc w:val="both"/>
        <w:textAlignment w:val="baseline"/>
        <w:rPr>
          <w:rFonts w:ascii="Times New Roman" w:hAnsi="Times New Roman" w:eastAsia="宋体"/>
          <w:sz w:val="28"/>
          <w:szCs w:val="20"/>
          <w:lang w:eastAsia="zh-CN"/>
        </w:rPr>
      </w:pPr>
      <w:bookmarkStart w:id="0" w:name="OLE_LINK20"/>
      <w:bookmarkStart w:id="1" w:name="OLE_LINK21"/>
      <w:bookmarkStart w:id="2" w:name="OLE_LINK13"/>
      <w:bookmarkStart w:id="3" w:name="OLE_LINK14"/>
      <w:r>
        <w:rPr>
          <w:rFonts w:hint="eastAsia" w:ascii="Times New Roman" w:hAnsi="Times New Roman" w:eastAsia="宋体"/>
          <w:sz w:val="28"/>
          <w:szCs w:val="20"/>
          <w:lang w:eastAsia="zh-CN"/>
        </w:rPr>
        <w:t xml:space="preserve">Considerations on Timing Advance for Non-Terrestrial Networks </w:t>
      </w:r>
      <w:bookmarkEnd w:id="0"/>
      <w:bookmarkEnd w:id="1"/>
    </w:p>
    <w:p>
      <w:pPr>
        <w:pStyle w:val="3"/>
        <w:spacing w:beforeLines="50" w:afterLines="50" w:line="240" w:lineRule="atLeast"/>
        <w:rPr>
          <w:rFonts w:hint="default"/>
          <w:sz w:val="22"/>
          <w:szCs w:val="22"/>
          <w:lang w:val="en-US" w:eastAsia="zh-CN"/>
        </w:rPr>
      </w:pPr>
      <w:r>
        <w:rPr>
          <w:rFonts w:hint="eastAsia"/>
          <w:sz w:val="22"/>
          <w:szCs w:val="22"/>
          <w:lang w:eastAsia="zh-CN"/>
        </w:rPr>
        <w:t>In order to ensure the time synchronization of receiver side (</w:t>
      </w:r>
      <w:r>
        <w:rPr>
          <w:rFonts w:hint="eastAsia"/>
          <w:sz w:val="22"/>
          <w:szCs w:val="22"/>
          <w:lang w:val="en-US" w:eastAsia="zh-CN"/>
        </w:rPr>
        <w:t xml:space="preserve">e.g. </w:t>
      </w:r>
      <w:r>
        <w:rPr>
          <w:rFonts w:hint="eastAsia"/>
          <w:sz w:val="22"/>
          <w:szCs w:val="22"/>
          <w:lang w:eastAsia="zh-CN"/>
        </w:rPr>
        <w:t xml:space="preserve">gNB side), the uplink timing advance mechanism has been proposed. From the perspective of UE side, timing advance is a negative time offset between the staring time of received downlink sub-frame and the time of transmitted uplink sub-frame. </w:t>
      </w:r>
    </w:p>
    <w:p>
      <w:pPr>
        <w:pStyle w:val="3"/>
        <w:spacing w:beforeLines="50" w:afterLines="50" w:line="240" w:lineRule="atLeast"/>
        <w:rPr>
          <w:b/>
          <w:bCs/>
          <w:sz w:val="22"/>
          <w:szCs w:val="28"/>
          <w:lang w:eastAsia="zh-CN"/>
        </w:rPr>
      </w:pPr>
      <w:r>
        <w:rPr>
          <w:rFonts w:hint="eastAsia"/>
          <w:b/>
          <w:bCs/>
          <w:sz w:val="22"/>
          <w:szCs w:val="28"/>
          <w:lang w:eastAsia="zh-CN"/>
        </w:rPr>
        <w:t>2.1 Extension of the maximum TA value</w:t>
      </w:r>
    </w:p>
    <w:p>
      <w:pPr>
        <w:spacing w:beforeLines="50" w:afterLines="50" w:line="400" w:lineRule="exact"/>
        <w:jc w:val="both"/>
        <w:rPr>
          <w:rFonts w:ascii="Times" w:hAnsi="Times" w:eastAsia="宋体"/>
          <w:sz w:val="22"/>
          <w:szCs w:val="22"/>
          <w:lang w:eastAsia="zh-CN"/>
        </w:rPr>
      </w:pPr>
      <w:r>
        <w:rPr>
          <w:rFonts w:hint="eastAsia" w:ascii="Times" w:hAnsi="Times" w:eastAsia="宋体"/>
          <w:sz w:val="22"/>
          <w:szCs w:val="22"/>
          <w:lang w:eastAsia="zh-CN"/>
        </w:rPr>
        <w:t>As shown in Fig.</w:t>
      </w:r>
      <w:r>
        <w:rPr>
          <w:rFonts w:hint="eastAsia" w:ascii="Times" w:hAnsi="Times" w:eastAsia="宋体"/>
          <w:sz w:val="22"/>
          <w:szCs w:val="22"/>
          <w:lang w:val="en-US" w:eastAsia="zh-CN"/>
        </w:rPr>
        <w:t xml:space="preserve"> </w:t>
      </w:r>
      <w:r>
        <w:rPr>
          <w:rFonts w:hint="eastAsia" w:ascii="Times" w:hAnsi="Times" w:eastAsia="宋体"/>
          <w:sz w:val="22"/>
          <w:szCs w:val="22"/>
          <w:lang w:eastAsia="zh-CN"/>
        </w:rPr>
        <w:t>1, the transmission of uplink frame number</w:t>
      </w:r>
      <w:r>
        <w:rPr>
          <w:rFonts w:hint="eastAsia" w:ascii="Times" w:hAnsi="Times" w:eastAsia="宋体"/>
          <w:position w:val="-6"/>
          <w:sz w:val="22"/>
          <w:szCs w:val="22"/>
          <w:lang w:eastAsia="zh-CN"/>
        </w:rPr>
        <w:object>
          <v:shape id="_x0000_i1025" o:spt="75" type="#_x0000_t75" style="height:12.9pt;width:7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imes" w:hAnsi="Times" w:eastAsia="宋体"/>
          <w:sz w:val="22"/>
          <w:szCs w:val="22"/>
          <w:lang w:eastAsia="zh-CN"/>
        </w:rPr>
        <w:t xml:space="preserve">from the UE shall start </w:t>
      </w:r>
      <w:r>
        <w:rPr>
          <w:rFonts w:hint="eastAsia" w:ascii="Times" w:hAnsi="Times" w:eastAsia="宋体"/>
          <w:sz w:val="22"/>
          <w:szCs w:val="22"/>
          <w:lang w:eastAsia="zh-CN"/>
        </w:rPr>
        <w:fldChar w:fldCharType="begin"/>
      </w:r>
      <w:r>
        <w:rPr>
          <w:rFonts w:hint="eastAsia" w:ascii="Times" w:hAnsi="Times" w:eastAsia="宋体"/>
          <w:sz w:val="22"/>
          <w:szCs w:val="22"/>
          <w:lang w:eastAsia="zh-CN"/>
        </w:rPr>
        <w:instrText xml:space="preserve"> QUOTE </w:instrText>
      </w:r>
      <w:r>
        <w:rPr>
          <w:rFonts w:ascii="Times" w:hAnsi="Times" w:eastAsia="宋体"/>
          <w:sz w:val="22"/>
          <w:szCs w:val="22"/>
          <w:lang w:eastAsia="zh-CN"/>
        </w:rPr>
        <w:pict>
          <v:shape id="_x0000_i1026" o:spt="75" type="#_x0000_t75" style="height:13.45pt;width:123.0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3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1BC9&quot;/&gt;&lt;wsp:rsid wsp:val=&quot;00004F49&quot;/&gt;&lt;wsp:rsid wsp:val=&quot;000158ED&quot;/&gt;&lt;wsp:rsid wsp:val=&quot;0002191D&quot;/&gt;&lt;wsp:rsid wsp:val=&quot;00021A0D&quot;/&gt;&lt;wsp:rsid wsp:val=&quot;000266A0&quot;/&gt;&lt;wsp:rsid wsp:val=&quot;00030BC0&quot;/&gt;&lt;wsp:rsid wsp:val=&quot;00031C1D&quot;/&gt;&lt;wsp:rsid wsp:val=&quot;00031EC8&quot;/&gt;&lt;wsp:rsid wsp:val=&quot;00032A95&quot;/&gt;&lt;wsp:rsid wsp:val=&quot;000356FE&quot;/&gt;&lt;wsp:rsid wsp:val=&quot;000423D1&quot;/&gt;&lt;wsp:rsid wsp:val=&quot;00043E0E&quot;/&gt;&lt;wsp:rsid wsp:val=&quot;000536AD&quot;/&gt;&lt;wsp:rsid wsp:val=&quot;00060482&quot;/&gt;&lt;wsp:rsid wsp:val=&quot;000614DC&quot;/&gt;&lt;wsp:rsid wsp:val=&quot;000633AA&quot;/&gt;&lt;wsp:rsid wsp:val=&quot;00066AAD&quot;/&gt;&lt;wsp:rsid wsp:val=&quot;000724CE&quot;/&gt;&lt;wsp:rsid wsp:val=&quot;0007624C&quot;/&gt;&lt;wsp:rsid wsp:val=&quot;00077FBD&quot;/&gt;&lt;wsp:rsid wsp:val=&quot;000815DA&quot;/&gt;&lt;wsp:rsid wsp:val=&quot;00081BBE&quot;/&gt;&lt;wsp:rsid wsp:val=&quot;00085221&quot;/&gt;&lt;wsp:rsid wsp:val=&quot;0008625E&quot;/&gt;&lt;wsp:rsid wsp:val=&quot;00093E7E&quot;/&gt;&lt;wsp:rsid wsp:val=&quot;00096D13&quot;/&gt;&lt;wsp:rsid wsp:val=&quot;000B5998&quot;/&gt;&lt;wsp:rsid wsp:val=&quot;000C11DE&quot;/&gt;&lt;wsp:rsid wsp:val=&quot;000C1DF7&quot;/&gt;&lt;wsp:rsid wsp:val=&quot;000C246E&quot;/&gt;&lt;wsp:rsid wsp:val=&quot;000D1617&quot;/&gt;&lt;wsp:rsid wsp:val=&quot;000D2031&quot;/&gt;&lt;wsp:rsid wsp:val=&quot;000D631F&quot;/&gt;&lt;wsp:rsid wsp:val=&quot;000D6CFC&quot;/&gt;&lt;wsp:rsid wsp:val=&quot;000D7CCC&quot;/&gt;&lt;wsp:rsid wsp:val=&quot;000F210B&quot;/&gt;&lt;wsp:rsid wsp:val=&quot;000F3A03&quot;/&gt;&lt;wsp:rsid wsp:val=&quot;00101724&quot;/&gt;&lt;wsp:rsid wsp:val=&quot;00110679&quot;/&gt;&lt;wsp:rsid wsp:val=&quot;00112CAE&quot;/&gt;&lt;wsp:rsid wsp:val=&quot;00112DA5&quot;/&gt;&lt;wsp:rsid wsp:val=&quot;001165C5&quot;/&gt;&lt;wsp:rsid wsp:val=&quot;001166AB&quot;/&gt;&lt;wsp:rsid wsp:val=&quot;001174FA&quot;/&gt;&lt;wsp:rsid wsp:val=&quot;00120708&quot;/&gt;&lt;wsp:rsid wsp:val=&quot;001215FF&quot;/&gt;&lt;wsp:rsid wsp:val=&quot;00122DD4&quot;/&gt;&lt;wsp:rsid wsp:val=&quot;001235DF&quot;/&gt;&lt;wsp:rsid wsp:val=&quot;00132BC4&quot;/&gt;&lt;wsp:rsid wsp:val=&quot;00133540&quot;/&gt;&lt;wsp:rsid wsp:val=&quot;0013405F&quot;/&gt;&lt;wsp:rsid wsp:val=&quot;001363C4&quot;/&gt;&lt;wsp:rsid wsp:val=&quot;0014460E&quot;/&gt;&lt;wsp:rsid wsp:val=&quot;00146775&quot;/&gt;&lt;wsp:rsid wsp:val=&quot;00153528&quot;/&gt;&lt;wsp:rsid wsp:val=&quot;00154E0D&quot;/&gt;&lt;wsp:rsid wsp:val=&quot;0015780F&quot;/&gt;&lt;wsp:rsid wsp:val=&quot;0016195F&quot;/&gt;&lt;wsp:rsid wsp:val=&quot;00165ABA&quot;/&gt;&lt;wsp:rsid wsp:val=&quot;00167818&quot;/&gt;&lt;wsp:rsid wsp:val=&quot;00170813&quot;/&gt;&lt;wsp:rsid wsp:val=&quot;00173EC0&quot;/&gt;&lt;wsp:rsid wsp:val=&quot;00176BE8&quot;/&gt;&lt;wsp:rsid wsp:val=&quot;00185C47&quot;/&gt;&lt;wsp:rsid wsp:val=&quot;0018659D&quot;/&gt;&lt;wsp:rsid wsp:val=&quot;0018725B&quot;/&gt;&lt;wsp:rsid wsp:val=&quot;00192971&quot;/&gt;&lt;wsp:rsid wsp:val=&quot;00194BC8&quot;/&gt;&lt;wsp:rsid wsp:val=&quot;001959CC&quot;/&gt;&lt;wsp:rsid wsp:val=&quot;00195E52&quot;/&gt;&lt;wsp:rsid wsp:val=&quot;0019687C&quot;/&gt;&lt;wsp:rsid wsp:val=&quot;001A08AA&quot;/&gt;&lt;wsp:rsid wsp:val=&quot;001A3120&quot;/&gt;&lt;wsp:rsid wsp:val=&quot;001A3687&quot;/&gt;&lt;wsp:rsid wsp:val=&quot;001A6120&quot;/&gt;&lt;wsp:rsid wsp:val=&quot;001A6EB8&quot;/&gt;&lt;wsp:rsid wsp:val=&quot;001B1247&quot;/&gt;&lt;wsp:rsid wsp:val=&quot;001B2552&quot;/&gt;&lt;wsp:rsid wsp:val=&quot;001B5637&quot;/&gt;&lt;wsp:rsid wsp:val=&quot;001C3A35&quot;/&gt;&lt;wsp:rsid wsp:val=&quot;001D428D&quot;/&gt;&lt;wsp:rsid wsp:val=&quot;001D6E5B&quot;/&gt;&lt;wsp:rsid wsp:val=&quot;001E2E1B&quot;/&gt;&lt;wsp:rsid wsp:val=&quot;001E6C94&quot;/&gt;&lt;wsp:rsid wsp:val=&quot;001E78D2&quot;/&gt;&lt;wsp:rsid wsp:val=&quot;001F1630&quot;/&gt;&lt;wsp:rsid wsp:val=&quot;00212373&quot;/&gt;&lt;wsp:rsid wsp:val=&quot;002138EA&quot;/&gt;&lt;wsp:rsid wsp:val=&quot;00214FBD&quot;/&gt;&lt;wsp:rsid wsp:val=&quot;00222897&quot;/&gt;&lt;wsp:rsid wsp:val=&quot;00222D61&quot;/&gt;&lt;wsp:rsid wsp:val=&quot;00235394&quot;/&gt;&lt;wsp:rsid wsp:val=&quot;0024683D&quot;/&gt;&lt;wsp:rsid wsp:val=&quot;0024756C&quot;/&gt;&lt;wsp:rsid wsp:val=&quot;00252E52&quot;/&gt;&lt;wsp:rsid wsp:val=&quot;00257054&quot;/&gt;&lt;wsp:rsid wsp:val=&quot;0026179F&quot;/&gt;&lt;wsp:rsid wsp:val=&quot;00261FCE&quot;/&gt;&lt;wsp:rsid wsp:val=&quot;002621EF&quot;/&gt;&lt;wsp:rsid wsp:val=&quot;0026458A&quot;/&gt;&lt;wsp:rsid wsp:val=&quot;002701D3&quot;/&gt;&lt;wsp:rsid wsp:val=&quot;00274E1A&quot;/&gt;&lt;wsp:rsid wsp:val=&quot;002818A7&quot;/&gt;&lt;wsp:rsid wsp:val=&quot;00282213&quot;/&gt;&lt;wsp:rsid wsp:val=&quot;00282FD0&quot;/&gt;&lt;wsp:rsid wsp:val=&quot;00283E19&quot;/&gt;&lt;wsp:rsid wsp:val=&quot;00294E9C&quot;/&gt;&lt;wsp:rsid wsp:val=&quot;00295585&quot;/&gt;&lt;wsp:rsid wsp:val=&quot;00297C8C&quot;/&gt;&lt;wsp:rsid wsp:val=&quot;002A3C10&quot;/&gt;&lt;wsp:rsid wsp:val=&quot;002A3D6D&quot;/&gt;&lt;wsp:rsid wsp:val=&quot;002A5B76&quot;/&gt;&lt;wsp:rsid wsp:val=&quot;002B26E6&quot;/&gt;&lt;wsp:rsid wsp:val=&quot;002C0C2F&quot;/&gt;&lt;wsp:rsid wsp:val=&quot;002C1453&quot;/&gt;&lt;wsp:rsid wsp:val=&quot;002C3650&quot;/&gt;&lt;wsp:rsid wsp:val=&quot;002D4666&quot;/&gt;&lt;wsp:rsid wsp:val=&quot;002E1A7A&quot;/&gt;&lt;wsp:rsid wsp:val=&quot;002E3493&quot;/&gt;&lt;wsp:rsid wsp:val=&quot;002E444C&quot;/&gt;&lt;wsp:rsid wsp:val=&quot;002F25B4&quot;/&gt;&lt;wsp:rsid wsp:val=&quot;002F4093&quot;/&gt;&lt;wsp:rsid wsp:val=&quot;002F5FB5&quot;/&gt;&lt;wsp:rsid wsp:val=&quot;00302E5D&quot;/&gt;&lt;wsp:rsid wsp:val=&quot;00310099&quot;/&gt;&lt;wsp:rsid wsp:val=&quot;00316E48&quot;/&gt;&lt;wsp:rsid wsp:val=&quot;00320C72&quot;/&gt;&lt;wsp:rsid wsp:val=&quot;00322240&quot;/&gt;&lt;wsp:rsid wsp:val=&quot;0033575E&quot;/&gt;&lt;wsp:rsid wsp:val=&quot;00337C81&quot;/&gt;&lt;wsp:rsid wsp:val=&quot;0034217C&quot;/&gt;&lt;wsp:rsid wsp:val=&quot;00362912&quot;/&gt;&lt;wsp:rsid wsp:val=&quot;00363CBA&quot;/&gt;&lt;wsp:rsid wsp:val=&quot;00364A0A&quot;/&gt;&lt;wsp:rsid wsp:val=&quot;0036653B&quot;/&gt;&lt;wsp:rsid wsp:val=&quot;00366A02&quot;/&gt;&lt;wsp:rsid wsp:val=&quot;00367724&quot;/&gt;&lt;wsp:rsid wsp:val=&quot;0037238C&quot;/&gt;&lt;wsp:rsid wsp:val=&quot;00374C4C&quot;/&gt;&lt;wsp:rsid wsp:val=&quot;00380941&quot;/&gt;&lt;wsp:rsid wsp:val=&quot;00382A72&quot;/&gt;&lt;wsp:rsid wsp:val=&quot;003863B4&quot;/&gt;&lt;wsp:rsid wsp:val=&quot;00391762&quot;/&gt;&lt;wsp:rsid wsp:val=&quot;00395E71&quot;/&gt;&lt;wsp:rsid wsp:val=&quot;003B5F2E&quot;/&gt;&lt;wsp:rsid wsp:val=&quot;003C7EA0&quot;/&gt;&lt;wsp:rsid wsp:val=&quot;003D1C04&quot;/&gt;&lt;wsp:rsid wsp:val=&quot;003D7224&quot;/&gt;&lt;wsp:rsid wsp:val=&quot;003E11F0&quot;/&gt;&lt;wsp:rsid wsp:val=&quot;003E1727&quot;/&gt;&lt;wsp:rsid wsp:val=&quot;003E2A18&quot;/&gt;&lt;wsp:rsid wsp:val=&quot;003E532E&quot;/&gt;&lt;wsp:rsid wsp:val=&quot;003E6963&quot;/&gt;&lt;wsp:rsid wsp:val=&quot;003F1C64&quot;/&gt;&lt;wsp:rsid wsp:val=&quot;0040396F&quot;/&gt;&lt;wsp:rsid wsp:val=&quot;004056E8&quot;/&gt;&lt;wsp:rsid wsp:val=&quot;00407304&quot;/&gt;&lt;wsp:rsid wsp:val=&quot;004105E3&quot;/&gt;&lt;wsp:rsid wsp:val=&quot;00410B30&quot;/&gt;&lt;wsp:rsid wsp:val=&quot;0041516B&quot;/&gt;&lt;wsp:rsid wsp:val=&quot;004155D0&quot;/&gt;&lt;wsp:rsid wsp:val=&quot;00416405&quot;/&gt;&lt;wsp:rsid wsp:val=&quot;00422996&quot;/&gt;&lt;wsp:rsid wsp:val=&quot;00424AA1&quot;/&gt;&lt;wsp:rsid wsp:val=&quot;00431839&quot;/&gt;&lt;wsp:rsid wsp:val=&quot;00441741&quot;/&gt;&lt;wsp:rsid wsp:val=&quot;00444225&quot;/&gt;&lt;wsp:rsid wsp:val=&quot;004516EB&quot;/&gt;&lt;wsp:rsid wsp:val=&quot;004563C9&quot;/&gt;&lt;wsp:rsid wsp:val=&quot;00461960&quot;/&gt;&lt;wsp:rsid wsp:val=&quot;00470A7F&quot;/&gt;&lt;wsp:rsid wsp:val=&quot;004717DC&quot;/&gt;&lt;wsp:rsid wsp:val=&quot;00473199&quot;/&gt;&lt;wsp:rsid wsp:val=&quot;00482314&quot;/&gt;&lt;wsp:rsid wsp:val=&quot;00483CF5&quot;/&gt;&lt;wsp:rsid wsp:val=&quot;0049109B&quot;/&gt;&lt;wsp:rsid wsp:val=&quot;00492261&quot;/&gt;&lt;wsp:rsid wsp:val=&quot;00492309&quot;/&gt;&lt;wsp:rsid wsp:val=&quot;004A04C4&quot;/&gt;&lt;wsp:rsid wsp:val=&quot;004A17C7&quot;/&gt;&lt;wsp:rsid wsp:val=&quot;004A5615&quot;/&gt;&lt;wsp:rsid wsp:val=&quot;004A5621&quot;/&gt;&lt;wsp:rsid wsp:val=&quot;004B073D&quot;/&gt;&lt;wsp:rsid wsp:val=&quot;004C6646&quot;/&gt;&lt;wsp:rsid wsp:val=&quot;004D03C0&quot;/&gt;&lt;wsp:rsid wsp:val=&quot;004D119E&quot;/&gt;&lt;wsp:rsid wsp:val=&quot;004D2FF5&quot;/&gt;&lt;wsp:rsid wsp:val=&quot;004E214C&quot;/&gt;&lt;wsp:rsid wsp:val=&quot;004E5F79&quot;/&gt;&lt;wsp:rsid wsp:val=&quot;004F016B&quot;/&gt;&lt;wsp:rsid wsp:val=&quot;004F7A3D&quot;/&gt;&lt;wsp:rsid wsp:val=&quot;0050151B&quot;/&gt;&lt;wsp:rsid wsp:val=&quot;0050254E&quot;/&gt;&lt;wsp:rsid wsp:val=&quot;005035D7&quot;/&gt;&lt;wsp:rsid wsp:val=&quot;00503882&quot;/&gt;&lt;wsp:rsid wsp:val=&quot;00505BFA&quot;/&gt;&lt;wsp:rsid wsp:val=&quot;005125CF&quot;/&gt;&lt;wsp:rsid wsp:val=&quot;00512DC2&quot;/&gt;&lt;wsp:rsid wsp:val=&quot;00521E2F&quot;/&gt;&lt;wsp:rsid wsp:val=&quot;00531191&quot;/&gt;&lt;wsp:rsid wsp:val=&quot;00533311&quot;/&gt;&lt;wsp:rsid wsp:val=&quot;00535ACF&quot;/&gt;&lt;wsp:rsid wsp:val=&quot;00543A5F&quot;/&gt;&lt;wsp:rsid wsp:val=&quot;0054480E&quot;/&gt;&lt;wsp:rsid wsp:val=&quot;0055189D&quot;/&gt;&lt;wsp:rsid wsp:val=&quot;005601AE&quot;/&gt;&lt;wsp:rsid wsp:val=&quot;0056135B&quot;/&gt;&lt;wsp:rsid wsp:val=&quot;0056522E&quot;/&gt;&lt;wsp:rsid wsp:val=&quot;0056627F&quot;/&gt;&lt;wsp:rsid wsp:val=&quot;005666D1&quot;/&gt;&lt;wsp:rsid wsp:val=&quot;00585618&quot;/&gt;&lt;wsp:rsid wsp:val=&quot;005858CE&quot;/&gt;&lt;wsp:rsid wsp:val=&quot;005A1557&quot;/&gt;&lt;wsp:rsid wsp:val=&quot;005A2095&quot;/&gt;&lt;wsp:rsid wsp:val=&quot;005B077A&quot;/&gt;&lt;wsp:rsid wsp:val=&quot;005B39D9&quot;/&gt;&lt;wsp:rsid wsp:val=&quot;005C4DBF&quot;/&gt;&lt;wsp:rsid wsp:val=&quot;005C62B2&quot;/&gt;&lt;wsp:rsid wsp:val=&quot;005D4323&quot;/&gt;&lt;wsp:rsid wsp:val=&quot;005D7566&quot;/&gt;&lt;wsp:rsid wsp:val=&quot;005E049F&quot;/&gt;&lt;wsp:rsid wsp:val=&quot;005E058A&quot;/&gt;&lt;wsp:rsid wsp:val=&quot;005E506E&quot;/&gt;&lt;wsp:rsid wsp:val=&quot;005F1030&quot;/&gt;&lt;wsp:rsid wsp:val=&quot;005F5C34&quot;/&gt;&lt;wsp:rsid wsp:val=&quot;00602385&quot;/&gt;&lt;wsp:rsid wsp:val=&quot;00602580&quot;/&gt;&lt;wsp:rsid wsp:val=&quot;00605423&quot;/&gt;&lt;wsp:rsid wsp:val=&quot;00610CCC&quot;/&gt;&lt;wsp:rsid wsp:val=&quot;0061112B&quot;/&gt;&lt;wsp:rsid wsp:val=&quot;0061176B&quot;/&gt;&lt;wsp:rsid wsp:val=&quot;00611C09&quot;/&gt;&lt;wsp:rsid wsp:val=&quot;006254AB&quot;/&gt;&lt;wsp:rsid wsp:val=&quot;0063133E&quot;/&gt;&lt;wsp:rsid wsp:val=&quot;0064301C&quot;/&gt;&lt;wsp:rsid wsp:val=&quot;00643DEE&quot;/&gt;&lt;wsp:rsid wsp:val=&quot;00645857&quot;/&gt;&lt;wsp:rsid wsp:val=&quot;0064722B&quot;/&gt;&lt;wsp:rsid wsp:val=&quot;00651713&quot;/&gt;&lt;wsp:rsid wsp:val=&quot;006562E2&quot;/&gt;&lt;wsp:rsid wsp:val=&quot;0067304D&quot;/&gt;&lt;wsp:rsid wsp:val=&quot;00677A93&quot;/&gt;&lt;wsp:rsid wsp:val=&quot;00680279&quot;/&gt;&lt;wsp:rsid wsp:val=&quot;00681111&quot;/&gt;&lt;wsp:rsid wsp:val=&quot;00684B32&quot;/&gt;&lt;wsp:rsid wsp:val=&quot;006856E5&quot;/&gt;&lt;wsp:rsid wsp:val=&quot;006952E6&quot;/&gt;&lt;wsp:rsid wsp:val=&quot;006A71AF&quot;/&gt;&lt;wsp:rsid wsp:val=&quot;006A7D69&quot;/&gt;&lt;wsp:rsid wsp:val=&quot;006B0D02&quot;/&gt;&lt;wsp:rsid wsp:val=&quot;006B162D&quot;/&gt;&lt;wsp:rsid wsp:val=&quot;006B55CD&quot;/&gt;&lt;wsp:rsid wsp:val=&quot;006B7997&quot;/&gt;&lt;wsp:rsid wsp:val=&quot;006C64CC&quot;/&gt;&lt;wsp:rsid wsp:val=&quot;006D28DD&quot;/&gt;&lt;wsp:rsid wsp:val=&quot;006D6028&quot;/&gt;&lt;wsp:rsid wsp:val=&quot;006E085A&quot;/&gt;&lt;wsp:rsid wsp:val=&quot;006E29F3&quot;/&gt;&lt;wsp:rsid wsp:val=&quot;006E5D2A&quot;/&gt;&lt;wsp:rsid wsp:val=&quot;006E5F62&quot;/&gt;&lt;wsp:rsid wsp:val=&quot;006E6CBC&quot;/&gt;&lt;wsp:rsid wsp:val=&quot;00701BFC&quot;/&gt;&lt;wsp:rsid wsp:val=&quot;00705281&quot;/&gt;&lt;wsp:rsid wsp:val=&quot;00706156&quot;/&gt;&lt;wsp:rsid wsp:val=&quot;0070646B&quot;/&gt;&lt;wsp:rsid wsp:val=&quot;007066FA&quot;/&gt;&lt;wsp:rsid wsp:val=&quot;00707941&quot;/&gt;&lt;wsp:rsid wsp:val=&quot;00712C2E&quot;/&gt;&lt;wsp:rsid wsp:val=&quot;00716DB0&quot;/&gt;&lt;wsp:rsid wsp:val=&quot;007252D3&quot;/&gt;&lt;wsp:rsid wsp:val=&quot;00730DE0&quot;/&gt;&lt;wsp:rsid wsp:val=&quot;0073557C&quot;/&gt;&lt;wsp:rsid wsp:val=&quot;00736B18&quot;/&gt;&lt;wsp:rsid wsp:val=&quot;00741261&quot;/&gt;&lt;wsp:rsid wsp:val=&quot;00745E80&quot;/&gt;&lt;wsp:rsid wsp:val=&quot;00746564&quot;/&gt;&lt;wsp:rsid wsp:val=&quot;00747884&quot;/&gt;&lt;wsp:rsid wsp:val=&quot;00752A98&quot;/&gt;&lt;wsp:rsid wsp:val=&quot;0076651F&quot;/&gt;&lt;wsp:rsid wsp:val=&quot;007673B6&quot;/&gt;&lt;wsp:rsid wsp:val=&quot;00782F04&quot;/&gt;&lt;wsp:rsid wsp:val=&quot;00783C95&quot;/&gt;&lt;wsp:rsid wsp:val=&quot;00784255&quot;/&gt;&lt;wsp:rsid wsp:val=&quot;007856E8&quot;/&gt;&lt;wsp:rsid wsp:val=&quot;00785FF5&quot;/&gt;&lt;wsp:rsid wsp:val=&quot;00796342&quot;/&gt;&lt;wsp:rsid wsp:val=&quot;007B006A&quot;/&gt;&lt;wsp:rsid wsp:val=&quot;007D6048&quot;/&gt;&lt;wsp:rsid wsp:val=&quot;007E01DB&quot;/&gt;&lt;wsp:rsid wsp:val=&quot;007E411F&quot;/&gt;&lt;wsp:rsid wsp:val=&quot;007F0E1E&quot;/&gt;&lt;wsp:rsid wsp:val=&quot;007F3105&quot;/&gt;&lt;wsp:rsid wsp:val=&quot;007F62EA&quot;/&gt;&lt;wsp:rsid wsp:val=&quot;007F7946&quot;/&gt;&lt;wsp:rsid wsp:val=&quot;008134EA&quot;/&gt;&lt;wsp:rsid wsp:val=&quot;00816573&quot;/&gt;&lt;wsp:rsid wsp:val=&quot;00820351&quot;/&gt;&lt;wsp:rsid wsp:val=&quot;00824437&quot;/&gt;&lt;wsp:rsid wsp:val=&quot;00826C4B&quot;/&gt;&lt;wsp:rsid wsp:val=&quot;00831EF7&quot;/&gt;&lt;wsp:rsid wsp:val=&quot;008321D0&quot;/&gt;&lt;wsp:rsid wsp:val=&quot;00832A9C&quot;/&gt;&lt;wsp:rsid wsp:val=&quot;00834DBD&quot;/&gt;&lt;wsp:rsid wsp:val=&quot;00834F0A&quot;/&gt;&lt;wsp:rsid wsp:val=&quot;00835892&quot;/&gt;&lt;wsp:rsid wsp:val=&quot;00836C44&quot;/&gt;&lt;wsp:rsid wsp:val=&quot;008405B4&quot;/&gt;&lt;wsp:rsid wsp:val=&quot;00845CC4&quot;/&gt;&lt;wsp:rsid wsp:val=&quot;00853BAF&quot;/&gt;&lt;wsp:rsid wsp:val=&quot;008618C0&quot;/&gt;&lt;wsp:rsid wsp:val=&quot;00865261&quot;/&gt;&lt;wsp:rsid wsp:val=&quot;008660F7&quot;/&gt;&lt;wsp:rsid wsp:val=&quot;00871CAC&quot;/&gt;&lt;wsp:rsid wsp:val=&quot;00875A89&quot;/&gt;&lt;wsp:rsid wsp:val=&quot;00880BD0&quot;/&gt;&lt;wsp:rsid wsp:val=&quot;00880D05&quot;/&gt;&lt;wsp:rsid wsp:val=&quot;00882C1E&quot;/&gt;&lt;wsp:rsid wsp:val=&quot;0088368E&quot;/&gt;&lt;wsp:rsid wsp:val=&quot;00893454&quot;/&gt;&lt;wsp:rsid wsp:val=&quot;00895DEA&quot;/&gt;&lt;wsp:rsid wsp:val=&quot;00896A17&quot;/&gt;&lt;wsp:rsid wsp:val=&quot;008B2634&quot;/&gt;&lt;wsp:rsid wsp:val=&quot;008B3875&quot;/&gt;&lt;wsp:rsid wsp:val=&quot;008B46A4&quot;/&gt;&lt;wsp:rsid wsp:val=&quot;008B712A&quot;/&gt;&lt;wsp:rsid wsp:val=&quot;008C2938&quot;/&gt;&lt;wsp:rsid wsp:val=&quot;008C60E9&quot;/&gt;&lt;wsp:rsid wsp:val=&quot;008D01B0&quot;/&gt;&lt;wsp:rsid wsp:val=&quot;008E1B36&quot;/&gt;&lt;wsp:rsid wsp:val=&quot;008E1E5F&quot;/&gt;&lt;wsp:rsid wsp:val=&quot;008E31E8&quot;/&gt;&lt;wsp:rsid wsp:val=&quot;008F3107&quot;/&gt;&lt;wsp:rsid wsp:val=&quot;008F7D93&quot;/&gt;&lt;wsp:rsid wsp:val=&quot;00906AF2&quot;/&gt;&lt;wsp:rsid wsp:val=&quot;009078EE&quot;/&gt;&lt;wsp:rsid wsp:val=&quot;009079C7&quot;/&gt;&lt;wsp:rsid wsp:val=&quot;0091691E&quot;/&gt;&lt;wsp:rsid wsp:val=&quot;00930091&quot;/&gt;&lt;wsp:rsid wsp:val=&quot;0093025B&quot;/&gt;&lt;wsp:rsid wsp:val=&quot;00931702&quot;/&gt;&lt;wsp:rsid wsp:val=&quot;00933AA7&quot;/&gt;&lt;wsp:rsid wsp:val=&quot;00942AE5&quot;/&gt;&lt;wsp:rsid wsp:val=&quot;00946CA5&quot;/&gt;&lt;wsp:rsid wsp:val=&quot;00950420&quot;/&gt;&lt;wsp:rsid wsp:val=&quot;0095301C&quot;/&gt;&lt;wsp:rsid wsp:val=&quot;00956437&quot;/&gt;&lt;wsp:rsid wsp:val=&quot;009618AC&quot;/&gt;&lt;wsp:rsid wsp:val=&quot;00964B7E&quot;/&gt;&lt;wsp:rsid wsp:val=&quot;009738B4&quot;/&gt;&lt;wsp:rsid wsp:val=&quot;0098241B&quot;/&gt;&lt;wsp:rsid wsp:val=&quot;00983910&quot;/&gt;&lt;wsp:rsid wsp:val=&quot;00983BEB&quot;/&gt;&lt;wsp:rsid wsp:val=&quot;00993096&quot;/&gt;&lt;wsp:rsid wsp:val=&quot;00994515&quot;/&gt;&lt;wsp:rsid wsp:val=&quot;009A045B&quot;/&gt;&lt;wsp:rsid wsp:val=&quot;009A0B69&quot;/&gt;&lt;wsp:rsid wsp:val=&quot;009A0CBC&quot;/&gt;&lt;wsp:rsid wsp:val=&quot;009A3635&quot;/&gt;&lt;wsp:rsid wsp:val=&quot;009A7C53&quot;/&gt;&lt;wsp:rsid wsp:val=&quot;009A7DEF&quot;/&gt;&lt;wsp:rsid wsp:val=&quot;009B1222&quot;/&gt;&lt;wsp:rsid wsp:val=&quot;009B20BD&quot;/&gt;&lt;wsp:rsid wsp:val=&quot;009B3218&quot;/&gt;&lt;wsp:rsid wsp:val=&quot;009B5A4A&quot;/&gt;&lt;wsp:rsid wsp:val=&quot;009C0727&quot;/&gt;&lt;wsp:rsid wsp:val=&quot;009C2A18&quot;/&gt;&lt;wsp:rsid wsp:val=&quot;009C5BD8&quot;/&gt;&lt;wsp:rsid wsp:val=&quot;009D4EBF&quot;/&gt;&lt;wsp:rsid wsp:val=&quot;009D60C3&quot;/&gt;&lt;wsp:rsid wsp:val=&quot;009D65FA&quot;/&gt;&lt;wsp:rsid wsp:val=&quot;009E14BD&quot;/&gt;&lt;wsp:rsid wsp:val=&quot;009E3BC0&quot;/&gt;&lt;wsp:rsid wsp:val=&quot;009E3DC2&quot;/&gt;&lt;wsp:rsid wsp:val=&quot;009E67B3&quot;/&gt;&lt;wsp:rsid wsp:val=&quot;009F4176&quot;/&gt;&lt;wsp:rsid wsp:val=&quot;00A0287C&quot;/&gt;&lt;wsp:rsid wsp:val=&quot;00A06828&quot;/&gt;&lt;wsp:rsid wsp:val=&quot;00A1419F&quot;/&gt;&lt;wsp:rsid wsp:val=&quot;00A157D7&quot;/&gt;&lt;wsp:rsid wsp:val=&quot;00A17573&quot;/&gt;&lt;wsp:rsid wsp:val=&quot;00A23C52&quot;/&gt;&lt;wsp:rsid wsp:val=&quot;00A24F93&quot;/&gt;&lt;wsp:rsid wsp:val=&quot;00A32A9B&quot;/&gt;&lt;wsp:rsid wsp:val=&quot;00A33810&quot;/&gt;&lt;wsp:rsid wsp:val=&quot;00A35CE0&quot;/&gt;&lt;wsp:rsid wsp:val=&quot;00A366B1&quot;/&gt;&lt;wsp:rsid wsp:val=&quot;00A37B91&quot;/&gt;&lt;wsp:rsid wsp:val=&quot;00A42ED1&quot;/&gt;&lt;wsp:rsid wsp:val=&quot;00A452B7&quot;/&gt;&lt;wsp:rsid wsp:val=&quot;00A47101&quot;/&gt;&lt;wsp:rsid wsp:val=&quot;00A512F0&quot;/&gt;&lt;wsp:rsid wsp:val=&quot;00A606A2&quot;/&gt;&lt;wsp:rsid wsp:val=&quot;00A65439&quot;/&gt;&lt;wsp:rsid wsp:val=&quot;00A66581&quot;/&gt;&lt;wsp:rsid wsp:val=&quot;00A72864&quot;/&gt;&lt;wsp:rsid wsp:val=&quot;00A73D1B&quot;/&gt;&lt;wsp:rsid wsp:val=&quot;00A8090D&quot;/&gt;&lt;wsp:rsid wsp:val=&quot;00A81B15&quot;/&gt;&lt;wsp:rsid wsp:val=&quot;00A8333C&quot;/&gt;&lt;wsp:rsid wsp:val=&quot;00A85DBC&quot;/&gt;&lt;wsp:rsid wsp:val=&quot;00A8794C&quot;/&gt;&lt;wsp:rsid wsp:val=&quot;00A905CE&quot;/&gt;&lt;wsp:rsid wsp:val=&quot;00A916C6&quot;/&gt;&lt;wsp:rsid wsp:val=&quot;00A9228E&quot;/&gt;&lt;wsp:rsid wsp:val=&quot;00A97103&quot;/&gt;&lt;wsp:rsid wsp:val=&quot;00AA4777&quot;/&gt;&lt;wsp:rsid wsp:val=&quot;00AB04CF&quot;/&gt;&lt;wsp:rsid wsp:val=&quot;00AB3F85&quot;/&gt;&lt;wsp:rsid wsp:val=&quot;00AB5F8A&quot;/&gt;&lt;wsp:rsid wsp:val=&quot;00AC5E34&quot;/&gt;&lt;wsp:rsid wsp:val=&quot;00AC6A80&quot;/&gt;&lt;wsp:rsid wsp:val=&quot;00AC7FB1&quot;/&gt;&lt;wsp:rsid wsp:val=&quot;00AD1303&quot;/&gt;&lt;wsp:rsid wsp:val=&quot;00AE298D&quot;/&gt;&lt;wsp:rsid wsp:val=&quot;00AE7963&quot;/&gt;&lt;wsp:rsid wsp:val=&quot;00AF54AF&quot;/&gt;&lt;wsp:rsid wsp:val=&quot;00B03A62&quot;/&gt;&lt;wsp:rsid wsp:val=&quot;00B04C37&quot;/&gt;&lt;wsp:rsid wsp:val=&quot;00B05755&quot;/&gt;&lt;wsp:rsid wsp:val=&quot;00B137C5&quot;/&gt;&lt;wsp:rsid wsp:val=&quot;00B16E2D&quot;/&gt;&lt;wsp:rsid wsp:val=&quot;00B2263D&quot;/&gt;&lt;wsp:rsid wsp:val=&quot;00B30F94&quot;/&gt;&lt;wsp:rsid wsp:val=&quot;00B32CC5&quot;/&gt;&lt;wsp:rsid wsp:val=&quot;00B42F64&quot;/&gt;&lt;wsp:rsid wsp:val=&quot;00B44ED4&quot;/&gt;&lt;wsp:rsid wsp:val=&quot;00B5068C&quot;/&gt;&lt;wsp:rsid wsp:val=&quot;00B55985&quot;/&gt;&lt;wsp:rsid wsp:val=&quot;00B6417D&quot;/&gt;&lt;wsp:rsid wsp:val=&quot;00B65F02&quot;/&gt;&lt;wsp:rsid wsp:val=&quot;00B72922&quot;/&gt;&lt;wsp:rsid wsp:val=&quot;00B8446C&quot;/&gt;&lt;wsp:rsid wsp:val=&quot;00B844F8&quot;/&gt;&lt;wsp:rsid wsp:val=&quot;00B93AFD&quot;/&gt;&lt;wsp:rsid wsp:val=&quot;00B97829&quot;/&gt;&lt;wsp:rsid wsp:val=&quot;00BA31BB&quot;/&gt;&lt;wsp:rsid wsp:val=&quot;00BB4CFF&quot;/&gt;&lt;wsp:rsid wsp:val=&quot;00BB75B4&quot;/&gt;&lt;wsp:rsid wsp:val=&quot;00BC5208&quot;/&gt;&lt;wsp:rsid wsp:val=&quot;00BC5581&quot;/&gt;&lt;wsp:rsid wsp:val=&quot;00BD3448&quot;/&gt;&lt;wsp:rsid wsp:val=&quot;00BE13FC&quot;/&gt;&lt;wsp:rsid wsp:val=&quot;00BE153E&quot;/&gt;&lt;wsp:rsid wsp:val=&quot;00BE3EBE&quot;/&gt;&lt;wsp:rsid wsp:val=&quot;00BE59DA&quot;/&gt;&lt;wsp:rsid wsp:val=&quot;00BF0A62&quot;/&gt;&lt;wsp:rsid wsp:val=&quot;00BF4DC4&quot;/&gt;&lt;wsp:rsid wsp:val=&quot;00BF79B5&quot;/&gt;&lt;wsp:rsid wsp:val=&quot;00C077A0&quot;/&gt;&lt;wsp:rsid wsp:val=&quot;00C24CF2&quot;/&gt;&lt;wsp:rsid wsp:val=&quot;00C26885&quot;/&gt;&lt;wsp:rsid wsp:val=&quot;00C34EFE&quot;/&gt;&lt;wsp:rsid wsp:val=&quot;00C37FE9&quot;/&gt;&lt;wsp:rsid wsp:val=&quot;00C478B2&quot;/&gt;&lt;wsp:rsid wsp:val=&quot;00C502FD&quot;/&gt;&lt;wsp:rsid wsp:val=&quot;00C5475D&quot;/&gt;&lt;wsp:rsid wsp:val=&quot;00C61111&quot;/&gt;&lt;wsp:rsid wsp:val=&quot;00C66DA1&quot;/&gt;&lt;wsp:rsid wsp:val=&quot;00C71C81&quot;/&gt;&lt;wsp:rsid wsp:val=&quot;00C83766&quot;/&gt;&lt;wsp:rsid wsp:val=&quot;00C843F2&quot;/&gt;&lt;wsp:rsid wsp:val=&quot;00C84C69&quot;/&gt;&lt;wsp:rsid wsp:val=&quot;00C85E23&quot;/&gt;&lt;wsp:rsid wsp:val=&quot;00C90C95&quot;/&gt;&lt;wsp:rsid wsp:val=&quot;00C951CE&quot;/&gt;&lt;wsp:rsid wsp:val=&quot;00C978F8&quot;/&gt;&lt;wsp:rsid wsp:val=&quot;00CA27A3&quot;/&gt;&lt;wsp:rsid wsp:val=&quot;00CC40D0&quot;/&gt;&lt;wsp:rsid wsp:val=&quot;00CD1412&quot;/&gt;&lt;wsp:rsid wsp:val=&quot;00CD478E&quot;/&gt;&lt;wsp:rsid wsp:val=&quot;00CD778B&quot;/&gt;&lt;wsp:rsid wsp:val=&quot;00CE6EB6&quot;/&gt;&lt;wsp:rsid wsp:val=&quot;00CF2949&quot;/&gt;&lt;wsp:rsid wsp:val=&quot;00CF45A6&quot;/&gt;&lt;wsp:rsid wsp:val=&quot;00CF6652&quot;/&gt;&lt;wsp:rsid wsp:val=&quot;00CF75DF&quot;/&gt;&lt;wsp:rsid wsp:val=&quot;00D00078&quot;/&gt;&lt;wsp:rsid wsp:val=&quot;00D053CE&quot;/&gt;&lt;wsp:rsid wsp:val=&quot;00D05A75&quot;/&gt;&lt;wsp:rsid wsp:val=&quot;00D06621&quot;/&gt;&lt;wsp:rsid wsp:val=&quot;00D12B47&quot;/&gt;&lt;wsp:rsid wsp:val=&quot;00D207A6&quot;/&gt;&lt;wsp:rsid wsp:val=&quot;00D20FC9&quot;/&gt;&lt;wsp:rsid wsp:val=&quot;00D21B4D&quot;/&gt;&lt;wsp:rsid wsp:val=&quot;00D23F1B&quot;/&gt;&lt;wsp:rsid wsp:val=&quot;00D252E8&quot;/&gt;&lt;wsp:rsid wsp:val=&quot;00D270EB&quot;/&gt;&lt;wsp:rsid wsp:val=&quot;00D272F6&quot;/&gt;&lt;wsp:rsid wsp:val=&quot;00D412E4&quot;/&gt;&lt;wsp:rsid wsp:val=&quot;00D4460E&quot;/&gt;&lt;wsp:rsid wsp:val=&quot;00D520E4&quot;/&gt;&lt;wsp:rsid wsp:val=&quot;00D52B50&quot;/&gt;&lt;wsp:rsid wsp:val=&quot;00D57DFA&quot;/&gt;&lt;wsp:rsid wsp:val=&quot;00D62FD3&quot;/&gt;&lt;wsp:rsid wsp:val=&quot;00D66CFB&quot;/&gt;&lt;wsp:rsid wsp:val=&quot;00D70368&quot;/&gt;&lt;wsp:rsid wsp:val=&quot;00D73B89&quot;/&gt;&lt;wsp:rsid wsp:val=&quot;00D747AE&quot;/&gt;&lt;wsp:rsid wsp:val=&quot;00D74C2C&quot;/&gt;&lt;wsp:rsid wsp:val=&quot;00D756B6&quot;/&gt;&lt;wsp:rsid wsp:val=&quot;00D75C28&quot;/&gt;&lt;wsp:rsid wsp:val=&quot;00D77B9B&quot;/&gt;&lt;wsp:rsid wsp:val=&quot;00D90CD4&quot;/&gt;&lt;wsp:rsid wsp:val=&quot;00D93AE1&quot;/&gt;&lt;wsp:rsid wsp:val=&quot;00DB40EA&quot;/&gt;&lt;wsp:rsid wsp:val=&quot;00DC10B4&quot;/&gt;&lt;wsp:rsid wsp:val=&quot;00DC5F5D&quot;/&gt;&lt;wsp:rsid wsp:val=&quot;00DC685B&quot;/&gt;&lt;wsp:rsid wsp:val=&quot;00DD0C2C&quot;/&gt;&lt;wsp:rsid wsp:val=&quot;00DD37DD&quot;/&gt;&lt;wsp:rsid wsp:val=&quot;00DE225F&quot;/&gt;&lt;wsp:rsid wsp:val=&quot;00DE231E&quot;/&gt;&lt;wsp:rsid wsp:val=&quot;00DE38F0&quot;/&gt;&lt;wsp:rsid wsp:val=&quot;00DE62F2&quot;/&gt;&lt;wsp:rsid wsp:val=&quot;00DE6D3B&quot;/&gt;&lt;wsp:rsid wsp:val=&quot;00DF0405&quot;/&gt;&lt;wsp:rsid wsp:val=&quot;00DF09DB&quot;/&gt;&lt;wsp:rsid wsp:val=&quot;00DF2A8C&quot;/&gt;&lt;wsp:rsid wsp:val=&quot;00DF5E91&quot;/&gt;&lt;wsp:rsid wsp:val=&quot;00E00AAB&quot;/&gt;&lt;wsp:rsid wsp:val=&quot;00E06187&quot;/&gt;&lt;wsp:rsid wsp:val=&quot;00E12A14&quot;/&gt;&lt;wsp:rsid wsp:val=&quot;00E168C5&quot;/&gt;&lt;wsp:rsid wsp:val=&quot;00E2145B&quot;/&gt;&lt;wsp:rsid wsp:val=&quot;00E22B22&quot;/&gt;&lt;wsp:rsid wsp:val=&quot;00E24B6F&quot;/&gt;&lt;wsp:rsid wsp:val=&quot;00E37431&quot;/&gt;&lt;wsp:rsid wsp:val=&quot;00E37DEF&quot;/&gt;&lt;wsp:rsid wsp:val=&quot;00E41C7B&quot;/&gt;&lt;wsp:rsid wsp:val=&quot;00E4273C&quot;/&gt;&lt;wsp:rsid wsp:val=&quot;00E45625&quot;/&gt;&lt;wsp:rsid wsp:val=&quot;00E5594C&quot;/&gt;&lt;wsp:rsid wsp:val=&quot;00E55ABC&quot;/&gt;&lt;wsp:rsid wsp:val=&quot;00E56C49&quot;/&gt;&lt;wsp:rsid wsp:val=&quot;00E57B74&quot;/&gt;&lt;wsp:rsid wsp:val=&quot;00E62D43&quot;/&gt;&lt;wsp:rsid wsp:val=&quot;00E74B94&quot;/&gt;&lt;wsp:rsid wsp:val=&quot;00E756EC&quot;/&gt;&lt;wsp:rsid wsp:val=&quot;00E77E4F&quot;/&gt;&lt;wsp:rsid wsp:val=&quot;00E8253C&quot;/&gt;&lt;wsp:rsid wsp:val=&quot;00E856F0&quot;/&gt;&lt;wsp:rsid wsp:val=&quot;00E8629F&quot;/&gt;&lt;wsp:rsid wsp:val=&quot;00EA3C24&quot;/&gt;&lt;wsp:rsid wsp:val=&quot;00EB06DB&quot;/&gt;&lt;wsp:rsid wsp:val=&quot;00EB2441&quot;/&gt;&lt;wsp:rsid wsp:val=&quot;00EB3BDE&quot;/&gt;&lt;wsp:rsid wsp:val=&quot;00EB40CC&quot;/&gt;&lt;wsp:rsid wsp:val=&quot;00EB48F8&quot;/&gt;&lt;wsp:rsid wsp:val=&quot;00EC0173&quot;/&gt;&lt;wsp:rsid wsp:val=&quot;00EC3A78&quot;/&gt;&lt;wsp:rsid wsp:val=&quot;00EE08D5&quot;/&gt;&lt;wsp:rsid wsp:val=&quot;00EE0FAD&quot;/&gt;&lt;wsp:rsid wsp:val=&quot;00EE6DF5&quot;/&gt;&lt;wsp:rsid wsp:val=&quot;00EF1C15&quot;/&gt;&lt;wsp:rsid wsp:val=&quot;00EF3776&quot;/&gt;&lt;wsp:rsid wsp:val=&quot;00F06734&quot;/&gt;&lt;wsp:rsid wsp:val=&quot;00F072D8&quot;/&gt;&lt;wsp:rsid wsp:val=&quot;00F11204&quot;/&gt;&lt;wsp:rsid wsp:val=&quot;00F16427&quot;/&gt;&lt;wsp:rsid wsp:val=&quot;00F16DB5&quot;/&gt;&lt;wsp:rsid wsp:val=&quot;00F25A43&quot;/&gt;&lt;wsp:rsid wsp:val=&quot;00F35E53&quot;/&gt;&lt;wsp:rsid wsp:val=&quot;00F40E74&quot;/&gt;&lt;wsp:rsid wsp:val=&quot;00F4134D&quot;/&gt;&lt;wsp:rsid wsp:val=&quot;00F5194D&quot;/&gt;&lt;wsp:rsid wsp:val=&quot;00F52B00&quot;/&gt;&lt;wsp:rsid wsp:val=&quot;00F571A7&quot;/&gt;&lt;wsp:rsid wsp:val=&quot;00F6033E&quot;/&gt;&lt;wsp:rsid wsp:val=&quot;00F60FEE&quot;/&gt;&lt;wsp:rsid wsp:val=&quot;00F6155D&quot;/&gt;&lt;wsp:rsid wsp:val=&quot;00F641D8&quot;/&gt;&lt;wsp:rsid wsp:val=&quot;00F65625&quot;/&gt;&lt;wsp:rsid wsp:val=&quot;00F67996&quot;/&gt;&lt;wsp:rsid wsp:val=&quot;00F831D0&quot;/&gt;&lt;wsp:rsid wsp:val=&quot;00F847D7&quot;/&gt;&lt;wsp:rsid wsp:val=&quot;00F93E6E&quot;/&gt;&lt;wsp:rsid wsp:val=&quot;00F96B11&quot;/&gt;&lt;wsp:rsid wsp:val=&quot;00FA1D57&quot;/&gt;&lt;wsp:rsid wsp:val=&quot;00FA2F56&quot;/&gt;&lt;wsp:rsid wsp:val=&quot;00FC0445&quot;/&gt;&lt;wsp:rsid wsp:val=&quot;00FC051F&quot;/&gt;&lt;wsp:rsid wsp:val=&quot;00FC3AE8&quot;/&gt;&lt;wsp:rsid wsp:val=&quot;00FC406D&quot;/&gt;&lt;wsp:rsid wsp:val=&quot;00FC7D60&quot;/&gt;&lt;wsp:rsid wsp:val=&quot;00FE45D3&quot;/&gt;&lt;wsp:rsid wsp:val=&quot;00FE578B&quot;/&gt;&lt;wsp:rsid wsp:val=&quot;00FE735A&quot;/&gt;&lt;wsp:rsid wsp:val=&quot;00FE7B4F&quot;/&gt;&lt;wsp:rsid wsp:val=&quot;00FF39B0&quot;/&gt;&lt;wsp:rsid wsp:val=&quot;00FF3F08&quot;/&gt;&lt;wsp:rsid wsp:val=&quot;00FF4188&quot;/&gt;&lt;wsp:rsid wsp:val=&quot;00FF4CEC&quot;/&gt;&lt;wsp:rsid wsp:val=&quot;00FF63CE&quot;/&gt;&lt;/wsp:rsids&gt;&lt;/w:docPr&gt;&lt;w:body&gt;&lt;wx:sect&gt;&lt;w:p wsp:rsidR=&quot;00000000&quot; wsp:rsidRDefault=&quot;00B6417D&quot; wsp:rsidP=&quot;00B6417D&quot;&gt;&lt;m:oMathPara&gt;&lt;m:oMath&gt;&lt;m:sSub&gt;&lt;m:sSubPr&gt;&lt;m:ctrlPr&gt;&lt;aml:annotation aml:id=&quot;0&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ADSL&quot; aml:createdate=&quot;2018-06-15T00:0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ADSL&quot; aml:createdate=&quot;2018-06-15T00:03:00Z&quot;&gt;&lt;aml:content&gt;&lt;m:rPr&gt;&lt;m:sty m:val=&quot;p&quot;/&gt;&lt;/m:rPr&gt;&lt;w:rPr&gt;&lt;w:rFonts w:ascii=&quot;Cambria Math&quot; w:h-ansi=&quot;Cambria Math&quot;/&gt;&lt;wx:font wx:val=&quot;Cambria Math&quot;/&gt;&lt;/w:rPr&gt;&lt;m:t&gt;TA&lt;/m:t&gt;&lt;/aml:content&gt;&lt;/aml:annotation&gt;&lt;/m:r&gt;&lt;/m:sub&gt;&lt;/m:sSub&gt;&lt;m:r&gt;&lt;aml:annotation aml:id=&quot;3&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d&gt;&lt;m:dPr&gt;&lt;m:ctrlPr&gt;&lt;aml:annotation aml:id=&quot;4&quot; w:type=&quot;Word.Insertion&quot; aml:author=&quot;ADSL&quot; aml:createdate=&quot;2018-06-15T00:03:00Z&quot;&gt;&lt;aml:content&gt;&lt;w:rPr&gt;&lt;w:rFonts w:ascii=&quot;Cambria Math&quot; w:h-ansi=&quot;Cambria Math&quot;/&gt;&lt;wx:font wx:val=&quot;Cambria Math&quot;/&gt;&lt;w:i/&gt;&lt;/w:rPr&gt;&lt;/aml:content&gt;&lt;/aml:annotation&gt;&lt;/m:ctrlPr&gt;&lt;/m:dPr&gt;&lt;m:e&gt;&lt;m:sSub&gt;&lt;m:sSubPr&gt;&lt;m:ctrlPr&gt;&lt;aml:annotation aml:id=&quot;5&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ADSL&quot; aml:createdate=&quot;2018-06-15T00:03: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ADSL&quot; aml:createdate=&quot;2018-06-15T00:03:00Z&quot;&gt;&lt;aml:content&gt;&lt;m:rPr&gt;&lt;m:sty m:val=&quot;p&quot;/&gt;&lt;/m:rPr&gt;&lt;w:rPr&gt;&lt;w:rFonts w:ascii=&quot;Cambria Math&quot; w:h-ansi=&quot;Cambria Math&quot;/&gt;&lt;wx:font wx:val=&quot;Cambria Math&quot;/&gt;&lt;/w:rPr&gt;&lt;m:t&gt;TA&lt;/m:t&gt;&lt;/aml:content&gt;&lt;/aml:annotation&gt;&lt;/m:r&gt;&lt;/m:sub&gt;&lt;/m:sSub&gt;&lt;m:r&gt;&lt;aml:annotation aml:id=&quot;8&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ADSL&quot; aml:createdate=&quot;2018-06-15T00:03: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ADSL&quot; aml:createdate=&quot;2018-06-15T00:03:00Z&quot;&gt;&lt;aml:content&gt;&lt;m:rPr&gt;&lt;m:sty m:val=&quot;p&quot;/&gt;&lt;/m:rPr&gt;&lt;w:rPr&gt;&lt;w:rFonts w:ascii=&quot;Cambria Math&quot; w:h-ansi=&quot;Cambria Math&quot;/&gt;&lt;wx:font wx:val=&quot;Cambria Math&quot;/&gt;&lt;/w:rPr&gt;&lt;m:t&gt;TA, offset&lt;/m:t&gt;&lt;/aml:content&gt;&lt;/aml:annotation&gt;&lt;/m:r&gt;&lt;/m:sub&gt;&lt;/m:sSub&gt;&lt;/m:e&gt;&lt;/m:d&gt;&lt;m:r&gt;&lt;aml:annotation aml:id=&quot;12&quot; w:type=&quot;Word.Insertion&quot; aml:author=&quot;ADSL&quot; aml:createdate=&quot;2018-06-15T00:03: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lutchor=&quot;ADSL&quot; aml:createdate=&quot;2018-06-15T00:03: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ADSL&quot; aml:createdate=&quot;2018-06-15T00:03:00Z&quot;&gt;&lt;aml:content&gt;&lt;w:rPr&gt;&lt;w:rFonts w:ascii=&quot;Cambria Math&quot; w:h-ansi=&quot;Cambria Math&quot;/&gt;&lt;wx:font wx:val=&quot;Cambria Math&quot;/&gt;&lt;w:i/&gt;&lt;/w:rPr&gt;&lt;m:t&gt;T&lt;/m:t&gt;&lt;/aml:content&gt;&lt;/aml:annotation&gt;&lt;/m:r&gt;&lt;/m:e&gt;&lt;m:sub&gt;&lt;m:r&gt;&lt;aml:annotation aml:id=&quot;15&quot; w:type=&quot;Word.Insertion&quot; aml:author=&quot;ADSL&quot; aml:createdate=&quot;2018-06-15T00:03:00Z&quot;&gt;&lt;aml:content&gt;&lt;m:rPr&gt;&lt;m:sty m:val=&quot;p&quot;/&gt;&lt;/m:rPr&gt;&lt;w:rPr&gt;&lt;w:rFonts w:ascii=&quot;Cambria Math&quot; w:h-ansi=&quot;Cambria Math&quot;/&gt;&lt;wx:font wx:val=&quot;Cambria Math&quot;/&gt;&lt;/w:rPr&gt;&lt;m:t&gt;C&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ascii="Times" w:hAnsi="Times" w:eastAsia="宋体"/>
          <w:sz w:val="22"/>
          <w:szCs w:val="22"/>
          <w:lang w:eastAsia="zh-CN"/>
        </w:rPr>
        <w:instrText xml:space="preserve"> </w:instrText>
      </w:r>
      <w:r>
        <w:rPr>
          <w:rFonts w:hint="eastAsia" w:ascii="Times" w:hAnsi="Times" w:eastAsia="宋体"/>
          <w:sz w:val="22"/>
          <w:szCs w:val="22"/>
          <w:lang w:eastAsia="zh-CN"/>
        </w:rPr>
        <w:fldChar w:fldCharType="end"/>
      </w:r>
      <w:r>
        <w:rPr>
          <w:rFonts w:hint="eastAsia" w:ascii="Times" w:hAnsi="Times" w:eastAsia="宋体"/>
          <w:sz w:val="22"/>
          <w:szCs w:val="22"/>
          <w:lang w:eastAsia="zh-CN"/>
        </w:rPr>
        <w:t xml:space="preserve"> </w:t>
      </w:r>
      <w:r>
        <w:rPr>
          <w:rFonts w:hint="eastAsia" w:ascii="Times" w:hAnsi="Times" w:eastAsia="宋体"/>
          <w:position w:val="-14"/>
          <w:sz w:val="22"/>
          <w:szCs w:val="22"/>
          <w:lang w:eastAsia="zh-CN"/>
        </w:rPr>
        <w:object>
          <v:shape id="_x0000_i1027" o:spt="75" type="#_x0000_t75" style="height:19.35pt;width:121.95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6" r:id="rId8">
            <o:LockedField>false</o:LockedField>
          </o:OLEObject>
        </w:object>
      </w:r>
      <w:r>
        <w:rPr>
          <w:rFonts w:hint="eastAsia" w:ascii="Times" w:hAnsi="Times" w:eastAsia="宋体"/>
          <w:sz w:val="22"/>
          <w:szCs w:val="22"/>
          <w:lang w:eastAsia="zh-CN"/>
        </w:rPr>
        <w:t xml:space="preserve">before the start of the corresponding downlink frame </w:t>
      </w:r>
      <w:r>
        <w:rPr>
          <w:rFonts w:hint="eastAsia" w:ascii="Times" w:hAnsi="Times" w:eastAsia="宋体"/>
          <w:position w:val="-6"/>
          <w:sz w:val="22"/>
          <w:szCs w:val="22"/>
          <w:lang w:eastAsia="zh-CN"/>
        </w:rPr>
        <w:object>
          <v:shape id="_x0000_i1028" o:spt="75" type="#_x0000_t75" style="height:12.9pt;width:7pt;" o:ole="t" filled="f" o:preferrelative="t" stroked="f" coordsize="21600,21600">
            <v:path/>
            <v:fill on="f" focussize="0,0"/>
            <v:stroke on="f" joinstyle="miter"/>
            <v:imagedata r:id="rId11" o:title=""/>
            <o:lock v:ext="edit" aspectratio="t"/>
            <w10:wrap type="none"/>
            <w10:anchorlock/>
          </v:shape>
          <o:OLEObject Type="Embed" ProgID="Equation.KSEE3" ShapeID="_x0000_i1028" DrawAspect="Content" ObjectID="_1468075727" r:id="rId10">
            <o:LockedField>false</o:LockedField>
          </o:OLEObject>
        </w:object>
      </w:r>
      <w:r>
        <w:rPr>
          <w:rFonts w:hint="eastAsia" w:ascii="Times" w:hAnsi="Times" w:eastAsia="宋体"/>
          <w:sz w:val="22"/>
          <w:szCs w:val="22"/>
          <w:lang w:eastAsia="zh-CN"/>
        </w:rPr>
        <w:t xml:space="preserve"> at the UE</w:t>
      </w:r>
      <w:r>
        <w:rPr>
          <w:rFonts w:hint="eastAsia" w:ascii="Times" w:hAnsi="Times" w:eastAsia="宋体"/>
          <w:sz w:val="22"/>
          <w:szCs w:val="22"/>
          <w:lang w:val="en-US" w:eastAsia="zh-CN"/>
        </w:rPr>
        <w:t xml:space="preserve"> side</w:t>
      </w:r>
      <w:r>
        <w:rPr>
          <w:rFonts w:hint="eastAsia" w:ascii="Times" w:hAnsi="Times" w:eastAsia="宋体"/>
          <w:sz w:val="22"/>
          <w:szCs w:val="22"/>
          <w:lang w:eastAsia="zh-CN"/>
        </w:rPr>
        <w:t>, where</w:t>
      </w:r>
      <w:r>
        <w:rPr>
          <w:rFonts w:hint="eastAsia" w:ascii="Times" w:hAnsi="Times" w:eastAsia="宋体"/>
          <w:position w:val="-10"/>
          <w:sz w:val="22"/>
          <w:szCs w:val="22"/>
          <w:lang w:eastAsia="zh-CN"/>
        </w:rPr>
        <w:object>
          <v:shape id="_x0000_i1029" o:spt="75" type="#_x0000_t75" style="height:16.65pt;width:20.95pt;" o:ole="t" filled="f" o:preferrelative="t" stroked="f" coordsize="21600,21600">
            <v:path/>
            <v:fill on="f" focussize="0,0"/>
            <v:stroke on="f" joinstyle="miter"/>
            <v:imagedata r:id="rId13" o:title=""/>
            <o:lock v:ext="edit" aspectratio="t"/>
            <w10:wrap type="none"/>
            <w10:anchorlock/>
          </v:shape>
          <o:OLEObject Type="Embed" ProgID="Equation.KSEE3" ShapeID="_x0000_i1029" DrawAspect="Content" ObjectID="_1468075728" r:id="rId12">
            <o:LockedField>false</o:LockedField>
          </o:OLEObject>
        </w:object>
      </w:r>
      <w:r>
        <w:rPr>
          <w:sz w:val="22"/>
          <w:szCs w:val="22"/>
        </w:rPr>
        <w:t>is</w:t>
      </w:r>
      <w:r>
        <w:rPr>
          <w:rFonts w:hint="eastAsia" w:eastAsia="宋体"/>
          <w:sz w:val="22"/>
          <w:szCs w:val="22"/>
          <w:lang w:eastAsia="zh-CN"/>
        </w:rPr>
        <w:t xml:space="preserve"> </w:t>
      </w:r>
      <w:r>
        <w:rPr>
          <w:sz w:val="22"/>
          <w:szCs w:val="22"/>
        </w:rPr>
        <w:t>given by</w:t>
      </w:r>
      <w:r>
        <w:rPr>
          <w:rFonts w:hint="eastAsia" w:eastAsia="宋体"/>
          <w:sz w:val="22"/>
          <w:szCs w:val="22"/>
          <w:lang w:eastAsia="zh-CN"/>
        </w:rPr>
        <w:t xml:space="preserve"> </w:t>
      </w:r>
      <w:r>
        <w:rPr>
          <w:rFonts w:hint="eastAsia" w:eastAsia="宋体"/>
          <w:position w:val="-10"/>
          <w:sz w:val="22"/>
          <w:szCs w:val="22"/>
          <w:lang w:eastAsia="zh-CN"/>
        </w:rPr>
        <w:object>
          <v:shape id="_x0000_i1030" o:spt="75" type="#_x0000_t75" style="height:18.25pt;width:105.3pt;" o:ole="t" filled="f" o:preferrelative="t" stroked="f" coordsize="21600,21600">
            <v:path/>
            <v:fill on="f" focussize="0,0"/>
            <v:stroke on="f" joinstyle="miter"/>
            <v:imagedata r:id="rId15" o:title=""/>
            <o:lock v:ext="edit" aspectratio="t"/>
            <w10:wrap type="none"/>
            <w10:anchorlock/>
          </v:shape>
          <o:OLEObject Type="Embed" ProgID="Equation.KSEE3" ShapeID="_x0000_i1030" DrawAspect="Content" ObjectID="_1468075729" r:id="rId14">
            <o:LockedField>false</o:LockedField>
          </o:OLEObject>
        </w:object>
      </w:r>
      <w:r>
        <w:rPr>
          <w:rFonts w:hint="eastAsia" w:eastAsia="宋体"/>
          <w:sz w:val="22"/>
          <w:szCs w:val="22"/>
          <w:lang w:eastAsia="zh-CN"/>
        </w:rPr>
        <w:t>,</w:t>
      </w:r>
      <w:r>
        <w:rPr>
          <w:rFonts w:hint="eastAsia" w:eastAsia="宋体"/>
          <w:position w:val="-10"/>
          <w:sz w:val="22"/>
          <w:szCs w:val="22"/>
          <w:lang w:eastAsia="zh-CN"/>
        </w:rPr>
        <w:object>
          <v:shape id="_x0000_i1031" o:spt="75" type="#_x0000_t75" style="height:16.1pt;width:70.95pt;" o:ole="t" filled="f" o:preferrelative="t" stroked="f" coordsize="21600,21600">
            <v:path/>
            <v:fill on="f" focussize="0,0"/>
            <v:stroke on="f" joinstyle="miter"/>
            <v:imagedata r:id="rId17" o:title=""/>
            <o:lock v:ext="edit" aspectratio="t"/>
            <w10:wrap type="none"/>
            <w10:anchorlock/>
          </v:shape>
          <o:OLEObject Type="Embed" ProgID="Equation.KSEE3" ShapeID="_x0000_i1031" DrawAspect="Content" ObjectID="_1468075730" r:id="rId16">
            <o:LockedField>false</o:LockedField>
          </o:OLEObject>
        </w:object>
      </w:r>
      <w:r>
        <w:rPr>
          <w:rFonts w:hint="eastAsia" w:eastAsia="宋体"/>
          <w:sz w:val="22"/>
          <w:szCs w:val="22"/>
          <w:lang w:eastAsia="zh-CN"/>
        </w:rPr>
        <w:t xml:space="preserve">and TA is an integer between 0 and 3846 (in case of </w:t>
      </w:r>
      <w:r>
        <w:rPr>
          <w:rFonts w:hint="eastAsia" w:eastAsia="宋体"/>
          <w:sz w:val="22"/>
          <w:szCs w:val="22"/>
          <w:lang w:val="en-US" w:eastAsia="zh-CN"/>
        </w:rPr>
        <w:t xml:space="preserve">indicated by </w:t>
      </w:r>
      <w:r>
        <w:rPr>
          <w:rFonts w:hint="eastAsia" w:eastAsia="宋体"/>
          <w:sz w:val="22"/>
          <w:szCs w:val="22"/>
          <w:lang w:eastAsia="zh-CN"/>
        </w:rPr>
        <w:t xml:space="preserve">random access response)[2], </w:t>
      </w:r>
      <w:r>
        <w:rPr>
          <w:sz w:val="22"/>
          <w:szCs w:val="22"/>
        </w:rPr>
        <w:t xml:space="preserve">with the time unit time units </w:t>
      </w:r>
      <w:r>
        <w:rPr>
          <w:position w:val="-10"/>
          <w:sz w:val="22"/>
          <w:szCs w:val="22"/>
          <w:lang w:eastAsia="zh-CN"/>
        </w:rPr>
        <w:drawing>
          <wp:inline distT="0" distB="0" distL="114300" distR="114300">
            <wp:extent cx="1000760" cy="207010"/>
            <wp:effectExtent l="0" t="0" r="8890" b="254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pic:cNvPicPr>
                      <a:picLocks noChangeAspect="1"/>
                    </pic:cNvPicPr>
                  </pic:nvPicPr>
                  <pic:blipFill>
                    <a:blip r:embed="rId18"/>
                    <a:stretch>
                      <a:fillRect/>
                    </a:stretch>
                  </pic:blipFill>
                  <pic:spPr>
                    <a:xfrm>
                      <a:off x="0" y="0"/>
                      <a:ext cx="1000760" cy="207010"/>
                    </a:xfrm>
                    <a:prstGeom prst="rect">
                      <a:avLst/>
                    </a:prstGeom>
                    <a:noFill/>
                    <a:ln>
                      <a:noFill/>
                    </a:ln>
                  </pic:spPr>
                </pic:pic>
              </a:graphicData>
            </a:graphic>
          </wp:inline>
        </w:drawing>
      </w:r>
      <w:r>
        <w:rPr>
          <w:sz w:val="22"/>
          <w:szCs w:val="22"/>
        </w:rPr>
        <w:t xml:space="preserve"> where </w:t>
      </w:r>
      <w:r>
        <w:rPr>
          <w:position w:val="-10"/>
          <w:sz w:val="22"/>
          <w:szCs w:val="22"/>
          <w:lang w:eastAsia="zh-CN"/>
        </w:rPr>
        <w:drawing>
          <wp:inline distT="0" distB="0" distL="114300" distR="114300">
            <wp:extent cx="880110" cy="224155"/>
            <wp:effectExtent l="0" t="0" r="15240" b="381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19"/>
                    <a:stretch>
                      <a:fillRect/>
                    </a:stretch>
                  </pic:blipFill>
                  <pic:spPr>
                    <a:xfrm>
                      <a:off x="0" y="0"/>
                      <a:ext cx="880110" cy="224155"/>
                    </a:xfrm>
                    <a:prstGeom prst="rect">
                      <a:avLst/>
                    </a:prstGeom>
                    <a:noFill/>
                    <a:ln>
                      <a:noFill/>
                    </a:ln>
                  </pic:spPr>
                </pic:pic>
              </a:graphicData>
            </a:graphic>
          </wp:inline>
        </w:drawing>
      </w:r>
      <w:r>
        <w:rPr>
          <w:sz w:val="22"/>
          <w:szCs w:val="22"/>
        </w:rPr>
        <w:t xml:space="preserve"> Hz and </w:t>
      </w:r>
      <w:r>
        <w:rPr>
          <w:position w:val="-10"/>
          <w:sz w:val="22"/>
          <w:szCs w:val="22"/>
          <w:lang w:eastAsia="zh-CN"/>
        </w:rPr>
        <w:drawing>
          <wp:inline distT="0" distB="0" distL="114300" distR="114300">
            <wp:extent cx="577850" cy="207010"/>
            <wp:effectExtent l="0" t="0" r="12700" b="190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0"/>
                    <a:stretch>
                      <a:fillRect/>
                    </a:stretch>
                  </pic:blipFill>
                  <pic:spPr>
                    <a:xfrm>
                      <a:off x="0" y="0"/>
                      <a:ext cx="577850" cy="207010"/>
                    </a:xfrm>
                    <a:prstGeom prst="rect">
                      <a:avLst/>
                    </a:prstGeom>
                    <a:noFill/>
                    <a:ln>
                      <a:noFill/>
                    </a:ln>
                  </pic:spPr>
                </pic:pic>
              </a:graphicData>
            </a:graphic>
          </wp:inline>
        </w:drawing>
      </w:r>
      <w:r>
        <w:rPr>
          <w:sz w:val="22"/>
          <w:szCs w:val="22"/>
        </w:rPr>
        <w:t xml:space="preserve"> (</w:t>
      </w:r>
      <w:r>
        <w:rPr>
          <w:i/>
          <w:sz w:val="22"/>
          <w:szCs w:val="22"/>
        </w:rPr>
        <w:t>T</w:t>
      </w:r>
      <w:r>
        <w:rPr>
          <w:i/>
          <w:sz w:val="22"/>
          <w:szCs w:val="22"/>
          <w:vertAlign w:val="subscript"/>
        </w:rPr>
        <w:t>c</w:t>
      </w:r>
      <w:r>
        <w:rPr>
          <w:sz w:val="22"/>
          <w:szCs w:val="22"/>
        </w:rPr>
        <w:t>=0.509</w:t>
      </w:r>
      <w:r>
        <w:rPr>
          <w:rFonts w:hint="eastAsia" w:ascii="黑体" w:hAnsi="黑体" w:eastAsia="黑体"/>
          <w:sz w:val="22"/>
          <w:szCs w:val="22"/>
        </w:rPr>
        <w:t>ⅹ</w:t>
      </w:r>
      <w:r>
        <w:rPr>
          <w:sz w:val="22"/>
          <w:szCs w:val="22"/>
        </w:rPr>
        <w:t>10</w:t>
      </w:r>
      <w:r>
        <w:rPr>
          <w:sz w:val="22"/>
          <w:szCs w:val="22"/>
          <w:vertAlign w:val="superscript"/>
        </w:rPr>
        <w:t>-6</w:t>
      </w:r>
      <w:r>
        <w:rPr>
          <w:sz w:val="22"/>
          <w:szCs w:val="22"/>
        </w:rPr>
        <w:t>ms).</w:t>
      </w:r>
      <w:r>
        <w:rPr>
          <w:rFonts w:hint="eastAsia" w:eastAsia="宋体"/>
          <w:sz w:val="22"/>
          <w:szCs w:val="22"/>
          <w:lang w:eastAsia="zh-CN"/>
        </w:rPr>
        <w:t xml:space="preserve"> </w:t>
      </w:r>
      <w:r>
        <w:rPr>
          <w:rFonts w:hint="eastAsia" w:ascii="Times" w:hAnsi="Times" w:eastAsia="宋体"/>
          <w:position w:val="-14"/>
          <w:sz w:val="22"/>
          <w:szCs w:val="22"/>
          <w:lang w:eastAsia="zh-CN"/>
        </w:rPr>
        <w:object>
          <v:shape id="_x0000_i1032" o:spt="75" type="#_x0000_t75" style="height:19.35pt;width:38.7pt;" o:ole="t" filled="f" o:preferrelative="t" stroked="f" coordsize="21600,21600">
            <v:path/>
            <v:fill on="f" focussize="0,0"/>
            <v:stroke on="f" joinstyle="miter"/>
            <v:imagedata r:id="rId22" o:title=""/>
            <o:lock v:ext="edit" aspectratio="t"/>
            <w10:wrap type="none"/>
            <w10:anchorlock/>
          </v:shape>
          <o:OLEObject Type="Embed" ProgID="Equation.KSEE3" ShapeID="_x0000_i1032" DrawAspect="Content" ObjectID="_1468075731" r:id="rId21">
            <o:LockedField>false</o:LockedField>
          </o:OLEObject>
        </w:object>
      </w:r>
      <w:r>
        <w:rPr>
          <w:rFonts w:hint="eastAsia" w:ascii="Times" w:hAnsi="Times" w:eastAsia="宋体"/>
          <w:sz w:val="22"/>
          <w:szCs w:val="22"/>
          <w:lang w:eastAsia="zh-CN"/>
        </w:rPr>
        <w:t>depends on the duplex mode and frequency range in uplink transmission [3].</w:t>
      </w:r>
    </w:p>
    <w:p>
      <w:pPr>
        <w:spacing w:beforeLines="50" w:afterLines="50" w:line="240" w:lineRule="atLeast"/>
        <w:jc w:val="center"/>
      </w:pPr>
      <w:r>
        <w:rPr>
          <w:lang w:eastAsia="zh-CN"/>
        </w:rPr>
        <w:drawing>
          <wp:inline distT="0" distB="0" distL="114300" distR="114300">
            <wp:extent cx="4533900" cy="2555875"/>
            <wp:effectExtent l="0" t="0" r="0" b="158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3"/>
                    <a:stretch>
                      <a:fillRect/>
                    </a:stretch>
                  </pic:blipFill>
                  <pic:spPr>
                    <a:xfrm>
                      <a:off x="0" y="0"/>
                      <a:ext cx="4533900" cy="2555875"/>
                    </a:xfrm>
                    <a:prstGeom prst="rect">
                      <a:avLst/>
                    </a:prstGeom>
                    <a:noFill/>
                    <a:ln>
                      <a:noFill/>
                    </a:ln>
                  </pic:spPr>
                </pic:pic>
              </a:graphicData>
            </a:graphic>
          </wp:inline>
        </w:drawing>
      </w:r>
    </w:p>
    <w:p>
      <w:pPr>
        <w:pStyle w:val="65"/>
        <w:spacing w:beforeLines="50" w:afterLines="50" w:line="240" w:lineRule="atLeast"/>
        <w:rPr>
          <w:lang w:val="en-US" w:eastAsia="zh-CN"/>
        </w:rPr>
      </w:pPr>
      <w:r>
        <w:t>Fig 1: Time alignment at gNB with TA</w:t>
      </w:r>
    </w:p>
    <w:p>
      <w:pPr>
        <w:spacing w:beforeLines="50" w:afterLines="50" w:line="240" w:lineRule="atLeast"/>
        <w:jc w:val="both"/>
        <w:rPr>
          <w:sz w:val="22"/>
          <w:szCs w:val="22"/>
        </w:rPr>
      </w:pPr>
      <w:r>
        <w:rPr>
          <w:sz w:val="22"/>
          <w:szCs w:val="22"/>
        </w:rPr>
        <w:t xml:space="preserve">The maximum value of the TA command sent in RAR message constraints the maximum distance between an UE and the serving </w:t>
      </w:r>
      <w:r>
        <w:rPr>
          <w:rFonts w:hint="eastAsia" w:eastAsia="宋体"/>
          <w:sz w:val="22"/>
          <w:szCs w:val="22"/>
          <w:lang w:val="en-US" w:eastAsia="zh-CN"/>
        </w:rPr>
        <w:t>gNB</w:t>
      </w:r>
      <w:r>
        <w:rPr>
          <w:sz w:val="22"/>
          <w:szCs w:val="22"/>
        </w:rPr>
        <w:t>, which also defines the maximum allowed cell size, as illustrated in Table 1</w:t>
      </w:r>
      <w:r>
        <w:rPr>
          <w:rFonts w:hint="eastAsia" w:eastAsia="宋体"/>
          <w:sz w:val="22"/>
          <w:szCs w:val="22"/>
          <w:lang w:eastAsia="zh-CN"/>
        </w:rPr>
        <w:t>[4]</w:t>
      </w:r>
      <w:r>
        <w:rPr>
          <w:sz w:val="22"/>
          <w:szCs w:val="22"/>
        </w:rPr>
        <w:t>.</w:t>
      </w:r>
    </w:p>
    <w:p>
      <w:pPr>
        <w:pStyle w:val="65"/>
        <w:spacing w:beforeLines="50" w:afterLines="50" w:line="240" w:lineRule="atLeast"/>
        <w:rPr>
          <w:sz w:val="21"/>
          <w:szCs w:val="22"/>
        </w:rPr>
      </w:pPr>
      <w:r>
        <w:rPr>
          <w:sz w:val="21"/>
          <w:szCs w:val="22"/>
        </w:rPr>
        <w:t>Table 1: Terrestrial link distance for 5G NR</w:t>
      </w:r>
    </w:p>
    <w:tbl>
      <w:tblPr>
        <w:tblStyle w:val="21"/>
        <w:tblW w:w="93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966"/>
        <w:gridCol w:w="1012"/>
        <w:gridCol w:w="1170"/>
        <w:gridCol w:w="1170"/>
        <w:gridCol w:w="1170"/>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2639" w:type="dxa"/>
          </w:tcPr>
          <w:p>
            <w:pPr>
              <w:pStyle w:val="56"/>
              <w:spacing w:beforeLines="50" w:afterLines="50" w:line="240" w:lineRule="atLeast"/>
              <w:rPr>
                <w:rFonts w:eastAsia="Calibri"/>
                <w:sz w:val="22"/>
                <w:szCs w:val="22"/>
              </w:rPr>
            </w:pPr>
            <w:r>
              <w:rPr>
                <w:rFonts w:eastAsia="Calibri"/>
                <w:sz w:val="22"/>
                <w:szCs w:val="22"/>
              </w:rPr>
              <w:t>Sub</w:t>
            </w:r>
            <w:r>
              <w:rPr>
                <w:rFonts w:hint="eastAsia" w:eastAsia="宋体"/>
                <w:sz w:val="22"/>
                <w:szCs w:val="22"/>
                <w:lang w:val="en-US" w:eastAsia="zh-CN"/>
              </w:rPr>
              <w:t>-</w:t>
            </w:r>
            <w:r>
              <w:rPr>
                <w:rFonts w:eastAsia="Calibri"/>
                <w:sz w:val="22"/>
                <w:szCs w:val="22"/>
              </w:rPr>
              <w:t xml:space="preserve">carrier spacing </w:t>
            </w:r>
          </w:p>
        </w:tc>
        <w:tc>
          <w:tcPr>
            <w:tcW w:w="966" w:type="dxa"/>
          </w:tcPr>
          <w:p>
            <w:pPr>
              <w:pStyle w:val="56"/>
              <w:spacing w:beforeLines="50" w:afterLines="50" w:line="240" w:lineRule="atLeast"/>
              <w:rPr>
                <w:rFonts w:eastAsia="Calibri"/>
                <w:sz w:val="22"/>
                <w:szCs w:val="22"/>
              </w:rPr>
            </w:pPr>
            <w:r>
              <w:rPr>
                <w:rFonts w:eastAsia="Calibri"/>
                <w:sz w:val="22"/>
                <w:szCs w:val="22"/>
              </w:rPr>
              <w:t>15 kHz</w:t>
            </w:r>
          </w:p>
          <w:p>
            <w:pPr>
              <w:pStyle w:val="56"/>
              <w:spacing w:beforeLines="50" w:afterLines="50" w:line="240" w:lineRule="atLeast"/>
              <w:rPr>
                <w:rFonts w:eastAsia="Calibri"/>
                <w:sz w:val="22"/>
                <w:szCs w:val="22"/>
              </w:rPr>
            </w:pPr>
            <w:r>
              <w:rPr>
                <w:rFonts w:eastAsia="Calibri" w:cs="Calibri"/>
                <w:sz w:val="22"/>
                <w:szCs w:val="22"/>
              </w:rPr>
              <w:t>µ</w:t>
            </w:r>
            <w:r>
              <w:rPr>
                <w:rFonts w:eastAsia="Calibri"/>
                <w:sz w:val="22"/>
                <w:szCs w:val="22"/>
              </w:rPr>
              <w:t>= 0</w:t>
            </w:r>
          </w:p>
        </w:tc>
        <w:tc>
          <w:tcPr>
            <w:tcW w:w="1012" w:type="dxa"/>
          </w:tcPr>
          <w:p>
            <w:pPr>
              <w:pStyle w:val="56"/>
              <w:spacing w:beforeLines="50" w:afterLines="50" w:line="240" w:lineRule="atLeast"/>
              <w:rPr>
                <w:rFonts w:eastAsia="Calibri"/>
                <w:sz w:val="22"/>
                <w:szCs w:val="22"/>
              </w:rPr>
            </w:pPr>
            <w:r>
              <w:rPr>
                <w:rFonts w:eastAsia="Calibri"/>
                <w:sz w:val="22"/>
                <w:szCs w:val="22"/>
              </w:rPr>
              <w:t>30 kHz</w:t>
            </w:r>
          </w:p>
          <w:p>
            <w:pPr>
              <w:pStyle w:val="56"/>
              <w:spacing w:beforeLines="50" w:afterLines="50" w:line="240" w:lineRule="atLeast"/>
              <w:rPr>
                <w:rFonts w:eastAsia="Calibri"/>
                <w:sz w:val="22"/>
                <w:szCs w:val="22"/>
              </w:rPr>
            </w:pPr>
            <w:r>
              <w:rPr>
                <w:rFonts w:eastAsia="Calibri" w:cs="Calibri"/>
                <w:sz w:val="22"/>
                <w:szCs w:val="22"/>
              </w:rPr>
              <w:t>µ</w:t>
            </w:r>
            <w:r>
              <w:rPr>
                <w:rFonts w:eastAsia="Calibri"/>
                <w:sz w:val="22"/>
                <w:szCs w:val="22"/>
              </w:rPr>
              <w:t>= 1</w:t>
            </w:r>
          </w:p>
        </w:tc>
        <w:tc>
          <w:tcPr>
            <w:tcW w:w="1170" w:type="dxa"/>
          </w:tcPr>
          <w:p>
            <w:pPr>
              <w:pStyle w:val="56"/>
              <w:spacing w:beforeLines="50" w:afterLines="50" w:line="240" w:lineRule="atLeast"/>
              <w:rPr>
                <w:rFonts w:eastAsia="Calibri"/>
                <w:sz w:val="22"/>
                <w:szCs w:val="22"/>
              </w:rPr>
            </w:pPr>
            <w:r>
              <w:rPr>
                <w:rFonts w:eastAsia="Calibri"/>
                <w:sz w:val="22"/>
                <w:szCs w:val="22"/>
              </w:rPr>
              <w:t>60 kHz</w:t>
            </w:r>
          </w:p>
          <w:p>
            <w:pPr>
              <w:pStyle w:val="56"/>
              <w:spacing w:beforeLines="50" w:afterLines="50" w:line="240" w:lineRule="atLeast"/>
              <w:rPr>
                <w:rFonts w:eastAsia="Calibri"/>
                <w:sz w:val="22"/>
                <w:szCs w:val="22"/>
              </w:rPr>
            </w:pPr>
            <w:r>
              <w:rPr>
                <w:rFonts w:eastAsia="Calibri" w:cs="Calibri"/>
                <w:sz w:val="22"/>
                <w:szCs w:val="22"/>
              </w:rPr>
              <w:t>µ</w:t>
            </w:r>
            <w:r>
              <w:rPr>
                <w:rFonts w:eastAsia="Calibri"/>
                <w:sz w:val="22"/>
                <w:szCs w:val="22"/>
              </w:rPr>
              <w:t>= 2</w:t>
            </w:r>
          </w:p>
        </w:tc>
        <w:tc>
          <w:tcPr>
            <w:tcW w:w="1170" w:type="dxa"/>
          </w:tcPr>
          <w:p>
            <w:pPr>
              <w:pStyle w:val="56"/>
              <w:spacing w:beforeLines="50" w:afterLines="50" w:line="240" w:lineRule="atLeast"/>
              <w:rPr>
                <w:rFonts w:eastAsia="Calibri"/>
                <w:sz w:val="22"/>
                <w:szCs w:val="22"/>
              </w:rPr>
            </w:pPr>
            <w:r>
              <w:rPr>
                <w:rFonts w:eastAsia="Calibri"/>
                <w:sz w:val="22"/>
                <w:szCs w:val="22"/>
              </w:rPr>
              <w:t>120 kHz</w:t>
            </w:r>
          </w:p>
          <w:p>
            <w:pPr>
              <w:pStyle w:val="56"/>
              <w:spacing w:beforeLines="50" w:afterLines="50" w:line="240" w:lineRule="atLeast"/>
              <w:rPr>
                <w:rFonts w:eastAsia="Calibri"/>
                <w:sz w:val="22"/>
                <w:szCs w:val="22"/>
              </w:rPr>
            </w:pPr>
            <w:r>
              <w:rPr>
                <w:rFonts w:eastAsia="Calibri" w:cs="Calibri"/>
                <w:sz w:val="22"/>
                <w:szCs w:val="22"/>
              </w:rPr>
              <w:t>µ</w:t>
            </w:r>
            <w:r>
              <w:rPr>
                <w:rFonts w:eastAsia="Calibri"/>
                <w:sz w:val="22"/>
                <w:szCs w:val="22"/>
              </w:rPr>
              <w:t>= 3</w:t>
            </w:r>
          </w:p>
        </w:tc>
        <w:tc>
          <w:tcPr>
            <w:tcW w:w="1170" w:type="dxa"/>
          </w:tcPr>
          <w:p>
            <w:pPr>
              <w:pStyle w:val="56"/>
              <w:spacing w:beforeLines="50" w:afterLines="50" w:line="240" w:lineRule="atLeast"/>
              <w:rPr>
                <w:rFonts w:eastAsia="Calibri"/>
                <w:sz w:val="22"/>
                <w:szCs w:val="22"/>
              </w:rPr>
            </w:pPr>
            <w:r>
              <w:rPr>
                <w:rFonts w:eastAsia="Calibri"/>
                <w:sz w:val="22"/>
                <w:szCs w:val="22"/>
              </w:rPr>
              <w:t>240 kHz</w:t>
            </w:r>
          </w:p>
          <w:p>
            <w:pPr>
              <w:pStyle w:val="56"/>
              <w:spacing w:beforeLines="50" w:afterLines="50" w:line="240" w:lineRule="atLeast"/>
              <w:rPr>
                <w:rFonts w:eastAsia="Calibri"/>
                <w:sz w:val="22"/>
                <w:szCs w:val="22"/>
              </w:rPr>
            </w:pPr>
            <w:r>
              <w:rPr>
                <w:rFonts w:eastAsia="Calibri" w:cs="Calibri"/>
                <w:sz w:val="22"/>
                <w:szCs w:val="22"/>
              </w:rPr>
              <w:t>µ</w:t>
            </w:r>
            <w:r>
              <w:rPr>
                <w:rFonts w:eastAsia="Calibri"/>
                <w:sz w:val="22"/>
                <w:szCs w:val="22"/>
              </w:rPr>
              <w:t>= 4</w:t>
            </w:r>
          </w:p>
        </w:tc>
        <w:tc>
          <w:tcPr>
            <w:tcW w:w="1191" w:type="dxa"/>
          </w:tcPr>
          <w:p>
            <w:pPr>
              <w:pStyle w:val="56"/>
              <w:spacing w:beforeLines="50" w:afterLines="50" w:line="240" w:lineRule="atLeast"/>
              <w:rPr>
                <w:rFonts w:eastAsia="Calibri"/>
                <w:sz w:val="22"/>
                <w:szCs w:val="22"/>
              </w:rPr>
            </w:pPr>
            <w:r>
              <w:rPr>
                <w:rFonts w:eastAsia="Calibri"/>
                <w:sz w:val="22"/>
                <w:szCs w:val="22"/>
              </w:rPr>
              <w:t>480 kHz</w:t>
            </w:r>
          </w:p>
          <w:p>
            <w:pPr>
              <w:pStyle w:val="56"/>
              <w:spacing w:beforeLines="50" w:afterLines="50" w:line="240" w:lineRule="atLeast"/>
              <w:rPr>
                <w:rFonts w:eastAsia="Calibri"/>
                <w:sz w:val="22"/>
                <w:szCs w:val="22"/>
              </w:rPr>
            </w:pPr>
            <w:r>
              <w:rPr>
                <w:rFonts w:eastAsia="Calibri" w:cs="Calibri"/>
                <w:sz w:val="22"/>
                <w:szCs w:val="22"/>
              </w:rPr>
              <w:t>µ</w:t>
            </w:r>
            <w:r>
              <w:rPr>
                <w:rFonts w:eastAsia="Calibri"/>
                <w:sz w:val="22"/>
                <w:szCs w:val="22"/>
              </w:rPr>
              <w: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39" w:type="dxa"/>
          </w:tcPr>
          <w:p>
            <w:pPr>
              <w:pStyle w:val="58"/>
              <w:spacing w:beforeLines="50" w:afterLines="50" w:line="240" w:lineRule="atLeast"/>
              <w:rPr>
                <w:rFonts w:eastAsia="Calibri"/>
                <w:b/>
                <w:sz w:val="22"/>
                <w:szCs w:val="22"/>
                <w:highlight w:val="none"/>
              </w:rPr>
            </w:pPr>
            <w:r>
              <w:rPr>
                <w:rFonts w:eastAsia="Calibri"/>
                <w:b/>
                <w:sz w:val="22"/>
                <w:szCs w:val="22"/>
                <w:highlight w:val="none"/>
              </w:rPr>
              <w:t>Maximum link distance (TA = 3846) (km)</w:t>
            </w:r>
          </w:p>
        </w:tc>
        <w:tc>
          <w:tcPr>
            <w:tcW w:w="966" w:type="dxa"/>
          </w:tcPr>
          <w:p>
            <w:pPr>
              <w:pStyle w:val="57"/>
              <w:spacing w:beforeLines="50" w:afterLines="50" w:line="240" w:lineRule="atLeast"/>
              <w:rPr>
                <w:rFonts w:eastAsia="Calibri"/>
                <w:sz w:val="22"/>
                <w:szCs w:val="22"/>
                <w:highlight w:val="none"/>
              </w:rPr>
            </w:pPr>
            <w:r>
              <w:rPr>
                <w:rFonts w:eastAsia="Calibri"/>
                <w:sz w:val="22"/>
                <w:szCs w:val="22"/>
                <w:highlight w:val="none"/>
              </w:rPr>
              <w:t xml:space="preserve">300 </w:t>
            </w:r>
          </w:p>
        </w:tc>
        <w:tc>
          <w:tcPr>
            <w:tcW w:w="1012" w:type="dxa"/>
          </w:tcPr>
          <w:p>
            <w:pPr>
              <w:pStyle w:val="57"/>
              <w:spacing w:beforeLines="50" w:afterLines="50" w:line="240" w:lineRule="atLeast"/>
              <w:rPr>
                <w:rFonts w:eastAsia="Calibri"/>
                <w:sz w:val="22"/>
                <w:szCs w:val="22"/>
                <w:highlight w:val="none"/>
              </w:rPr>
            </w:pPr>
            <w:r>
              <w:rPr>
                <w:rFonts w:eastAsia="Calibri"/>
                <w:sz w:val="22"/>
                <w:szCs w:val="22"/>
                <w:highlight w:val="none"/>
              </w:rPr>
              <w:t>150</w:t>
            </w:r>
          </w:p>
        </w:tc>
        <w:tc>
          <w:tcPr>
            <w:tcW w:w="1170" w:type="dxa"/>
          </w:tcPr>
          <w:p>
            <w:pPr>
              <w:pStyle w:val="57"/>
              <w:spacing w:beforeLines="50" w:afterLines="50" w:line="240" w:lineRule="atLeast"/>
              <w:rPr>
                <w:rFonts w:eastAsia="Calibri"/>
                <w:sz w:val="22"/>
                <w:szCs w:val="22"/>
                <w:highlight w:val="none"/>
              </w:rPr>
            </w:pPr>
            <w:r>
              <w:rPr>
                <w:rFonts w:eastAsia="Calibri"/>
                <w:sz w:val="22"/>
                <w:szCs w:val="22"/>
                <w:highlight w:val="none"/>
              </w:rPr>
              <w:t xml:space="preserve">75 </w:t>
            </w:r>
          </w:p>
        </w:tc>
        <w:tc>
          <w:tcPr>
            <w:tcW w:w="1170" w:type="dxa"/>
          </w:tcPr>
          <w:p>
            <w:pPr>
              <w:pStyle w:val="57"/>
              <w:spacing w:beforeLines="50" w:afterLines="50" w:line="240" w:lineRule="atLeast"/>
              <w:rPr>
                <w:rFonts w:eastAsia="Calibri"/>
                <w:sz w:val="22"/>
                <w:szCs w:val="22"/>
                <w:highlight w:val="none"/>
              </w:rPr>
            </w:pPr>
            <w:r>
              <w:rPr>
                <w:rFonts w:eastAsia="Calibri"/>
                <w:sz w:val="22"/>
                <w:szCs w:val="22"/>
                <w:highlight w:val="none"/>
              </w:rPr>
              <w:t xml:space="preserve">37.5 </w:t>
            </w:r>
          </w:p>
        </w:tc>
        <w:tc>
          <w:tcPr>
            <w:tcW w:w="1170" w:type="dxa"/>
          </w:tcPr>
          <w:p>
            <w:pPr>
              <w:pStyle w:val="57"/>
              <w:spacing w:beforeLines="50" w:afterLines="50" w:line="240" w:lineRule="atLeast"/>
              <w:rPr>
                <w:rFonts w:eastAsia="Calibri"/>
                <w:sz w:val="22"/>
                <w:szCs w:val="22"/>
                <w:highlight w:val="none"/>
              </w:rPr>
            </w:pPr>
            <w:r>
              <w:rPr>
                <w:rFonts w:eastAsia="Calibri"/>
                <w:sz w:val="22"/>
                <w:szCs w:val="22"/>
                <w:highlight w:val="none"/>
              </w:rPr>
              <w:t xml:space="preserve">18.75 </w:t>
            </w:r>
          </w:p>
        </w:tc>
        <w:tc>
          <w:tcPr>
            <w:tcW w:w="1191" w:type="dxa"/>
          </w:tcPr>
          <w:p>
            <w:pPr>
              <w:pStyle w:val="57"/>
              <w:spacing w:beforeLines="50" w:afterLines="50" w:line="240" w:lineRule="atLeast"/>
              <w:rPr>
                <w:rFonts w:eastAsia="Calibri"/>
                <w:sz w:val="22"/>
                <w:szCs w:val="22"/>
                <w:highlight w:val="none"/>
              </w:rPr>
            </w:pPr>
            <w:r>
              <w:rPr>
                <w:rFonts w:eastAsia="Calibri"/>
                <w:sz w:val="22"/>
                <w:szCs w:val="22"/>
                <w:highlight w:val="none"/>
              </w:rPr>
              <w:t xml:space="preserve">9.38 </w:t>
            </w:r>
          </w:p>
        </w:tc>
      </w:tr>
    </w:tbl>
    <w:p>
      <w:pPr>
        <w:spacing w:beforeLines="50" w:afterLines="50" w:line="240" w:lineRule="atLeast"/>
        <w:jc w:val="both"/>
        <w:rPr>
          <w:rFonts w:ascii="Times" w:hAnsi="Times" w:eastAsia="宋体"/>
          <w:sz w:val="22"/>
          <w:szCs w:val="22"/>
          <w:lang w:eastAsia="zh-CN"/>
        </w:rPr>
      </w:pPr>
      <w:r>
        <w:rPr>
          <w:rFonts w:hint="eastAsia" w:eastAsia="宋体"/>
          <w:sz w:val="22"/>
          <w:szCs w:val="22"/>
          <w:highlight w:val="none"/>
          <w:lang w:eastAsia="zh-CN"/>
        </w:rPr>
        <w:t xml:space="preserve">However, according to the Table 1, for the SCS of 15kHz, the maximum link distance is 300km which is below the satellite altitude for LEO or MEO scenarios (the satellite altitude of the LEO scenarios can be as large as 600~1500km and the MEO scenarios can be as large as 7000~20000km). </w:t>
      </w:r>
      <w:r>
        <w:rPr>
          <w:rFonts w:hint="eastAsia" w:eastAsia="宋体"/>
          <w:sz w:val="22"/>
          <w:szCs w:val="22"/>
          <w:lang w:eastAsia="zh-CN"/>
        </w:rPr>
        <w:t xml:space="preserve">Furthermore, the SCS of the OFDM signal has to be set as large values to accommodate larger Doppler of </w:t>
      </w:r>
      <w:r>
        <w:rPr>
          <w:rFonts w:hint="eastAsia" w:eastAsia="宋体"/>
          <w:sz w:val="22"/>
          <w:szCs w:val="22"/>
          <w:lang w:val="en-US" w:eastAsia="zh-CN"/>
        </w:rPr>
        <w:t xml:space="preserve"> </w:t>
      </w:r>
      <w:r>
        <w:rPr>
          <w:rFonts w:hint="eastAsia" w:eastAsia="宋体"/>
          <w:sz w:val="22"/>
          <w:szCs w:val="22"/>
          <w:lang w:eastAsia="zh-CN"/>
        </w:rPr>
        <w:t xml:space="preserve">NTN. That is, the corresponding maximum link distance is scaled down with the increase of SCS, which is not useful any more for NTN systems. Therefore, </w:t>
      </w:r>
      <w:r>
        <w:rPr>
          <w:rFonts w:hint="eastAsia" w:ascii="Times" w:hAnsi="Times" w:eastAsia="宋体"/>
          <w:sz w:val="22"/>
          <w:szCs w:val="22"/>
          <w:lang w:eastAsia="zh-CN"/>
        </w:rPr>
        <w:t xml:space="preserve">The maximum TA value should be considered to extend the maximum allowed link distance to solve the long propagation delay, especially for high SCS. It means that the </w:t>
      </w:r>
      <w:r>
        <w:rPr>
          <w:rFonts w:hint="eastAsia" w:ascii="Times" w:hAnsi="Times" w:eastAsia="宋体"/>
          <w:sz w:val="22"/>
          <w:szCs w:val="22"/>
          <w:lang w:val="en-US" w:eastAsia="zh-CN"/>
        </w:rPr>
        <w:t xml:space="preserve">TA design should consider the satellite altitude and the </w:t>
      </w:r>
      <w:r>
        <w:rPr>
          <w:rFonts w:hint="eastAsia" w:ascii="Times" w:hAnsi="Times" w:eastAsia="宋体"/>
          <w:sz w:val="22"/>
          <w:szCs w:val="22"/>
          <w:lang w:eastAsia="zh-CN"/>
        </w:rPr>
        <w:t xml:space="preserve">more signaling may be needed to indicate the additional TA. </w:t>
      </w:r>
      <w:bookmarkStart w:id="4" w:name="_GoBack"/>
      <w:bookmarkEnd w:id="4"/>
      <w:r>
        <w:rPr>
          <w:rFonts w:hint="eastAsia" w:ascii="Times" w:hAnsi="Times" w:eastAsia="宋体"/>
          <w:sz w:val="22"/>
          <w:szCs w:val="22"/>
          <w:lang w:eastAsia="zh-CN"/>
        </w:rPr>
        <w:t>How to reduce the signaling overhead is considered  in this contribution.</w:t>
      </w:r>
    </w:p>
    <w:p>
      <w:pPr>
        <w:pStyle w:val="3"/>
        <w:spacing w:beforeLines="50" w:afterLines="50" w:line="240" w:lineRule="atLeast"/>
        <w:rPr>
          <w:b/>
          <w:bCs/>
          <w:sz w:val="24"/>
          <w:szCs w:val="28"/>
          <w:lang w:eastAsia="zh-CN"/>
        </w:rPr>
      </w:pPr>
      <w:r>
        <w:rPr>
          <w:rFonts w:hint="eastAsia"/>
          <w:b/>
          <w:bCs/>
          <w:sz w:val="24"/>
          <w:szCs w:val="28"/>
          <w:lang w:eastAsia="zh-CN"/>
        </w:rPr>
        <w:t>2.2 Update the TA</w:t>
      </w:r>
    </w:p>
    <w:p>
      <w:pPr>
        <w:spacing w:beforeLines="50" w:afterLines="50" w:line="240" w:lineRule="atLeast"/>
        <w:jc w:val="both"/>
        <w:rPr>
          <w:rFonts w:ascii="Times" w:hAnsi="Times" w:eastAsia="宋体"/>
          <w:sz w:val="22"/>
          <w:szCs w:val="22"/>
          <w:lang w:eastAsia="zh-CN"/>
        </w:rPr>
      </w:pPr>
      <w:r>
        <w:rPr>
          <w:rFonts w:hint="eastAsia" w:ascii="Times" w:hAnsi="Times" w:eastAsia="宋体"/>
          <w:sz w:val="22"/>
          <w:szCs w:val="22"/>
          <w:lang w:eastAsia="zh-CN"/>
        </w:rPr>
        <w:t xml:space="preserve">The NTN systems feature a strong varying delay </w:t>
      </w:r>
      <w:r>
        <w:rPr>
          <w:rFonts w:hint="eastAsia" w:ascii="Times" w:hAnsi="Times" w:eastAsia="宋体"/>
          <w:sz w:val="22"/>
          <w:szCs w:val="22"/>
          <w:lang w:val="en-US" w:eastAsia="zh-CN"/>
        </w:rPr>
        <w:t xml:space="preserve">which </w:t>
      </w:r>
      <w:r>
        <w:rPr>
          <w:rFonts w:hint="eastAsia" w:ascii="Times" w:hAnsi="Times" w:eastAsia="宋体"/>
          <w:sz w:val="22"/>
          <w:szCs w:val="22"/>
          <w:lang w:eastAsia="zh-CN"/>
        </w:rPr>
        <w:t>will lead the timing advance of each UE need to be dynamically updated. Compered to the terrestrial system</w:t>
      </w:r>
      <w:r>
        <w:rPr>
          <w:rFonts w:hint="eastAsia" w:ascii="Times" w:hAnsi="Times" w:eastAsia="宋体"/>
          <w:sz w:val="22"/>
          <w:szCs w:val="22"/>
          <w:lang w:val="en-US" w:eastAsia="zh-CN"/>
        </w:rPr>
        <w:t>s</w:t>
      </w:r>
      <w:r>
        <w:rPr>
          <w:rFonts w:hint="eastAsia" w:ascii="Times" w:hAnsi="Times" w:eastAsia="宋体"/>
          <w:sz w:val="22"/>
          <w:szCs w:val="22"/>
          <w:lang w:eastAsia="zh-CN"/>
        </w:rPr>
        <w:t>, frequently updates the TA will cause more signaling overhead for NTN.</w:t>
      </w:r>
    </w:p>
    <w:p>
      <w:pPr>
        <w:spacing w:beforeLines="50" w:afterLines="50" w:line="240" w:lineRule="atLeast"/>
        <w:jc w:val="both"/>
        <w:rPr>
          <w:rFonts w:ascii="Times" w:hAnsi="Times" w:eastAsia="宋体"/>
          <w:sz w:val="22"/>
          <w:szCs w:val="22"/>
          <w:lang w:eastAsia="zh-CN"/>
        </w:rPr>
      </w:pPr>
      <w:r>
        <w:rPr>
          <w:rFonts w:hint="eastAsia" w:ascii="Times" w:hAnsi="Times" w:eastAsia="宋体"/>
          <w:sz w:val="22"/>
          <w:szCs w:val="22"/>
          <w:lang w:eastAsia="zh-CN"/>
        </w:rPr>
        <w:t xml:space="preserve">In order to reduce signaling overhead, it is necessary to redesign the TA for NTN. For example, the TA can be divided into two part, one part is in the form of UE group TA, and the other part is in the form of UE specific TA. For the first part, thanks to the NTN </w:t>
      </w:r>
      <w:r>
        <w:rPr>
          <w:sz w:val="22"/>
          <w:szCs w:val="22"/>
        </w:rPr>
        <w:t>efficient multicast/broadcast</w:t>
      </w:r>
      <w:r>
        <w:rPr>
          <w:rFonts w:hint="eastAsia" w:eastAsia="宋体"/>
          <w:sz w:val="22"/>
          <w:szCs w:val="22"/>
          <w:lang w:eastAsia="zh-CN"/>
        </w:rPr>
        <w:t xml:space="preserve"> ability, the </w:t>
      </w:r>
      <w:r>
        <w:rPr>
          <w:rFonts w:hint="eastAsia" w:ascii="Times" w:hAnsi="Times" w:eastAsia="宋体"/>
          <w:sz w:val="22"/>
          <w:szCs w:val="22"/>
          <w:lang w:val="en-US" w:eastAsia="zh-CN"/>
        </w:rPr>
        <w:t>same</w:t>
      </w:r>
      <w:r>
        <w:rPr>
          <w:rFonts w:hint="eastAsia" w:ascii="Times" w:hAnsi="Times" w:eastAsia="宋体"/>
          <w:sz w:val="22"/>
          <w:szCs w:val="22"/>
          <w:lang w:eastAsia="zh-CN"/>
        </w:rPr>
        <w:t xml:space="preserve"> TA value can be broadcast to all the UE</w:t>
      </w:r>
      <w:r>
        <w:rPr>
          <w:rFonts w:hint="eastAsia" w:ascii="Times" w:hAnsi="Times" w:eastAsia="宋体"/>
          <w:sz w:val="22"/>
          <w:szCs w:val="22"/>
          <w:lang w:val="en-US" w:eastAsia="zh-CN"/>
        </w:rPr>
        <w:t>s</w:t>
      </w:r>
      <w:r>
        <w:rPr>
          <w:rFonts w:hint="eastAsia" w:ascii="Times" w:hAnsi="Times" w:eastAsia="宋体"/>
          <w:sz w:val="22"/>
          <w:szCs w:val="22"/>
          <w:lang w:eastAsia="zh-CN"/>
        </w:rPr>
        <w:t xml:space="preserve"> within the same group. Then the further </w:t>
      </w:r>
      <w:r>
        <w:rPr>
          <w:rFonts w:hint="eastAsia" w:ascii="Times" w:hAnsi="Times" w:eastAsia="宋体"/>
          <w:sz w:val="22"/>
          <w:szCs w:val="22"/>
          <w:lang w:val="en-US" w:eastAsia="zh-CN"/>
        </w:rPr>
        <w:t xml:space="preserve">precise </w:t>
      </w:r>
      <w:r>
        <w:rPr>
          <w:rFonts w:hint="eastAsia" w:ascii="Times" w:hAnsi="Times" w:eastAsia="宋体"/>
          <w:sz w:val="22"/>
          <w:szCs w:val="22"/>
          <w:lang w:eastAsia="zh-CN"/>
        </w:rPr>
        <w:t xml:space="preserve">timing adjustment can be implemented by UE specific TA. </w:t>
      </w:r>
      <w:r>
        <w:rPr>
          <w:rFonts w:hint="eastAsia" w:ascii="Times" w:hAnsi="Times" w:eastAsia="宋体"/>
          <w:sz w:val="22"/>
          <w:szCs w:val="22"/>
          <w:lang w:val="en-US" w:eastAsia="zh-CN"/>
        </w:rPr>
        <w:t>Furthermore</w:t>
      </w:r>
      <w:r>
        <w:rPr>
          <w:rFonts w:ascii="Times" w:hAnsi="Times" w:eastAsia="宋体"/>
          <w:sz w:val="22"/>
          <w:szCs w:val="22"/>
          <w:lang w:eastAsia="zh-CN"/>
        </w:rPr>
        <w:t xml:space="preserve">, the delay variation is quite predictable </w:t>
      </w:r>
      <w:r>
        <w:rPr>
          <w:rFonts w:hint="eastAsia" w:ascii="Times" w:hAnsi="Times" w:eastAsia="宋体"/>
          <w:sz w:val="22"/>
          <w:szCs w:val="22"/>
          <w:lang w:val="en-US" w:eastAsia="zh-CN"/>
        </w:rPr>
        <w:t xml:space="preserve">by </w:t>
      </w:r>
      <w:r>
        <w:rPr>
          <w:rFonts w:ascii="Times" w:hAnsi="Times" w:eastAsia="宋体"/>
          <w:sz w:val="22"/>
          <w:szCs w:val="22"/>
          <w:lang w:eastAsia="zh-CN"/>
        </w:rPr>
        <w:t>knowing the satellite orbits and UE position.</w:t>
      </w:r>
      <w:r>
        <w:rPr>
          <w:rFonts w:hint="eastAsia" w:ascii="Times" w:hAnsi="Times" w:eastAsia="宋体"/>
          <w:sz w:val="22"/>
          <w:szCs w:val="22"/>
          <w:lang w:eastAsia="zh-CN"/>
        </w:rPr>
        <w:t xml:space="preserve"> So the gNB can determine which part of TA should be update through the satellite orbits and UE position, and the </w:t>
      </w:r>
      <w:r>
        <w:rPr>
          <w:rFonts w:hint="eastAsia" w:ascii="Times" w:hAnsi="Times" w:eastAsia="宋体"/>
          <w:sz w:val="22"/>
          <w:szCs w:val="22"/>
          <w:lang w:val="en-US" w:eastAsia="zh-CN"/>
        </w:rPr>
        <w:t xml:space="preserve">UE </w:t>
      </w:r>
      <w:r>
        <w:rPr>
          <w:rFonts w:hint="eastAsia" w:ascii="Times" w:hAnsi="Times" w:eastAsia="宋体"/>
          <w:sz w:val="22"/>
          <w:szCs w:val="22"/>
          <w:lang w:eastAsia="zh-CN"/>
        </w:rPr>
        <w:t>grouping method</w:t>
      </w:r>
      <w:r>
        <w:rPr>
          <w:rFonts w:hint="eastAsia" w:ascii="Times" w:hAnsi="Times" w:eastAsia="宋体"/>
          <w:sz w:val="22"/>
          <w:szCs w:val="22"/>
          <w:lang w:val="en-US" w:eastAsia="zh-CN"/>
        </w:rPr>
        <w:t xml:space="preserve"> </w:t>
      </w:r>
      <w:r>
        <w:rPr>
          <w:rFonts w:hint="eastAsia" w:ascii="Times" w:hAnsi="Times" w:eastAsia="宋体"/>
          <w:sz w:val="22"/>
          <w:szCs w:val="22"/>
          <w:lang w:eastAsia="zh-CN"/>
        </w:rPr>
        <w:t xml:space="preserve">should be </w:t>
      </w:r>
      <w:r>
        <w:rPr>
          <w:rFonts w:hint="eastAsia" w:ascii="Times" w:hAnsi="Times" w:eastAsia="宋体"/>
          <w:sz w:val="22"/>
          <w:szCs w:val="22"/>
          <w:lang w:val="en-US" w:eastAsia="zh-CN"/>
        </w:rPr>
        <w:t xml:space="preserve">for </w:t>
      </w:r>
      <w:r>
        <w:rPr>
          <w:rFonts w:hint="eastAsia" w:ascii="Times" w:hAnsi="Times" w:eastAsia="宋体"/>
          <w:sz w:val="22"/>
          <w:szCs w:val="22"/>
          <w:lang w:eastAsia="zh-CN"/>
        </w:rPr>
        <w:t>further studied.</w:t>
      </w:r>
    </w:p>
    <w:p>
      <w:pPr>
        <w:pStyle w:val="3"/>
        <w:spacing w:beforeLines="50" w:afterLines="50" w:line="240" w:lineRule="atLeast"/>
        <w:rPr>
          <w:sz w:val="22"/>
          <w:szCs w:val="22"/>
          <w:lang w:eastAsia="zh-CN"/>
        </w:rPr>
      </w:pPr>
      <w:r>
        <w:rPr>
          <w:rFonts w:hint="eastAsia"/>
          <w:sz w:val="22"/>
          <w:szCs w:val="22"/>
          <w:lang w:eastAsia="zh-CN"/>
        </w:rPr>
        <w:t xml:space="preserve">From the above analysis, </w:t>
      </w:r>
      <w:r>
        <w:rPr>
          <w:rFonts w:hint="eastAsia"/>
          <w:sz w:val="22"/>
          <w:szCs w:val="22"/>
          <w:lang w:val="en-US" w:eastAsia="zh-CN"/>
        </w:rPr>
        <w:t xml:space="preserve">the </w:t>
      </w:r>
      <w:r>
        <w:rPr>
          <w:rFonts w:hint="eastAsia"/>
          <w:sz w:val="22"/>
          <w:szCs w:val="22"/>
          <w:lang w:eastAsia="zh-CN"/>
        </w:rPr>
        <w:t xml:space="preserve">TA related design should be reconsidered for NTN. The TA adjustment mechanism should consider the long propagation delay and high speed satellite movement. </w:t>
      </w:r>
    </w:p>
    <w:p>
      <w:pPr>
        <w:pStyle w:val="3"/>
        <w:spacing w:beforeLines="50" w:afterLines="50" w:line="240" w:lineRule="atLeast"/>
        <w:rPr>
          <w:sz w:val="22"/>
          <w:szCs w:val="22"/>
          <w:lang w:eastAsia="zh-CN"/>
        </w:rPr>
      </w:pPr>
      <w:r>
        <w:rPr>
          <w:rFonts w:hint="eastAsia"/>
          <w:sz w:val="22"/>
          <w:szCs w:val="22"/>
          <w:lang w:eastAsia="zh-CN"/>
        </w:rPr>
        <w:t>Hence, we have the following proposal:</w:t>
      </w:r>
    </w:p>
    <w:p>
      <w:pPr>
        <w:pStyle w:val="3"/>
        <w:spacing w:beforeLines="50" w:afterLines="50" w:line="240" w:lineRule="atLeast"/>
        <w:rPr>
          <w:sz w:val="22"/>
          <w:szCs w:val="22"/>
          <w:lang w:eastAsia="zh-CN"/>
        </w:rPr>
      </w:pPr>
      <w:r>
        <w:rPr>
          <w:rFonts w:hint="eastAsia"/>
          <w:b/>
          <w:bCs/>
          <w:i/>
          <w:iCs/>
          <w:sz w:val="22"/>
          <w:szCs w:val="22"/>
          <w:lang w:eastAsia="zh-CN"/>
        </w:rPr>
        <w:t>Proposal 1:</w:t>
      </w:r>
      <w:r>
        <w:rPr>
          <w:rFonts w:hint="eastAsia"/>
          <w:i/>
          <w:iCs/>
          <w:sz w:val="22"/>
          <w:szCs w:val="22"/>
          <w:lang w:eastAsia="zh-CN"/>
        </w:rPr>
        <w:t xml:space="preserve"> Solutions need to be studied to ensure alignment of uplink signals over the NTN links to overcome the delay of NTN.</w:t>
      </w:r>
    </w:p>
    <w:p>
      <w:pPr>
        <w:pStyle w:val="2"/>
        <w:keepLines/>
        <w:numPr>
          <w:ilvl w:val="0"/>
          <w:numId w:val="6"/>
        </w:numPr>
        <w:pBdr>
          <w:top w:val="single" w:color="auto" w:sz="12" w:space="2"/>
        </w:pBdr>
        <w:overflowPunct w:val="0"/>
        <w:autoSpaceDE w:val="0"/>
        <w:autoSpaceDN w:val="0"/>
        <w:adjustRightInd w:val="0"/>
        <w:snapToGrid w:val="0"/>
        <w:spacing w:beforeLines="50" w:afterLines="50" w:line="240" w:lineRule="atLeast"/>
        <w:ind w:left="425" w:hanging="425"/>
        <w:textAlignment w:val="baseline"/>
        <w:rPr>
          <w:rFonts w:ascii="Times New Roman" w:hAnsi="Times New Roman" w:eastAsia="宋体"/>
          <w:sz w:val="28"/>
          <w:szCs w:val="20"/>
          <w:lang w:eastAsia="zh-CN"/>
        </w:rPr>
      </w:pPr>
      <w:r>
        <w:rPr>
          <w:rFonts w:hint="eastAsia" w:ascii="Times New Roman" w:hAnsi="Times New Roman" w:eastAsia="宋体"/>
          <w:sz w:val="28"/>
          <w:szCs w:val="20"/>
          <w:lang w:eastAsia="zh-CN"/>
        </w:rPr>
        <w:t>Conclusion</w:t>
      </w:r>
    </w:p>
    <w:p>
      <w:pPr>
        <w:pStyle w:val="3"/>
        <w:spacing w:beforeLines="50" w:afterLines="50" w:line="240" w:lineRule="atLeast"/>
        <w:rPr>
          <w:sz w:val="22"/>
          <w:szCs w:val="22"/>
          <w:lang w:eastAsia="zh-CN"/>
        </w:rPr>
      </w:pPr>
      <w:r>
        <w:rPr>
          <w:sz w:val="22"/>
          <w:szCs w:val="22"/>
          <w:lang w:eastAsia="zh-CN"/>
        </w:rPr>
        <w:t xml:space="preserve">In this contribution, we have presented </w:t>
      </w:r>
      <w:r>
        <w:rPr>
          <w:rFonts w:hint="eastAsia"/>
          <w:sz w:val="22"/>
          <w:szCs w:val="22"/>
          <w:lang w:eastAsia="zh-CN"/>
        </w:rPr>
        <w:t xml:space="preserve">some considerations </w:t>
      </w:r>
      <w:r>
        <w:rPr>
          <w:sz w:val="22"/>
          <w:szCs w:val="22"/>
          <w:lang w:eastAsia="zh-CN"/>
        </w:rPr>
        <w:t>on</w:t>
      </w:r>
      <w:r>
        <w:rPr>
          <w:rFonts w:hint="eastAsia"/>
          <w:sz w:val="22"/>
          <w:szCs w:val="22"/>
          <w:lang w:eastAsia="zh-CN"/>
        </w:rPr>
        <w:t xml:space="preserve"> timing advance for NTN. The following proposal is given:</w:t>
      </w:r>
    </w:p>
    <w:p>
      <w:pPr>
        <w:pStyle w:val="3"/>
        <w:spacing w:beforeLines="50" w:afterLines="50" w:line="240" w:lineRule="atLeast"/>
        <w:rPr>
          <w:i/>
          <w:iCs/>
          <w:sz w:val="22"/>
          <w:szCs w:val="22"/>
          <w:lang w:eastAsia="zh-CN"/>
        </w:rPr>
      </w:pPr>
      <w:r>
        <w:rPr>
          <w:rFonts w:hint="eastAsia"/>
          <w:b/>
          <w:bCs/>
          <w:i/>
          <w:iCs/>
          <w:sz w:val="22"/>
          <w:szCs w:val="22"/>
          <w:lang w:eastAsia="zh-CN"/>
        </w:rPr>
        <w:t>Proposal 1:</w:t>
      </w:r>
      <w:r>
        <w:rPr>
          <w:rFonts w:hint="eastAsia"/>
          <w:i/>
          <w:iCs/>
          <w:sz w:val="22"/>
          <w:szCs w:val="22"/>
          <w:lang w:eastAsia="zh-CN"/>
        </w:rPr>
        <w:t xml:space="preserve"> Solutions need to be studied to ensure alignment of uplink signals over the NTN links to overcome the delay of NTN.</w:t>
      </w:r>
    </w:p>
    <w:p>
      <w:pPr>
        <w:pStyle w:val="2"/>
        <w:keepLines/>
        <w:pBdr>
          <w:top w:val="single" w:color="auto" w:sz="12" w:space="3"/>
        </w:pBdr>
        <w:overflowPunct w:val="0"/>
        <w:autoSpaceDE w:val="0"/>
        <w:autoSpaceDN w:val="0"/>
        <w:adjustRightInd w:val="0"/>
        <w:spacing w:beforeLines="50" w:afterLines="50" w:line="240" w:lineRule="atLeast"/>
        <w:textAlignment w:val="baseline"/>
        <w:rPr>
          <w:rFonts w:ascii="Times New Roman" w:hAnsi="Times New Roman" w:eastAsia="宋体"/>
          <w:sz w:val="28"/>
          <w:szCs w:val="20"/>
          <w:lang w:val="fr-FR" w:eastAsia="zh-CN"/>
        </w:rPr>
      </w:pPr>
      <w:r>
        <w:rPr>
          <w:rFonts w:ascii="Times New Roman" w:hAnsi="Times New Roman" w:eastAsia="宋体"/>
          <w:sz w:val="28"/>
          <w:szCs w:val="20"/>
          <w:lang w:val="fr-FR" w:eastAsia="zh-CN"/>
        </w:rPr>
        <w:t>References</w:t>
      </w:r>
    </w:p>
    <w:bookmarkEnd w:id="2"/>
    <w:bookmarkEnd w:id="3"/>
    <w:p>
      <w:pPr>
        <w:pStyle w:val="3"/>
        <w:numPr>
          <w:ilvl w:val="0"/>
          <w:numId w:val="8"/>
        </w:numPr>
        <w:spacing w:beforeLines="50" w:afterLines="50" w:line="240" w:lineRule="atLeast"/>
        <w:ind w:left="420" w:hanging="420"/>
        <w:jc w:val="left"/>
        <w:rPr>
          <w:sz w:val="22"/>
          <w:szCs w:val="22"/>
          <w:lang w:eastAsia="zh-CN"/>
        </w:rPr>
      </w:pPr>
      <w:r>
        <w:rPr>
          <w:sz w:val="22"/>
          <w:szCs w:val="22"/>
          <w:lang w:eastAsia="zh-CN"/>
        </w:rPr>
        <w:t>RP-181370, Study on solutions evaluation for NR to support Non-Terrestrial Network, RAN#80.</w:t>
      </w:r>
    </w:p>
    <w:p>
      <w:pPr>
        <w:pStyle w:val="3"/>
        <w:numPr>
          <w:ilvl w:val="0"/>
          <w:numId w:val="8"/>
        </w:numPr>
        <w:spacing w:beforeLines="50" w:afterLines="50" w:line="240" w:lineRule="atLeast"/>
        <w:ind w:left="420" w:hanging="420"/>
        <w:jc w:val="left"/>
        <w:rPr>
          <w:sz w:val="22"/>
          <w:szCs w:val="22"/>
          <w:lang w:eastAsia="zh-CN"/>
        </w:rPr>
      </w:pPr>
      <w:r>
        <w:rPr>
          <w:sz w:val="22"/>
          <w:szCs w:val="22"/>
          <w:lang w:eastAsia="zh-CN"/>
        </w:rPr>
        <w:t>3GPP TR 38.</w:t>
      </w:r>
      <w:r>
        <w:rPr>
          <w:rFonts w:hint="eastAsia"/>
          <w:sz w:val="22"/>
          <w:szCs w:val="22"/>
          <w:lang w:eastAsia="zh-CN"/>
        </w:rPr>
        <w:t>2</w:t>
      </w:r>
      <w:r>
        <w:rPr>
          <w:sz w:val="22"/>
          <w:szCs w:val="22"/>
          <w:lang w:eastAsia="zh-CN"/>
        </w:rPr>
        <w:t>1</w:t>
      </w:r>
      <w:r>
        <w:rPr>
          <w:rFonts w:hint="eastAsia"/>
          <w:sz w:val="22"/>
          <w:szCs w:val="22"/>
          <w:lang w:eastAsia="zh-CN"/>
        </w:rPr>
        <w:t>3</w:t>
      </w:r>
      <w:r>
        <w:rPr>
          <w:sz w:val="22"/>
          <w:szCs w:val="22"/>
          <w:lang w:eastAsia="zh-CN"/>
        </w:rPr>
        <w:t xml:space="preserve"> V15.</w:t>
      </w:r>
      <w:r>
        <w:rPr>
          <w:rFonts w:hint="eastAsia"/>
          <w:sz w:val="22"/>
          <w:szCs w:val="22"/>
          <w:lang w:eastAsia="zh-CN"/>
        </w:rPr>
        <w:t>4</w:t>
      </w:r>
      <w:r>
        <w:rPr>
          <w:sz w:val="22"/>
          <w:szCs w:val="22"/>
          <w:lang w:eastAsia="zh-CN"/>
        </w:rPr>
        <w:t>.0, “</w:t>
      </w:r>
      <w:r>
        <w:rPr>
          <w:rFonts w:hint="eastAsia"/>
          <w:sz w:val="22"/>
          <w:szCs w:val="22"/>
          <w:lang w:eastAsia="zh-CN"/>
        </w:rPr>
        <w:t>Physical layer procedures for control</w:t>
      </w:r>
      <w:r>
        <w:rPr>
          <w:sz w:val="22"/>
          <w:szCs w:val="22"/>
          <w:lang w:eastAsia="zh-CN"/>
        </w:rPr>
        <w:t>”</w:t>
      </w:r>
      <w:r>
        <w:rPr>
          <w:rFonts w:hint="eastAsia"/>
          <w:sz w:val="22"/>
          <w:szCs w:val="22"/>
          <w:lang w:eastAsia="zh-CN"/>
        </w:rPr>
        <w:t>.</w:t>
      </w:r>
    </w:p>
    <w:p>
      <w:pPr>
        <w:pStyle w:val="3"/>
        <w:numPr>
          <w:ilvl w:val="0"/>
          <w:numId w:val="8"/>
        </w:numPr>
        <w:spacing w:beforeLines="50" w:afterLines="50" w:line="240" w:lineRule="atLeast"/>
        <w:ind w:left="420" w:hanging="420"/>
        <w:jc w:val="left"/>
        <w:rPr>
          <w:sz w:val="22"/>
          <w:szCs w:val="22"/>
          <w:lang w:eastAsia="zh-CN"/>
        </w:rPr>
      </w:pPr>
      <w:r>
        <w:rPr>
          <w:sz w:val="22"/>
          <w:szCs w:val="22"/>
          <w:lang w:eastAsia="zh-CN"/>
        </w:rPr>
        <w:t>3GPP TR 38.</w:t>
      </w:r>
      <w:r>
        <w:rPr>
          <w:rFonts w:hint="eastAsia"/>
          <w:sz w:val="22"/>
          <w:szCs w:val="22"/>
          <w:lang w:eastAsia="zh-CN"/>
        </w:rPr>
        <w:t>133</w:t>
      </w:r>
      <w:r>
        <w:rPr>
          <w:sz w:val="22"/>
          <w:szCs w:val="22"/>
          <w:lang w:eastAsia="zh-CN"/>
        </w:rPr>
        <w:t xml:space="preserve"> V15.</w:t>
      </w:r>
      <w:r>
        <w:rPr>
          <w:rFonts w:hint="eastAsia"/>
          <w:sz w:val="22"/>
          <w:szCs w:val="22"/>
          <w:lang w:eastAsia="zh-CN"/>
        </w:rPr>
        <w:t>4</w:t>
      </w:r>
      <w:r>
        <w:rPr>
          <w:sz w:val="22"/>
          <w:szCs w:val="22"/>
          <w:lang w:eastAsia="zh-CN"/>
        </w:rPr>
        <w:t>.0, “</w:t>
      </w:r>
      <w:r>
        <w:rPr>
          <w:rFonts w:hint="eastAsia"/>
          <w:sz w:val="22"/>
          <w:szCs w:val="22"/>
          <w:lang w:eastAsia="zh-CN"/>
        </w:rPr>
        <w:t>Requirements for support of radio resource management</w:t>
      </w:r>
      <w:r>
        <w:rPr>
          <w:sz w:val="22"/>
          <w:szCs w:val="22"/>
          <w:lang w:eastAsia="zh-CN"/>
        </w:rPr>
        <w:t>”</w:t>
      </w:r>
      <w:r>
        <w:rPr>
          <w:rFonts w:hint="eastAsia"/>
          <w:sz w:val="22"/>
          <w:szCs w:val="22"/>
          <w:lang w:eastAsia="zh-CN"/>
        </w:rPr>
        <w:t>.</w:t>
      </w:r>
    </w:p>
    <w:p>
      <w:pPr>
        <w:pStyle w:val="3"/>
        <w:numPr>
          <w:ilvl w:val="0"/>
          <w:numId w:val="8"/>
        </w:numPr>
        <w:spacing w:beforeLines="50" w:afterLines="50" w:line="240" w:lineRule="atLeast"/>
        <w:ind w:left="420" w:hanging="420"/>
        <w:jc w:val="left"/>
        <w:rPr>
          <w:sz w:val="22"/>
          <w:szCs w:val="22"/>
          <w:lang w:eastAsia="zh-CN"/>
        </w:rPr>
      </w:pPr>
      <w:r>
        <w:rPr>
          <w:sz w:val="22"/>
          <w:szCs w:val="22"/>
          <w:lang w:eastAsia="zh-CN"/>
        </w:rPr>
        <w:t>3GPP TR 38.811 V15.0.0, “Study on New Radio (NR) to support non-terrestrial networks”</w:t>
      </w:r>
      <w:r>
        <w:rPr>
          <w:rFonts w:hint="eastAsia"/>
          <w:sz w:val="22"/>
          <w:szCs w:val="22"/>
          <w:lang w:eastAsia="zh-CN"/>
        </w:rPr>
        <w:t>.</w:t>
      </w:r>
    </w:p>
    <w:p>
      <w:pPr>
        <w:pStyle w:val="3"/>
        <w:spacing w:beforeLines="50" w:afterLines="50" w:line="240" w:lineRule="atLeast"/>
        <w:jc w:val="left"/>
        <w:rPr>
          <w:lang w:eastAsia="zh-CN"/>
        </w:rPr>
      </w:pPr>
    </w:p>
    <w:p>
      <w:pPr>
        <w:pStyle w:val="3"/>
        <w:spacing w:beforeLines="50" w:afterLines="50" w:line="240" w:lineRule="atLeast"/>
        <w:jc w:val="left"/>
        <w:rPr>
          <w:lang w:eastAsia="zh-CN"/>
        </w:rPr>
      </w:pPr>
    </w:p>
    <w:p>
      <w:pPr>
        <w:pStyle w:val="3"/>
        <w:spacing w:beforeLines="50" w:afterLines="50" w:line="240" w:lineRule="atLeast"/>
        <w:jc w:val="left"/>
        <w:rPr>
          <w:lang w:eastAsia="zh-CN"/>
        </w:rPr>
      </w:pP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Basemic Times">
    <w:panose1 w:val="00000400000000000000"/>
    <w:charset w:val="00"/>
    <w:family w:val="auto"/>
    <w:pitch w:val="default"/>
    <w:sig w:usb0="00000003" w:usb1="00000000" w:usb2="00000000" w:usb3="00000000" w:csb0="00000001" w:csb1="DFD74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Style w:val="32"/>
      </w:rPr>
      <w:fldChar w:fldCharType="begin"/>
    </w:r>
    <w:r>
      <w:rPr>
        <w:rStyle w:val="32"/>
      </w:rPr>
      <w:instrText xml:space="preserve"> PAGE </w:instrText>
    </w:r>
    <w:r>
      <w:rPr>
        <w:rStyle w:val="32"/>
      </w:rPr>
      <w:fldChar w:fldCharType="separate"/>
    </w:r>
    <w:r>
      <w:rPr>
        <w:rStyle w:val="32"/>
      </w:rPr>
      <w:t>3</w:t>
    </w:r>
    <w:r>
      <w:rPr>
        <w:rStyle w:val="32"/>
      </w:rPr>
      <w:fldChar w:fldCharType="end"/>
    </w:r>
    <w:r>
      <w:rPr>
        <w:rStyle w:val="32"/>
        <w:rFonts w:hint="eastAsia" w:eastAsia="宋体"/>
        <w:lang w:eastAsia="zh-CN"/>
      </w:rPr>
      <w:t>/</w:t>
    </w:r>
    <w:r>
      <w:rPr>
        <w:rStyle w:val="32"/>
      </w:rPr>
      <w:fldChar w:fldCharType="begin"/>
    </w:r>
    <w:r>
      <w:rPr>
        <w:rStyle w:val="32"/>
      </w:rPr>
      <w:instrText xml:space="preserve"> NUMPAGES </w:instrText>
    </w:r>
    <w:r>
      <w:rPr>
        <w:rStyle w:val="32"/>
      </w:rPr>
      <w:fldChar w:fldCharType="separate"/>
    </w:r>
    <w:r>
      <w:rPr>
        <w:rStyle w:val="32"/>
      </w:rPr>
      <w:t>4</w:t>
    </w:r>
    <w:r>
      <w:rPr>
        <w:rStyle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1"/>
      <w:lvlText w:val="%1."/>
      <w:lvlJc w:val="left"/>
      <w:pPr>
        <w:tabs>
          <w:tab w:val="left" w:pos="926"/>
        </w:tabs>
        <w:ind w:left="926"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3A877D64"/>
    <w:multiLevelType w:val="singleLevel"/>
    <w:tmpl w:val="3A877D64"/>
    <w:lvl w:ilvl="0" w:tentative="0">
      <w:start w:val="1"/>
      <w:numFmt w:val="decimal"/>
      <w:pStyle w:val="71"/>
      <w:lvlText w:val="[%1]"/>
      <w:lvlJc w:val="left"/>
      <w:pPr>
        <w:tabs>
          <w:tab w:val="left" w:pos="360"/>
        </w:tabs>
        <w:ind w:left="360" w:hanging="360"/>
      </w:pPr>
    </w:lvl>
  </w:abstractNum>
  <w:abstractNum w:abstractNumId="3">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5E20AE"/>
    <w:multiLevelType w:val="multilevel"/>
    <w:tmpl w:val="4F5E20AE"/>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BC330F5"/>
    <w:multiLevelType w:val="multilevel"/>
    <w:tmpl w:val="7BC330F5"/>
    <w:lvl w:ilvl="0" w:tentative="0">
      <w:start w:val="1"/>
      <w:numFmt w:val="bullet"/>
      <w:pStyle w:val="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
  </w:num>
  <w:num w:numId="2">
    <w:abstractNumId w:val="7"/>
  </w:num>
  <w:num w:numId="3">
    <w:abstractNumId w:val="0"/>
  </w:num>
  <w:num w:numId="4">
    <w:abstractNumId w:val="6"/>
  </w:num>
  <w:num w:numId="5">
    <w:abstractNumId w:val="2"/>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08"/>
  <w:hyphenationZone w:val="425"/>
  <w:drawingGridHorizontalSpacing w:val="120"/>
  <w:drawingGridVerticalSpacing w:val="163"/>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4EE"/>
    <w:rsid w:val="000F7C2E"/>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62D7"/>
    <w:rsid w:val="0049653F"/>
    <w:rsid w:val="004969EE"/>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F7C"/>
    <w:rsid w:val="00C657A1"/>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C17"/>
    <w:rsid w:val="00E27ECF"/>
    <w:rsid w:val="00E30A8A"/>
    <w:rsid w:val="00E3144D"/>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DA52BFB"/>
    <w:rsid w:val="0EAF5890"/>
    <w:rsid w:val="10541B3E"/>
    <w:rsid w:val="14D96A3A"/>
    <w:rsid w:val="14E0457C"/>
    <w:rsid w:val="155C2753"/>
    <w:rsid w:val="16DA732C"/>
    <w:rsid w:val="18302C19"/>
    <w:rsid w:val="19C847B6"/>
    <w:rsid w:val="20AB20D7"/>
    <w:rsid w:val="261F1929"/>
    <w:rsid w:val="26B71A1B"/>
    <w:rsid w:val="2AB72AB5"/>
    <w:rsid w:val="2D8D4329"/>
    <w:rsid w:val="313C51D5"/>
    <w:rsid w:val="313D6BC8"/>
    <w:rsid w:val="320C5D75"/>
    <w:rsid w:val="325544C0"/>
    <w:rsid w:val="33FF6F49"/>
    <w:rsid w:val="35CC0DD0"/>
    <w:rsid w:val="36203947"/>
    <w:rsid w:val="3A147940"/>
    <w:rsid w:val="3A685F64"/>
    <w:rsid w:val="3F416B69"/>
    <w:rsid w:val="43D44CBD"/>
    <w:rsid w:val="453D2662"/>
    <w:rsid w:val="47CE0060"/>
    <w:rsid w:val="49513088"/>
    <w:rsid w:val="49A96A85"/>
    <w:rsid w:val="4DE4260C"/>
    <w:rsid w:val="4F630E53"/>
    <w:rsid w:val="504753B0"/>
    <w:rsid w:val="506371B6"/>
    <w:rsid w:val="51D83DDE"/>
    <w:rsid w:val="523B1F6C"/>
    <w:rsid w:val="523D1FBF"/>
    <w:rsid w:val="52E741F1"/>
    <w:rsid w:val="53DD0587"/>
    <w:rsid w:val="548B7388"/>
    <w:rsid w:val="54D03207"/>
    <w:rsid w:val="55002119"/>
    <w:rsid w:val="58A67E21"/>
    <w:rsid w:val="58E722AA"/>
    <w:rsid w:val="5C0D7610"/>
    <w:rsid w:val="5C670BE7"/>
    <w:rsid w:val="5F91586F"/>
    <w:rsid w:val="5FB1776A"/>
    <w:rsid w:val="621F2F65"/>
    <w:rsid w:val="63861E46"/>
    <w:rsid w:val="65D97277"/>
    <w:rsid w:val="67B87530"/>
    <w:rsid w:val="680964FD"/>
    <w:rsid w:val="6834486B"/>
    <w:rsid w:val="687E2D15"/>
    <w:rsid w:val="69E36984"/>
    <w:rsid w:val="6BDD7AA1"/>
    <w:rsid w:val="6D120AC5"/>
    <w:rsid w:val="6F672065"/>
    <w:rsid w:val="6F9237F6"/>
    <w:rsid w:val="73F146B2"/>
    <w:rsid w:val="764F62FF"/>
    <w:rsid w:val="7778132F"/>
    <w:rsid w:val="795F479B"/>
    <w:rsid w:val="7C5312D2"/>
    <w:rsid w:val="7F385E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89"/>
    <w:qFormat/>
    <w:uiPriority w:val="9"/>
    <w:pPr>
      <w:keepNext/>
      <w:spacing w:before="240" w:after="240"/>
      <w:outlineLvl w:val="0"/>
    </w:pPr>
    <w:rPr>
      <w:rFonts w:ascii="Helvetica" w:hAnsi="Helvetica" w:cs="Arial"/>
      <w:b/>
      <w:bCs/>
      <w:kern w:val="32"/>
      <w:sz w:val="28"/>
      <w:szCs w:val="32"/>
    </w:rPr>
  </w:style>
  <w:style w:type="paragraph" w:styleId="4">
    <w:name w:val="heading 2"/>
    <w:basedOn w:val="1"/>
    <w:next w:val="3"/>
    <w:link w:val="85"/>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30">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0"/>
    <w:qFormat/>
    <w:uiPriority w:val="0"/>
    <w:pPr>
      <w:spacing w:after="120"/>
      <w:jc w:val="both"/>
    </w:pPr>
    <w:rPr>
      <w:rFonts w:ascii="Times" w:hAnsi="Times" w:eastAsia="宋体"/>
      <w:sz w:val="20"/>
    </w:rPr>
  </w:style>
  <w:style w:type="paragraph" w:styleId="8">
    <w:name w:val="caption"/>
    <w:basedOn w:val="1"/>
    <w:next w:val="1"/>
    <w:link w:val="59"/>
    <w:qFormat/>
    <w:uiPriority w:val="0"/>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3"/>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5"/>
    <w:qFormat/>
    <w:uiPriority w:val="99"/>
    <w:pPr>
      <w:tabs>
        <w:tab w:val="center" w:pos="4153"/>
        <w:tab w:val="right" w:pos="8306"/>
      </w:tabs>
      <w:snapToGrid w:val="0"/>
    </w:pPr>
    <w:rPr>
      <w:sz w:val="18"/>
      <w:szCs w:val="18"/>
    </w:rPr>
  </w:style>
  <w:style w:type="paragraph" w:styleId="16">
    <w:name w:val="header"/>
    <w:basedOn w:val="1"/>
    <w:link w:val="72"/>
    <w:qFormat/>
    <w:uiPriority w:val="0"/>
    <w:pPr>
      <w:tabs>
        <w:tab w:val="left" w:pos="2552"/>
      </w:tabs>
    </w:pPr>
    <w:rPr>
      <w:rFonts w:ascii="Arial" w:hAnsi="Arial"/>
      <w:b/>
      <w:sz w:val="20"/>
    </w:rPr>
  </w:style>
  <w:style w:type="paragraph" w:styleId="17">
    <w:name w:val="List"/>
    <w:basedOn w:val="1"/>
    <w:qFormat/>
    <w:uiPriority w:val="0"/>
    <w:pPr>
      <w:ind w:left="200" w:hanging="200" w:hangingChars="200"/>
    </w:pPr>
  </w:style>
  <w:style w:type="paragraph" w:styleId="18">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19">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0">
    <w:name w:val="annotation subject"/>
    <w:basedOn w:val="10"/>
    <w:next w:val="10"/>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24">
    <w:name w:val="Table Classic 1"/>
    <w:basedOn w:val="21"/>
    <w:qFormat/>
    <w:uiPriority w:val="0"/>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25">
    <w:name w:val="Light Shading Accent 5"/>
    <w:basedOn w:val="21"/>
    <w:qFormat/>
    <w:uiPriority w:val="6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26">
    <w:name w:val="Light List Accent 5"/>
    <w:basedOn w:val="21"/>
    <w:qFormat/>
    <w:uiPriority w:val="61"/>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4BACC6"/>
      </w:tcPr>
    </w:tblStylePr>
    <w:tblStylePr w:type="lastRow">
      <w:pPr>
        <w:spacing w:before="0" w:after="0" w:line="240" w:lineRule="auto"/>
      </w:pPr>
      <w:rPr>
        <w:b/>
        <w:bCs/>
      </w:rPr>
      <w:tblPr>
        <w:tblLayout w:type="fixed"/>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tcPr>
    </w:tblStylePr>
    <w:tblStylePr w:type="band1Horz">
      <w:tblPr>
        <w:tblLayout w:type="fixed"/>
      </w:tblPr>
      <w:tcPr>
        <w:tcBorders>
          <w:top w:val="single" w:color="4BACC6" w:sz="8" w:space="0"/>
          <w:left w:val="single" w:color="4BACC6" w:sz="8" w:space="0"/>
          <w:bottom w:val="single" w:color="4BACC6" w:sz="8" w:space="0"/>
          <w:right w:val="single" w:color="4BACC6" w:sz="8" w:space="0"/>
        </w:tcBorders>
      </w:tcPr>
    </w:tblStylePr>
  </w:style>
  <w:style w:type="table" w:styleId="27">
    <w:name w:val="Light Grid Accent 5"/>
    <w:basedOn w:val="21"/>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28">
    <w:name w:val="Medium Shading 2 Accent 5"/>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blLayout w:type="fixed"/>
      </w:tblPr>
      <w:tcPr>
        <w:tcBorders>
          <w:left w:val="nil"/>
          <w:right w:val="nil"/>
          <w:insideH w:val="nil"/>
          <w:insideV w:val="nil"/>
        </w:tcBorders>
        <w:shd w:val="clear" w:color="auto" w:fill="4BACC6"/>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29">
    <w:name w:val="Medium Grid 3 Accent 1"/>
    <w:basedOn w:val="2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31">
    <w:name w:val="endnote reference"/>
    <w:qFormat/>
    <w:uiPriority w:val="0"/>
    <w:rPr>
      <w:vertAlign w:val="superscript"/>
    </w:rPr>
  </w:style>
  <w:style w:type="character" w:styleId="32">
    <w:name w:val="page number"/>
    <w:basedOn w:val="30"/>
    <w:qFormat/>
    <w:uiPriority w:val="0"/>
  </w:style>
  <w:style w:type="character" w:styleId="33">
    <w:name w:val="Emphasis"/>
    <w:basedOn w:val="30"/>
    <w:qFormat/>
    <w:uiPriority w:val="20"/>
    <w:rPr>
      <w:i/>
      <w:iCs/>
    </w:rPr>
  </w:style>
  <w:style w:type="character" w:styleId="34">
    <w:name w:val="Hyperlink"/>
    <w:qFormat/>
    <w:uiPriority w:val="99"/>
    <w:rPr>
      <w:color w:val="0000FF"/>
      <w:u w:val="single"/>
    </w:rPr>
  </w:style>
  <w:style w:type="character" w:styleId="35">
    <w:name w:val="annotation reference"/>
    <w:semiHidden/>
    <w:qFormat/>
    <w:uiPriority w:val="0"/>
    <w:rPr>
      <w:sz w:val="16"/>
      <w:szCs w:val="16"/>
    </w:rPr>
  </w:style>
  <w:style w:type="character" w:styleId="36">
    <w:name w:val="footnote reference"/>
    <w:qFormat/>
    <w:uiPriority w:val="0"/>
    <w:rPr>
      <w:position w:val="6"/>
      <w:sz w:val="18"/>
    </w:r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3"/>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
    <w:name w:val="脚注文本 Char"/>
    <w:link w:val="18"/>
    <w:qFormat/>
    <w:uiPriority w:val="0"/>
    <w:rPr>
      <w:rFonts w:eastAsia="宋体"/>
      <w:sz w:val="22"/>
      <w:lang w:val="en-GB" w:eastAsia="en-US"/>
    </w:rPr>
  </w:style>
  <w:style w:type="character" w:customStyle="1" w:styleId="43">
    <w:name w:val="尾注文本 Char"/>
    <w:link w:val="13"/>
    <w:qFormat/>
    <w:uiPriority w:val="0"/>
    <w:rPr>
      <w:rFonts w:eastAsia="Times New Roman"/>
      <w:sz w:val="24"/>
      <w:szCs w:val="24"/>
      <w:lang w:eastAsia="en-US"/>
    </w:rPr>
  </w:style>
  <w:style w:type="paragraph" w:customStyle="1" w:styleId="44">
    <w:name w:val="彩色底纹 - 着色 11"/>
    <w:hidden/>
    <w:semiHidden/>
    <w:qFormat/>
    <w:uiPriority w:val="99"/>
    <w:rPr>
      <w:rFonts w:ascii="Times New Roman" w:hAnsi="Times New Roman" w:eastAsia="Times New Roman" w:cs="Times New Roman"/>
      <w:sz w:val="24"/>
      <w:szCs w:val="24"/>
      <w:lang w:val="en-US" w:eastAsia="en-US" w:bidi="ar-SA"/>
    </w:rPr>
  </w:style>
  <w:style w:type="character" w:customStyle="1" w:styleId="45">
    <w:name w:val="页脚 Char"/>
    <w:link w:val="15"/>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58"/>
    <w:link w:val="73"/>
    <w:qFormat/>
    <w:uiPriority w:val="0"/>
    <w:pPr>
      <w:overflowPunct w:val="0"/>
      <w:autoSpaceDE w:val="0"/>
      <w:autoSpaceDN w:val="0"/>
      <w:adjustRightInd w:val="0"/>
      <w:jc w:val="center"/>
      <w:textAlignment w:val="baseline"/>
    </w:pPr>
    <w:rPr>
      <w:szCs w:val="20"/>
      <w:lang w:val="en-GB" w:eastAsia="en-GB"/>
    </w:rPr>
  </w:style>
  <w:style w:type="paragraph" w:customStyle="1" w:styleId="58">
    <w:name w:val="TAL"/>
    <w:basedOn w:val="1"/>
    <w:qFormat/>
    <w:uiPriority w:val="0"/>
    <w:pPr>
      <w:keepNext/>
      <w:keepLines/>
    </w:pPr>
    <w:rPr>
      <w:rFonts w:ascii="Arial" w:hAnsi="Arial"/>
      <w:sz w:val="18"/>
    </w:rPr>
  </w:style>
  <w:style w:type="character" w:customStyle="1" w:styleId="59">
    <w:name w:val="题注 Char"/>
    <w:link w:val="8"/>
    <w:qFormat/>
    <w:uiPriority w:val="0"/>
    <w:rPr>
      <w:rFonts w:eastAsia="Times New Roman"/>
      <w:b/>
      <w:bCs/>
      <w:lang w:eastAsia="en-US"/>
    </w:rPr>
  </w:style>
  <w:style w:type="paragraph" w:customStyle="1" w:styleId="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2">
    <w:name w:val="B1"/>
    <w:basedOn w:val="17"/>
    <w:link w:val="64"/>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3">
    <w:name w:val="B2"/>
    <w:basedOn w:val="12"/>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4">
    <w:name w:val="B1 (文字)"/>
    <w:link w:val="62"/>
    <w:qFormat/>
    <w:uiPriority w:val="0"/>
    <w:rPr>
      <w:lang w:val="en-GB" w:eastAsia="en-GB"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6">
    <w:name w:val="TH Char"/>
    <w:link w:val="65"/>
    <w:qFormat/>
    <w:uiPriority w:val="0"/>
    <w:rPr>
      <w:rFonts w:ascii="Arial" w:hAnsi="Arial"/>
      <w:b/>
      <w:lang w:val="en-GB" w:eastAsia="en-GB" w:bidi="ar-SA"/>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0">
    <w:name w:val="PL Char"/>
    <w:link w:val="69"/>
    <w:qFormat/>
    <w:uiPriority w:val="0"/>
    <w:rPr>
      <w:rFonts w:ascii="Courier New" w:hAnsi="Courier New"/>
      <w:sz w:val="16"/>
      <w:lang w:val="en-GB" w:eastAsia="ja-JP" w:bidi="ar-SA"/>
    </w:rPr>
  </w:style>
  <w:style w:type="paragraph" w:customStyle="1" w:styleId="71">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2">
    <w:name w:val="页眉 Char1"/>
    <w:link w:val="16"/>
    <w:qFormat/>
    <w:uiPriority w:val="0"/>
    <w:rPr>
      <w:rFonts w:ascii="Arial" w:hAnsi="Arial" w:eastAsia="Times New Roman"/>
      <w:b/>
      <w:szCs w:val="24"/>
      <w:lang w:eastAsia="en-US"/>
    </w:rPr>
  </w:style>
  <w:style w:type="character" w:customStyle="1" w:styleId="73">
    <w:name w:val="TAC Char"/>
    <w:link w:val="57"/>
    <w:qFormat/>
    <w:uiPriority w:val="0"/>
    <w:rPr>
      <w:rFonts w:ascii="Arial" w:hAnsi="Arial" w:eastAsia="Times New Roman"/>
      <w:sz w:val="18"/>
      <w:lang w:val="en-GB" w:eastAsia="en-GB"/>
    </w:rPr>
  </w:style>
  <w:style w:type="character" w:customStyle="1" w:styleId="74">
    <w:name w:val="正文文本 Char"/>
    <w:qFormat/>
    <w:uiPriority w:val="0"/>
    <w:rPr>
      <w:rFonts w:ascii="Times" w:hAnsi="Times"/>
      <w:szCs w:val="24"/>
      <w:lang w:val="en-US" w:eastAsia="en-US" w:bidi="ar-SA"/>
    </w:rPr>
  </w:style>
  <w:style w:type="character" w:customStyle="1" w:styleId="75">
    <w:name w:val="页眉 Char"/>
    <w:qFormat/>
    <w:uiPriority w:val="0"/>
    <w:rPr>
      <w:rFonts w:ascii="Arial" w:hAnsi="Arial" w:eastAsia="Times New Roman"/>
      <w:b/>
      <w:szCs w:val="24"/>
      <w:lang w:eastAsia="en-US"/>
    </w:rPr>
  </w:style>
  <w:style w:type="paragraph" w:customStyle="1" w:styleId="76">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7">
    <w:name w:val="ZGSM"/>
    <w:qFormat/>
    <w:uiPriority w:val="0"/>
  </w:style>
  <w:style w:type="paragraph" w:customStyle="1" w:styleId="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styleId="79">
    <w:name w:val="List Paragraph"/>
    <w:basedOn w:val="1"/>
    <w:link w:val="84"/>
    <w:qFormat/>
    <w:uiPriority w:val="34"/>
    <w:pPr>
      <w:ind w:firstLine="420" w:firstLineChars="200"/>
    </w:pPr>
  </w:style>
  <w:style w:type="paragraph" w:customStyle="1" w:styleId="80">
    <w:name w:val="修订1"/>
    <w:hidden/>
    <w:semiHidden/>
    <w:qFormat/>
    <w:uiPriority w:val="99"/>
    <w:rPr>
      <w:rFonts w:ascii="Times New Roman" w:hAnsi="Times New Roman" w:eastAsia="Times New Roman" w:cs="Times New Roman"/>
      <w:sz w:val="24"/>
      <w:szCs w:val="24"/>
      <w:lang w:val="en-US" w:eastAsia="en-US" w:bidi="ar-SA"/>
    </w:rPr>
  </w:style>
  <w:style w:type="table" w:customStyle="1" w:styleId="81">
    <w:name w:val="浅色列表 - 强调文字颜色 11"/>
    <w:basedOn w:val="21"/>
    <w:qFormat/>
    <w:uiPriority w:val="61"/>
    <w:tblPr>
      <w:tblBorders>
        <w:top w:val="single" w:color="4F81BD" w:sz="8" w:space="0"/>
        <w:left w:val="single" w:color="4F81BD" w:sz="8" w:space="0"/>
        <w:bottom w:val="single" w:color="4F81BD" w:sz="8" w:space="0"/>
        <w:right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2">
    <w:name w:val="中等深浅底纹 2 - 强调文字颜色 11"/>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3">
    <w:name w:val="apple-converted-space"/>
    <w:basedOn w:val="30"/>
    <w:qFormat/>
    <w:uiPriority w:val="0"/>
  </w:style>
  <w:style w:type="character" w:customStyle="1" w:styleId="84">
    <w:name w:val="列出段落 Char"/>
    <w:link w:val="79"/>
    <w:qFormat/>
    <w:uiPriority w:val="34"/>
    <w:rPr>
      <w:rFonts w:eastAsia="Times New Roman"/>
      <w:sz w:val="24"/>
      <w:szCs w:val="24"/>
      <w:lang w:eastAsia="en-US"/>
    </w:rPr>
  </w:style>
  <w:style w:type="character" w:customStyle="1" w:styleId="85">
    <w:name w:val="标题 2 Char"/>
    <w:basedOn w:val="30"/>
    <w:link w:val="4"/>
    <w:qFormat/>
    <w:uiPriority w:val="0"/>
    <w:rPr>
      <w:rFonts w:ascii="Helvetica" w:hAnsi="Helvetica" w:eastAsia="Times New Roman" w:cs="Arial"/>
      <w:b/>
      <w:bCs/>
      <w:iCs/>
      <w:sz w:val="24"/>
      <w:szCs w:val="28"/>
      <w:lang w:eastAsia="en-US"/>
    </w:rPr>
  </w:style>
  <w:style w:type="table" w:customStyle="1" w:styleId="86">
    <w:name w:val="浅色底纹 - 强调文字颜色 11"/>
    <w:basedOn w:val="21"/>
    <w:qFormat/>
    <w:uiPriority w:val="6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7">
    <w:name w:val="浅色网格1"/>
    <w:basedOn w:val="21"/>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89">
    <w:name w:val="标题 1 Char"/>
    <w:basedOn w:val="30"/>
    <w:link w:val="2"/>
    <w:qFormat/>
    <w:uiPriority w:val="9"/>
    <w:rPr>
      <w:rFonts w:ascii="Helvetica" w:hAnsi="Helvetica" w:eastAsia="Times New Roman" w:cs="Arial"/>
      <w:b/>
      <w:bCs/>
      <w:kern w:val="32"/>
      <w:sz w:val="28"/>
      <w:szCs w:val="32"/>
      <w:lang w:eastAsia="en-US"/>
    </w:rPr>
  </w:style>
  <w:style w:type="character" w:customStyle="1" w:styleId="90">
    <w:name w:val="basic-word"/>
    <w:basedOn w:val="30"/>
    <w:qFormat/>
    <w:uiPriority w:val="0"/>
  </w:style>
  <w:style w:type="paragraph" w:customStyle="1" w:styleId="91">
    <w:name w:val="正文2"/>
    <w:qFormat/>
    <w:uiPriority w:val="0"/>
    <w:pPr>
      <w:jc w:val="both"/>
    </w:pPr>
    <w:rPr>
      <w:rFonts w:ascii="MS Mincho" w:hAnsi="MS Mincho" w:eastAsia="宋体" w:cs="宋体"/>
      <w:kern w:val="2"/>
      <w:sz w:val="21"/>
      <w:szCs w:val="21"/>
      <w:lang w:val="en-US" w:eastAsia="zh-CN" w:bidi="ar-SA"/>
    </w:rPr>
  </w:style>
  <w:style w:type="paragraph" w:customStyle="1" w:styleId="92">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94">
    <w:name w:val="Eqn"/>
    <w:basedOn w:val="1"/>
    <w:qFormat/>
    <w:uiPriority w:val="0"/>
    <w:pPr>
      <w:tabs>
        <w:tab w:val="center" w:pos="4608"/>
        <w:tab w:val="right" w:pos="9216"/>
      </w:tabs>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2.png"/><Relationship Id="rId22" Type="http://schemas.openxmlformats.org/officeDocument/2006/relationships/image" Target="media/image11.wmf"/><Relationship Id="rId21" Type="http://schemas.openxmlformats.org/officeDocument/2006/relationships/oleObject" Target="embeddings/oleObject7.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image" Target="media/image8.wmf"/><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E764E-813C-4BC0-B855-C5236B0B09CE}">
  <ds:schemaRefs/>
</ds:datastoreItem>
</file>

<file path=docProps/app.xml><?xml version="1.0" encoding="utf-8"?>
<Properties xmlns="http://schemas.openxmlformats.org/officeDocument/2006/extended-properties" xmlns:vt="http://schemas.openxmlformats.org/officeDocument/2006/docPropsVTypes">
  <Template>Normal.dotm</Template>
  <Pages>4</Pages>
  <Words>989</Words>
  <Characters>5584</Characters>
  <Lines>46</Lines>
  <Paragraphs>13</Paragraphs>
  <TotalTime>30</TotalTime>
  <ScaleCrop>false</ScaleCrop>
  <LinksUpToDate>false</LinksUpToDate>
  <CharactersWithSpaces>6560</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2019-01-09T06:20:00Z</dcterms:created>
  <dc:creator>cmri</dc:creator>
  <cp:lastModifiedBy>walyspirit</cp:lastModifiedBy>
  <cp:lastPrinted>2017-08-31T07:09:00Z</cp:lastPrinted>
  <dcterms:modified xsi:type="dcterms:W3CDTF">2019-03-29T10:03:55Z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2052-11.1.0.8515</vt:lpwstr>
  </property>
</Properties>
</file>