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B8FF1" w14:textId="7D5D80F1" w:rsidR="00DE63A0" w:rsidRPr="00EA3011" w:rsidRDefault="004441F5" w:rsidP="00EA3011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RAN</w:t>
      </w:r>
      <w:r w:rsidR="00F37B1B">
        <w:rPr>
          <w:rFonts w:ascii="Arial" w:hAnsi="Arial" w:cs="Arial"/>
          <w:b/>
          <w:bCs/>
          <w:snapToGrid w:val="0"/>
          <w:sz w:val="24"/>
          <w:lang w:val="en-GB"/>
        </w:rPr>
        <w:t xml:space="preserve"> WG1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#96</w:t>
      </w:r>
      <w:r w:rsidR="00955D5E">
        <w:rPr>
          <w:rFonts w:ascii="Arial" w:hAnsi="Arial" w:cs="Arial" w:hint="eastAsia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EA3011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E63A0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CB3219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7A2989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5E483B">
        <w:rPr>
          <w:rFonts w:ascii="Arial" w:hAnsi="Arial" w:cs="Arial"/>
          <w:b/>
          <w:bCs/>
          <w:snapToGrid w:val="0"/>
          <w:sz w:val="24"/>
          <w:lang w:val="en-GB"/>
        </w:rPr>
        <w:t>4210</w:t>
      </w:r>
    </w:p>
    <w:p w14:paraId="2A2DFA80" w14:textId="72BF5A7C" w:rsidR="00DE63A0" w:rsidRPr="00955D5E" w:rsidRDefault="00955D5E" w:rsidP="00EA3011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955D5E">
        <w:rPr>
          <w:rFonts w:ascii="Arial" w:hAnsi="Arial" w:cs="Arial"/>
          <w:b/>
          <w:bCs/>
          <w:snapToGrid w:val="0"/>
          <w:sz w:val="24"/>
          <w:lang w:val="en-GB"/>
        </w:rPr>
        <w:t>Xi’an, China, 8</w:t>
      </w:r>
      <w:r w:rsidRPr="00AB1AA7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AB1AA7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955D5E">
        <w:rPr>
          <w:rFonts w:ascii="Arial" w:hAnsi="Arial" w:cs="Arial"/>
          <w:b/>
          <w:bCs/>
          <w:snapToGrid w:val="0"/>
          <w:sz w:val="24"/>
          <w:lang w:val="en-GB"/>
        </w:rPr>
        <w:t>– 12</w:t>
      </w:r>
      <w:r w:rsidRPr="00AB1AA7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AB1AA7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955D5E">
        <w:rPr>
          <w:rFonts w:ascii="Arial" w:hAnsi="Arial" w:cs="Arial"/>
          <w:b/>
          <w:bCs/>
          <w:snapToGrid w:val="0"/>
          <w:sz w:val="24"/>
          <w:lang w:val="en-GB"/>
        </w:rPr>
        <w:t>April, 2019</w:t>
      </w:r>
    </w:p>
    <w:p w14:paraId="40EFD432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91388C">
        <w:rPr>
          <w:rFonts w:ascii="Arial" w:hAnsi="Arial" w:cs="Arial"/>
          <w:snapToGrid w:val="0"/>
          <w:sz w:val="24"/>
        </w:rPr>
        <w:t>4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4BAC57E2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2DB44B26" w14:textId="77777777"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 w:cs="Arial"/>
          <w:sz w:val="24"/>
        </w:rPr>
        <w:t>Discussions on full</w:t>
      </w:r>
      <w:r w:rsidR="003872E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Tx power uplink transmission</w:t>
      </w:r>
    </w:p>
    <w:p w14:paraId="78B3C6AB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23D99478" w14:textId="77777777"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 w:rsidRPr="00DE63A0">
        <w:rPr>
          <w:lang w:val="en-US"/>
        </w:rPr>
        <w:t>Introduction</w:t>
      </w:r>
    </w:p>
    <w:p w14:paraId="6D218D4B" w14:textId="6460FE03" w:rsidR="003872EE" w:rsidRDefault="009D0C26" w:rsidP="003D5AD4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9D0C26">
        <w:rPr>
          <w:b w:val="0"/>
          <w:noProof/>
          <w:sz w:val="20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8A05CD" wp14:editId="7679C519">
                <wp:simplePos x="0" y="0"/>
                <wp:positionH relativeFrom="margin">
                  <wp:posOffset>-19050</wp:posOffset>
                </wp:positionH>
                <wp:positionV relativeFrom="paragraph">
                  <wp:posOffset>260985</wp:posOffset>
                </wp:positionV>
                <wp:extent cx="5748020" cy="2197100"/>
                <wp:effectExtent l="0" t="0" r="24130" b="1270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219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809ED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green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</w:p>
                          <w:p w14:paraId="6E017D18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 w:hint="eastAsia"/>
                                <w:kern w:val="0"/>
                                <w:szCs w:val="24"/>
                                <w:lang w:val="en-GB" w:eastAsia="en-US"/>
                              </w:rPr>
                              <w:t>Note: UE capability 1</w:t>
                            </w: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, 2, 3 agreed in RAN1#AH1901 mean the PA architectures.</w:t>
                            </w:r>
                          </w:p>
                          <w:p w14:paraId="4A29042B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 xml:space="preserve">At least for PC3, </w:t>
                            </w:r>
                            <w:r w:rsidRPr="00955D5E">
                              <w:rPr>
                                <w:rFonts w:ascii="Times" w:eastAsia="바탕" w:hAnsi="Times" w:cs="Times New Roman" w:hint="eastAsia"/>
                                <w:kern w:val="0"/>
                                <w:szCs w:val="24"/>
                                <w:lang w:val="en-GB" w:eastAsia="en-US"/>
                              </w:rPr>
                              <w:t>UE capability 1</w:t>
                            </w: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, 3 can support full power transmission.</w:t>
                            </w:r>
                          </w:p>
                          <w:p w14:paraId="2291C89A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darkYellow"/>
                                <w:lang w:val="en-GB" w:eastAsia="en-US"/>
                              </w:rPr>
                              <w:t>Working assumption</w:t>
                            </w: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 xml:space="preserve">: For PC3, </w:t>
                            </w:r>
                            <w:r w:rsidRPr="00955D5E">
                              <w:rPr>
                                <w:rFonts w:ascii="Times" w:eastAsia="바탕" w:hAnsi="Times" w:cs="Times New Roman" w:hint="eastAsia"/>
                                <w:kern w:val="0"/>
                                <w:szCs w:val="24"/>
                                <w:lang w:val="en-GB" w:eastAsia="en-US"/>
                              </w:rPr>
                              <w:t xml:space="preserve">UE capability </w:t>
                            </w: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2 can support full power transmission.</w:t>
                            </w:r>
                          </w:p>
                          <w:p w14:paraId="4DC993C3" w14:textId="77777777" w:rsidR="00955D5E" w:rsidRPr="00955D5E" w:rsidRDefault="00955D5E" w:rsidP="00955D5E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Companies to check for any implementation issues and/or performance of Rel-16 full power transmission compared to Rel-15 non-coherent codebook subset uplink transmission)</w:t>
                            </w:r>
                          </w:p>
                          <w:p w14:paraId="4936752F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ind w:left="1440" w:hanging="1440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493A61A4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ind w:left="1440" w:hanging="1440"/>
                              <w:jc w:val="left"/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5FC0BB0D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 New Roman" w:eastAsia="SimSun" w:hAnsi="Times New Roman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Down select among the following two alternatives by RAN1#96bis. As part of UE capabilities signalled the following is included:</w:t>
                            </w:r>
                          </w:p>
                          <w:p w14:paraId="7FD4BFD4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Alt</w:t>
                            </w:r>
                            <w:r w:rsidRPr="00955D5E">
                              <w:rPr>
                                <w:rFonts w:ascii="Times" w:eastAsia="바탕" w:hAnsi="Times" w:cs="Times New Roman" w:hint="eastAsia"/>
                                <w:kern w:val="0"/>
                                <w:szCs w:val="20"/>
                                <w:lang w:val="en-GB" w:eastAsia="en-US"/>
                              </w:rPr>
                              <w:t>1:</w:t>
                            </w: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UE capability signaling of supported one or group of TPMI precoder(s)</w:t>
                            </w:r>
                          </w:p>
                          <w:p w14:paraId="1FD02D9D" w14:textId="77777777" w:rsidR="00955D5E" w:rsidRPr="00955D5E" w:rsidRDefault="00955D5E" w:rsidP="00955D5E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en-US"/>
                              </w:rPr>
                              <w:t>Alt3: UE capability signaling of power scaling schemes for full uplink power transmission</w:t>
                            </w:r>
                          </w:p>
                          <w:p w14:paraId="1072B4C8" w14:textId="77777777" w:rsidR="00955D5E" w:rsidRPr="00955D5E" w:rsidRDefault="00955D5E" w:rsidP="00955D5E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x-none"/>
                              </w:rPr>
                              <w:t>Note: This does not imply any restriction on UE antenna virtualization</w:t>
                            </w:r>
                          </w:p>
                          <w:p w14:paraId="1B8E20D8" w14:textId="77777777" w:rsidR="00955D5E" w:rsidRPr="00955D5E" w:rsidRDefault="00955D5E" w:rsidP="00955D5E">
                            <w:pPr>
                              <w:widowControl/>
                              <w:numPr>
                                <w:ilvl w:val="0"/>
                                <w:numId w:val="18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  <w:r w:rsidRPr="00955D5E">
                              <w:rPr>
                                <w:rFonts w:ascii="Times" w:eastAsia="바탕" w:hAnsi="Times" w:cs="Times New Roman"/>
                                <w:kern w:val="0"/>
                                <w:szCs w:val="20"/>
                                <w:lang w:val="en-GB" w:eastAsia="x-none"/>
                              </w:rPr>
                              <w:t>FFS: Whether full uplink power transmission needs to be supported for all precoders</w:t>
                            </w:r>
                          </w:p>
                          <w:p w14:paraId="1EF22693" w14:textId="77777777" w:rsidR="009D0C26" w:rsidRPr="00955D5E" w:rsidRDefault="009D0C2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A05C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1.5pt;margin-top:20.55pt;width:452.6pt;height:17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">
                <v:textbox>
                  <w:txbxContent>
                    <w:p w14:paraId="0FD809ED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green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</w:p>
                    <w:p w14:paraId="6E017D18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 w:hint="eastAsia"/>
                          <w:kern w:val="0"/>
                          <w:szCs w:val="24"/>
                          <w:lang w:val="en-GB" w:eastAsia="en-US"/>
                        </w:rPr>
                        <w:t>Note: UE capability 1</w:t>
                      </w: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, 2, 3 agreed in RAN1#AH1901 mean the PA architectures.</w:t>
                      </w:r>
                    </w:p>
                    <w:p w14:paraId="4A29042B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 xml:space="preserve">At least for PC3, </w:t>
                      </w:r>
                      <w:r w:rsidRPr="00955D5E">
                        <w:rPr>
                          <w:rFonts w:ascii="Times" w:eastAsia="바탕" w:hAnsi="Times" w:cs="Times New Roman" w:hint="eastAsia"/>
                          <w:kern w:val="0"/>
                          <w:szCs w:val="24"/>
                          <w:lang w:val="en-GB" w:eastAsia="en-US"/>
                        </w:rPr>
                        <w:t>UE capability 1</w:t>
                      </w: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, 3 can support full power transmission.</w:t>
                      </w:r>
                    </w:p>
                    <w:p w14:paraId="2291C89A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darkYellow"/>
                          <w:lang w:val="en-GB" w:eastAsia="en-US"/>
                        </w:rPr>
                        <w:t>Working assumption</w:t>
                      </w: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 xml:space="preserve">: For PC3, </w:t>
                      </w:r>
                      <w:r w:rsidRPr="00955D5E">
                        <w:rPr>
                          <w:rFonts w:ascii="Times" w:eastAsia="바탕" w:hAnsi="Times" w:cs="Times New Roman" w:hint="eastAsia"/>
                          <w:kern w:val="0"/>
                          <w:szCs w:val="24"/>
                          <w:lang w:val="en-GB" w:eastAsia="en-US"/>
                        </w:rPr>
                        <w:t xml:space="preserve">UE capability </w:t>
                      </w: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2 can support full power transmission.</w:t>
                      </w:r>
                    </w:p>
                    <w:p w14:paraId="4DC993C3" w14:textId="77777777" w:rsidR="00955D5E" w:rsidRPr="00955D5E" w:rsidRDefault="00955D5E" w:rsidP="00955D5E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Companies to check for any implementation issues and/or performance of Rel-16 full power transmission compared to Rel-15 non-coherent codebook subset uplink transmission)</w:t>
                      </w:r>
                    </w:p>
                    <w:p w14:paraId="4936752F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ind w:left="1440" w:hanging="1440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</w:p>
                    <w:p w14:paraId="493A61A4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ind w:left="1440" w:hanging="1440"/>
                        <w:jc w:val="left"/>
                        <w:rPr>
                          <w:rFonts w:ascii="Times" w:eastAsia="바탕" w:hAnsi="Times" w:cs="Times New Roman"/>
                          <w:b/>
                          <w:kern w:val="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b/>
                          <w:kern w:val="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5FC0BB0D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955D5E">
                        <w:rPr>
                          <w:rFonts w:ascii="Times New Roman" w:eastAsia="SimSun" w:hAnsi="Times New Roman" w:cs="Times New Roman"/>
                          <w:kern w:val="0"/>
                          <w:szCs w:val="20"/>
                          <w:lang w:val="en-GB" w:eastAsia="en-US"/>
                        </w:rPr>
                        <w:t>Down select among the following two alternatives by RAN1#96bis. As part of UE capabilities signalled the following is included:</w:t>
                      </w:r>
                    </w:p>
                    <w:p w14:paraId="7FD4BFD4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en-US"/>
                        </w:rPr>
                        <w:t>Alt</w:t>
                      </w:r>
                      <w:r w:rsidRPr="00955D5E">
                        <w:rPr>
                          <w:rFonts w:ascii="Times" w:eastAsia="바탕" w:hAnsi="Times" w:cs="Times New Roman" w:hint="eastAsia"/>
                          <w:kern w:val="0"/>
                          <w:szCs w:val="20"/>
                          <w:lang w:val="en-GB" w:eastAsia="en-US"/>
                        </w:rPr>
                        <w:t>1:</w:t>
                      </w: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en-US"/>
                        </w:rPr>
                        <w:t xml:space="preserve"> UE capability signaling of supported one or group of TPMI precoder(s)</w:t>
                      </w:r>
                    </w:p>
                    <w:p w14:paraId="1FD02D9D" w14:textId="77777777" w:rsidR="00955D5E" w:rsidRPr="00955D5E" w:rsidRDefault="00955D5E" w:rsidP="00955D5E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en-US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en-US"/>
                        </w:rPr>
                        <w:t>Alt3: UE capability signaling of power scaling schemes for full uplink power transmission</w:t>
                      </w:r>
                    </w:p>
                    <w:p w14:paraId="1072B4C8" w14:textId="77777777" w:rsidR="00955D5E" w:rsidRPr="00955D5E" w:rsidRDefault="00955D5E" w:rsidP="00955D5E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x-none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x-none"/>
                        </w:rPr>
                        <w:t>Note: This does not imply any restriction on UE antenna virtualization</w:t>
                      </w:r>
                    </w:p>
                    <w:p w14:paraId="1B8E20D8" w14:textId="77777777" w:rsidR="00955D5E" w:rsidRPr="00955D5E" w:rsidRDefault="00955D5E" w:rsidP="00955D5E">
                      <w:pPr>
                        <w:widowControl/>
                        <w:numPr>
                          <w:ilvl w:val="0"/>
                          <w:numId w:val="18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x-none"/>
                        </w:rPr>
                      </w:pPr>
                      <w:r w:rsidRPr="00955D5E">
                        <w:rPr>
                          <w:rFonts w:ascii="Times" w:eastAsia="바탕" w:hAnsi="Times" w:cs="Times New Roman"/>
                          <w:kern w:val="0"/>
                          <w:szCs w:val="20"/>
                          <w:lang w:val="en-GB" w:eastAsia="x-none"/>
                        </w:rPr>
                        <w:t>FFS: Whether full uplink power transmission needs to be supported for all precoders</w:t>
                      </w:r>
                    </w:p>
                    <w:p w14:paraId="1EF22693" w14:textId="77777777" w:rsidR="009D0C26" w:rsidRPr="00955D5E" w:rsidRDefault="009D0C2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5AD4">
        <w:rPr>
          <w:b w:val="0"/>
          <w:sz w:val="20"/>
          <w:lang w:val="en-US"/>
        </w:rPr>
        <w:t xml:space="preserve"> </w:t>
      </w:r>
      <w:r w:rsidR="00865B16" w:rsidRPr="00987B8F">
        <w:rPr>
          <w:b w:val="0"/>
          <w:sz w:val="22"/>
          <w:lang w:val="en-US"/>
        </w:rPr>
        <w:t>I</w:t>
      </w:r>
      <w:r w:rsidR="009E3B3D" w:rsidRPr="00987B8F">
        <w:rPr>
          <w:rFonts w:hint="eastAsia"/>
          <w:b w:val="0"/>
          <w:sz w:val="22"/>
          <w:lang w:val="en-US"/>
        </w:rPr>
        <w:t xml:space="preserve">n </w:t>
      </w:r>
      <w:r w:rsidR="001F0A3A" w:rsidRPr="00987B8F">
        <w:rPr>
          <w:b w:val="0"/>
          <w:sz w:val="22"/>
          <w:lang w:val="en-US"/>
        </w:rPr>
        <w:t>RAN1</w:t>
      </w:r>
      <w:r w:rsidR="0034193B" w:rsidRPr="00987B8F">
        <w:rPr>
          <w:b w:val="0"/>
          <w:sz w:val="22"/>
          <w:lang w:val="en-US"/>
        </w:rPr>
        <w:t xml:space="preserve"> </w:t>
      </w:r>
      <w:r w:rsidR="009C4FCF" w:rsidRPr="00987B8F">
        <w:rPr>
          <w:b w:val="0"/>
          <w:sz w:val="22"/>
          <w:lang w:val="en-US"/>
        </w:rPr>
        <w:t>#96</w:t>
      </w:r>
      <w:r w:rsidR="001F0A3A" w:rsidRPr="00987B8F">
        <w:rPr>
          <w:b w:val="0"/>
          <w:sz w:val="22"/>
          <w:lang w:val="en-US"/>
        </w:rPr>
        <w:t xml:space="preserve"> meeting, following agreements are captured in the chairman’s note as</w:t>
      </w:r>
      <w:r w:rsidR="001F0A3A">
        <w:rPr>
          <w:b w:val="0"/>
          <w:sz w:val="20"/>
          <w:lang w:val="en-US"/>
        </w:rPr>
        <w:t>:</w:t>
      </w:r>
    </w:p>
    <w:p w14:paraId="3B365DF3" w14:textId="77777777" w:rsidR="0041723A" w:rsidRPr="00987B8F" w:rsidRDefault="00275446" w:rsidP="009D0C2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 xml:space="preserve">In this contribution, we </w:t>
      </w:r>
      <w:r w:rsidRPr="00987B8F">
        <w:rPr>
          <w:b w:val="0"/>
          <w:sz w:val="22"/>
          <w:lang w:val="en-US"/>
        </w:rPr>
        <w:t xml:space="preserve">further </w:t>
      </w:r>
      <w:r w:rsidRPr="00987B8F">
        <w:rPr>
          <w:rFonts w:hint="eastAsia"/>
          <w:b w:val="0"/>
          <w:sz w:val="22"/>
          <w:lang w:val="en-US"/>
        </w:rPr>
        <w:t>discuss on full power transmission in</w:t>
      </w:r>
      <w:r w:rsidRPr="00987B8F">
        <w:rPr>
          <w:b w:val="0"/>
          <w:sz w:val="22"/>
          <w:lang w:val="en-US"/>
        </w:rPr>
        <w:t xml:space="preserve"> case of codebook based uplink transmission with multiple power amplifiers.  </w:t>
      </w:r>
    </w:p>
    <w:p w14:paraId="3332B1BC" w14:textId="77777777" w:rsidR="00D1036E" w:rsidRDefault="00D1036E" w:rsidP="009D0C26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5915F18A" w14:textId="77777777" w:rsidR="00DE63A0" w:rsidRDefault="00F14912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Discussions on f</w:t>
      </w:r>
      <w:r w:rsidR="00FE2826">
        <w:rPr>
          <w:lang w:val="en-US"/>
        </w:rPr>
        <w:t>ull transmitter power UL transmission</w:t>
      </w:r>
      <w:r w:rsidR="000E2B6F">
        <w:rPr>
          <w:lang w:val="en-US"/>
        </w:rPr>
        <w:t xml:space="preserve"> </w:t>
      </w:r>
    </w:p>
    <w:p w14:paraId="39981643" w14:textId="122EBC65" w:rsidR="002E6FC5" w:rsidRPr="00987B8F" w:rsidRDefault="002E5D8A" w:rsidP="004A6D8B">
      <w:pPr>
        <w:pStyle w:val="LGTdoc1"/>
        <w:snapToGrid/>
        <w:spacing w:beforeLines="0" w:before="100" w:beforeAutospacing="1" w:line="360" w:lineRule="auto"/>
        <w:ind w:firstLineChars="150" w:firstLine="353"/>
        <w:contextualSpacing/>
        <w:rPr>
          <w:sz w:val="24"/>
          <w:lang w:val="en-US"/>
        </w:rPr>
      </w:pPr>
      <w:r w:rsidRPr="00987B8F">
        <w:rPr>
          <w:sz w:val="24"/>
          <w:lang w:val="en-US"/>
        </w:rPr>
        <w:t xml:space="preserve">2.1 </w:t>
      </w:r>
      <w:r w:rsidR="00D667CD">
        <w:rPr>
          <w:sz w:val="24"/>
          <w:lang w:val="en-US"/>
        </w:rPr>
        <w:t>Feasibility of s</w:t>
      </w:r>
      <w:r w:rsidR="00D667CD" w:rsidRPr="00D563AC">
        <w:rPr>
          <w:rFonts w:hint="eastAsia"/>
          <w:sz w:val="24"/>
          <w:lang w:val="en-US"/>
        </w:rPr>
        <w:t>olutions for full power UL transmission</w:t>
      </w:r>
    </w:p>
    <w:p w14:paraId="5079AD52" w14:textId="7BF794AB" w:rsidR="004A6D8B" w:rsidRPr="00987B8F" w:rsidRDefault="00BF07B8" w:rsidP="004A6D8B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b w:val="0"/>
          <w:sz w:val="22"/>
          <w:lang w:val="en-US"/>
        </w:rPr>
        <w:t>I</w:t>
      </w:r>
      <w:r w:rsidRPr="00987B8F">
        <w:rPr>
          <w:rFonts w:hint="eastAsia"/>
          <w:b w:val="0"/>
          <w:sz w:val="22"/>
          <w:lang w:val="en-US"/>
        </w:rPr>
        <w:t xml:space="preserve">n </w:t>
      </w:r>
      <w:r w:rsidRPr="00987B8F">
        <w:rPr>
          <w:b w:val="0"/>
          <w:sz w:val="22"/>
          <w:lang w:val="en-US"/>
        </w:rPr>
        <w:t xml:space="preserve">RAN1 Ad-hoc 1901 meeting, </w:t>
      </w:r>
      <w:r w:rsidR="004967DF" w:rsidRPr="00987B8F">
        <w:rPr>
          <w:b w:val="0"/>
          <w:sz w:val="22"/>
          <w:lang w:val="en-US"/>
        </w:rPr>
        <w:t>three</w:t>
      </w:r>
      <w:r w:rsidR="00DD7D67" w:rsidRPr="00987B8F">
        <w:rPr>
          <w:b w:val="0"/>
          <w:sz w:val="22"/>
          <w:lang w:val="en-US"/>
        </w:rPr>
        <w:t xml:space="preserve"> UE capability candidates</w:t>
      </w:r>
      <w:r w:rsidRPr="00987B8F">
        <w:rPr>
          <w:b w:val="0"/>
          <w:sz w:val="22"/>
          <w:lang w:val="en-US"/>
        </w:rPr>
        <w:t xml:space="preserve"> in order to support full power uplink transmission ha</w:t>
      </w:r>
      <w:r w:rsidR="004967DF" w:rsidRPr="00987B8F">
        <w:rPr>
          <w:b w:val="0"/>
          <w:sz w:val="22"/>
          <w:lang w:val="en-US"/>
        </w:rPr>
        <w:t>ve</w:t>
      </w:r>
      <w:r w:rsidRPr="00987B8F">
        <w:rPr>
          <w:b w:val="0"/>
          <w:sz w:val="22"/>
          <w:lang w:val="en-US"/>
        </w:rPr>
        <w:t xml:space="preserve"> been </w:t>
      </w:r>
      <w:r w:rsidR="00DD7D67" w:rsidRPr="00987B8F">
        <w:rPr>
          <w:b w:val="0"/>
          <w:sz w:val="22"/>
          <w:lang w:val="en-US"/>
        </w:rPr>
        <w:t>introduced</w:t>
      </w:r>
      <w:r w:rsidRPr="00987B8F">
        <w:rPr>
          <w:b w:val="0"/>
          <w:sz w:val="22"/>
          <w:lang w:val="en-US"/>
        </w:rPr>
        <w:t xml:space="preserve"> and Figure 1 depicts </w:t>
      </w:r>
      <w:r w:rsidR="00DD7D67" w:rsidRPr="00987B8F">
        <w:rPr>
          <w:b w:val="0"/>
          <w:sz w:val="22"/>
          <w:lang w:val="en-US"/>
        </w:rPr>
        <w:t xml:space="preserve">example of </w:t>
      </w:r>
      <w:r w:rsidRPr="00987B8F">
        <w:rPr>
          <w:b w:val="0"/>
          <w:sz w:val="22"/>
          <w:lang w:val="en-US"/>
        </w:rPr>
        <w:t>UE capabili</w:t>
      </w:r>
      <w:r w:rsidR="00DD7D67" w:rsidRPr="00987B8F">
        <w:rPr>
          <w:b w:val="0"/>
          <w:sz w:val="22"/>
          <w:lang w:val="en-US"/>
        </w:rPr>
        <w:t xml:space="preserve">ty </w:t>
      </w:r>
      <w:r w:rsidRPr="00987B8F">
        <w:rPr>
          <w:b w:val="0"/>
          <w:sz w:val="22"/>
          <w:lang w:val="en-US"/>
        </w:rPr>
        <w:t>1,</w:t>
      </w:r>
      <w:r w:rsidR="004967DF" w:rsidRPr="00987B8F">
        <w:rPr>
          <w:b w:val="0"/>
          <w:sz w:val="22"/>
          <w:lang w:val="en-US"/>
        </w:rPr>
        <w:t xml:space="preserve"> </w:t>
      </w:r>
      <w:r w:rsidRPr="00987B8F">
        <w:rPr>
          <w:b w:val="0"/>
          <w:sz w:val="22"/>
          <w:lang w:val="en-US"/>
        </w:rPr>
        <w:t>2 and 3</w:t>
      </w:r>
      <w:r w:rsidR="00742118" w:rsidRPr="00987B8F">
        <w:rPr>
          <w:b w:val="0"/>
          <w:sz w:val="22"/>
          <w:lang w:val="en-US"/>
        </w:rPr>
        <w:t xml:space="preserve"> in the case of PC3</w:t>
      </w:r>
      <w:r w:rsidRPr="00987B8F">
        <w:rPr>
          <w:b w:val="0"/>
          <w:sz w:val="22"/>
          <w:lang w:val="en-US"/>
        </w:rPr>
        <w:t xml:space="preserve">. </w:t>
      </w:r>
      <w:r w:rsidR="00353FC8" w:rsidRPr="00987B8F">
        <w:rPr>
          <w:b w:val="0"/>
          <w:sz w:val="22"/>
          <w:lang w:val="en-US"/>
        </w:rPr>
        <w:t>As shown in the plot, those capability is highly depends on the UE RF structure</w:t>
      </w:r>
      <w:r w:rsidR="00C1657D" w:rsidRPr="00987B8F">
        <w:rPr>
          <w:b w:val="0"/>
          <w:sz w:val="22"/>
          <w:lang w:val="en-US"/>
        </w:rPr>
        <w:t>, thus different solution</w:t>
      </w:r>
      <w:r w:rsidR="006870A9" w:rsidRPr="00987B8F">
        <w:rPr>
          <w:b w:val="0"/>
          <w:sz w:val="22"/>
          <w:lang w:val="en-US"/>
        </w:rPr>
        <w:t>s</w:t>
      </w:r>
      <w:r w:rsidR="00C1657D" w:rsidRPr="00987B8F">
        <w:rPr>
          <w:b w:val="0"/>
          <w:sz w:val="22"/>
          <w:lang w:val="en-US"/>
        </w:rPr>
        <w:t xml:space="preserve"> for different capabilit</w:t>
      </w:r>
      <w:r w:rsidR="006870A9" w:rsidRPr="00987B8F">
        <w:rPr>
          <w:b w:val="0"/>
          <w:sz w:val="22"/>
          <w:lang w:val="en-US"/>
        </w:rPr>
        <w:t>ies</w:t>
      </w:r>
      <w:r w:rsidR="00C1657D" w:rsidRPr="00987B8F">
        <w:rPr>
          <w:b w:val="0"/>
          <w:sz w:val="22"/>
          <w:lang w:val="en-US"/>
        </w:rPr>
        <w:t xml:space="preserve"> may be</w:t>
      </w:r>
      <w:r w:rsidR="00AC3B86" w:rsidRPr="00987B8F">
        <w:rPr>
          <w:b w:val="0"/>
          <w:sz w:val="22"/>
          <w:lang w:val="en-US"/>
        </w:rPr>
        <w:t xml:space="preserve"> required</w:t>
      </w:r>
      <w:r w:rsidR="00C1657D" w:rsidRPr="00987B8F">
        <w:rPr>
          <w:b w:val="0"/>
          <w:sz w:val="22"/>
          <w:lang w:val="en-US"/>
        </w:rPr>
        <w:t>.</w:t>
      </w:r>
      <w:r w:rsidR="004A6D8B" w:rsidRPr="00987B8F">
        <w:rPr>
          <w:b w:val="0"/>
          <w:sz w:val="22"/>
          <w:lang w:val="en-US"/>
        </w:rPr>
        <w:t xml:space="preserve"> During the past RAN1 meetings, 5 options below are considered for solving this issue. </w:t>
      </w:r>
    </w:p>
    <w:p w14:paraId="66FB0013" w14:textId="77777777" w:rsidR="004A6D8B" w:rsidRPr="00A25C2C" w:rsidRDefault="004A6D8B" w:rsidP="004A6D8B">
      <w:pPr>
        <w:pStyle w:val="LGTdoc1"/>
        <w:numPr>
          <w:ilvl w:val="0"/>
          <w:numId w:val="10"/>
        </w:numPr>
        <w:snapToGrid/>
        <w:spacing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>Option 1: Refinement/adjustment of UL codebook is supported</w:t>
      </w:r>
    </w:p>
    <w:p w14:paraId="463EB836" w14:textId="77777777" w:rsidR="004A6D8B" w:rsidRPr="00A25C2C" w:rsidRDefault="004A6D8B" w:rsidP="004A6D8B">
      <w:pPr>
        <w:pStyle w:val="LGTdoc1"/>
        <w:numPr>
          <w:ilvl w:val="1"/>
          <w:numId w:val="11"/>
        </w:numPr>
        <w:snapToGrid/>
        <w:spacing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>1-1: Support a new codebookSubset for non-coherent and partial-coherent transmission capable UEs</w:t>
      </w:r>
    </w:p>
    <w:p w14:paraId="6F2DCB40" w14:textId="77777777" w:rsidR="004A6D8B" w:rsidRPr="00BC5230" w:rsidRDefault="004A6D8B" w:rsidP="004A6D8B">
      <w:pPr>
        <w:pStyle w:val="LGTdoc1"/>
        <w:numPr>
          <w:ilvl w:val="1"/>
          <w:numId w:val="11"/>
        </w:numPr>
        <w:snapToGrid/>
        <w:spacing w:beforeAutospacing="1"/>
        <w:contextualSpacing/>
        <w:rPr>
          <w:b w:val="0"/>
          <w:sz w:val="20"/>
        </w:rPr>
      </w:pPr>
      <w:r w:rsidRPr="00BC5230">
        <w:rPr>
          <w:b w:val="0"/>
          <w:sz w:val="20"/>
        </w:rPr>
        <w:t>1-2: Introduce additional scaling factor for uplink codebook</w:t>
      </w:r>
    </w:p>
    <w:p w14:paraId="4ADB5C12" w14:textId="77777777" w:rsidR="004A6D8B" w:rsidRDefault="004A6D8B" w:rsidP="004A6D8B">
      <w:pPr>
        <w:pStyle w:val="LGTdoc1"/>
        <w:numPr>
          <w:ilvl w:val="0"/>
          <w:numId w:val="10"/>
        </w:numPr>
        <w:snapToGrid/>
        <w:spacing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>Option 2: UE transparently apply a small cyclic or linear delay</w:t>
      </w:r>
    </w:p>
    <w:p w14:paraId="5C680843" w14:textId="77777777" w:rsidR="004A6D8B" w:rsidRPr="00A25C2C" w:rsidRDefault="004A6D8B" w:rsidP="004A6D8B">
      <w:pPr>
        <w:pStyle w:val="LGTdoc1"/>
        <w:numPr>
          <w:ilvl w:val="0"/>
          <w:numId w:val="10"/>
        </w:numPr>
        <w:snapToGrid/>
        <w:spacing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>Option 3: Power control mechanism to be modified to support UL full power transmission without precluding the use of full rated PA(s)</w:t>
      </w:r>
    </w:p>
    <w:p w14:paraId="1E11D77F" w14:textId="77777777" w:rsidR="004A6D8B" w:rsidRPr="00A25C2C" w:rsidRDefault="004A6D8B" w:rsidP="004A6D8B">
      <w:pPr>
        <w:pStyle w:val="LGTdoc1"/>
        <w:numPr>
          <w:ilvl w:val="1"/>
          <w:numId w:val="10"/>
        </w:numPr>
        <w:snapToGrid/>
        <w:spacing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>Note: Full rated PA refers to a PA having power not lower than that of the power class</w:t>
      </w:r>
    </w:p>
    <w:p w14:paraId="2D84DEDB" w14:textId="77777777" w:rsidR="004A6D8B" w:rsidRDefault="004A6D8B" w:rsidP="004A6D8B">
      <w:pPr>
        <w:pStyle w:val="LGTdoc1"/>
        <w:numPr>
          <w:ilvl w:val="0"/>
          <w:numId w:val="10"/>
        </w:numPr>
        <w:snapToGrid/>
        <w:spacing w:beforeLines="0" w:before="100" w:beforeAutospacing="1"/>
        <w:contextualSpacing/>
        <w:rPr>
          <w:b w:val="0"/>
          <w:sz w:val="20"/>
        </w:rPr>
      </w:pPr>
      <w:r w:rsidRPr="00A25C2C">
        <w:rPr>
          <w:b w:val="0"/>
          <w:sz w:val="20"/>
        </w:rPr>
        <w:t xml:space="preserve">Option 4: </w:t>
      </w:r>
      <w:r w:rsidRPr="008A2C71">
        <w:rPr>
          <w:b w:val="0"/>
          <w:sz w:val="20"/>
        </w:rPr>
        <w:t>Up to UE implementation with UE capability signalling of full power transmission in UL</w:t>
      </w:r>
    </w:p>
    <w:p w14:paraId="5D66487B" w14:textId="77777777" w:rsidR="004A6D8B" w:rsidRPr="00275446" w:rsidRDefault="004A6D8B" w:rsidP="004A6D8B">
      <w:pPr>
        <w:pStyle w:val="LGTdoc1"/>
        <w:numPr>
          <w:ilvl w:val="0"/>
          <w:numId w:val="10"/>
        </w:numPr>
        <w:tabs>
          <w:tab w:val="left" w:pos="1540"/>
        </w:tabs>
        <w:snapToGrid/>
        <w:spacing w:beforeLines="0" w:before="100" w:beforeAutospacing="1" w:after="0" w:afterAutospacing="0"/>
        <w:ind w:hanging="357"/>
        <w:contextualSpacing/>
        <w:jc w:val="left"/>
        <w:rPr>
          <w:b w:val="0"/>
          <w:szCs w:val="28"/>
          <w:lang w:eastAsia="en-US"/>
        </w:rPr>
      </w:pPr>
      <w:r w:rsidRPr="00865B16">
        <w:rPr>
          <w:b w:val="0"/>
          <w:sz w:val="20"/>
        </w:rPr>
        <w:lastRenderedPageBreak/>
        <w:t xml:space="preserve">Option 5: </w:t>
      </w:r>
      <w:r w:rsidRPr="00275446">
        <w:rPr>
          <w:rFonts w:eastAsia="맑은 고딕"/>
          <w:b w:val="0"/>
          <w:sz w:val="20"/>
          <w:lang w:eastAsia="zh-CN"/>
        </w:rPr>
        <w:t>For the precoders with 0 entries, t</w:t>
      </w:r>
      <w:r w:rsidRPr="00275446">
        <w:rPr>
          <w:b w:val="0"/>
          <w:sz w:val="20"/>
          <w:lang w:eastAsia="en-US"/>
        </w:rPr>
        <w:t xml:space="preserve">he linear value </w:t>
      </w:r>
      <w:r w:rsidRPr="00275446">
        <w:rPr>
          <w:b w:val="0"/>
          <w:position w:val="-14"/>
          <w:sz w:val="20"/>
          <w:lang w:eastAsia="en-US"/>
        </w:rPr>
        <w:object w:dxaOrig="1980" w:dyaOrig="420" w14:anchorId="41B37FB7">
          <v:shape id="_x0000_i1025" type="#_x0000_t75" style="width:99.5pt;height:21.5pt" o:ole="">
            <v:imagedata r:id="rId8" o:title=""/>
          </v:shape>
          <o:OLEObject Type="Embed" ProgID="Equation.DSMT4" ShapeID="_x0000_i1025" DrawAspect="Content" ObjectID="_1615282681" r:id="rId9"/>
        </w:object>
      </w:r>
      <w:r w:rsidRPr="00275446">
        <w:rPr>
          <w:b w:val="0"/>
          <w:sz w:val="20"/>
          <w:lang w:eastAsia="en-US"/>
        </w:rPr>
        <w:fldChar w:fldCharType="begin"/>
      </w:r>
      <w:r w:rsidRPr="00275446">
        <w:rPr>
          <w:b w:val="0"/>
          <w:sz w:val="20"/>
          <w:lang w:eastAsia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 w:val="0"/>
                <w:sz w:val="2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sz w:val="20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b w:val="0"/>
                <w:sz w:val="20"/>
              </w:rPr>
              <m:t>PUSCH</m:t>
            </m:r>
            <m:r>
              <m:rPr>
                <m:sty m:val="b"/>
              </m:rPr>
              <w:rPr>
                <w:rFonts w:ascii="Cambria Math" w:hAnsi="Cambria Math"/>
                <w:sz w:val="20"/>
              </w:rPr>
              <m:t>,b,f,c</m:t>
            </m:r>
          </m:sub>
        </m:sSub>
        <m:r>
          <m:rPr>
            <m:sty m:val="b"/>
          </m:rPr>
          <w:rPr>
            <w:rFonts w:ascii="Cambria Math" w:hAnsi="Cambria Math"/>
            <w:sz w:val="20"/>
          </w:rPr>
          <m:t>(i,j,</m:t>
        </m:r>
        <m:sSub>
          <m:sSubPr>
            <m:ctrlPr>
              <w:rPr>
                <w:rFonts w:ascii="Cambria Math" w:hAnsi="Cambria Math"/>
                <w:b w:val="0"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q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d</m:t>
            </m:r>
          </m:sub>
        </m:sSub>
        <m:r>
          <m:rPr>
            <m:sty m:val="b"/>
          </m:rPr>
          <w:rPr>
            <w:rFonts w:ascii="Cambria Math" w:hAnsi="Cambria Math"/>
            <w:sz w:val="20"/>
          </w:rPr>
          <m:t>,l)</m:t>
        </m:r>
      </m:oMath>
      <w:r w:rsidRPr="00275446">
        <w:rPr>
          <w:b w:val="0"/>
          <w:sz w:val="20"/>
          <w:lang w:eastAsia="en-US"/>
        </w:rPr>
        <w:instrText xml:space="preserve"> </w:instrText>
      </w:r>
      <w:r w:rsidRPr="00275446">
        <w:rPr>
          <w:b w:val="0"/>
          <w:sz w:val="20"/>
          <w:lang w:eastAsia="en-US"/>
        </w:rPr>
        <w:fldChar w:fldCharType="end"/>
      </w:r>
      <w:r w:rsidRPr="00275446">
        <w:rPr>
          <w:b w:val="0"/>
          <w:sz w:val="20"/>
          <w:lang w:eastAsia="en-US"/>
        </w:rPr>
        <w:t xml:space="preserve"> of a PUSCH transmission power is scaled by a ratio </w:t>
      </w:r>
      <w:r w:rsidRPr="00275446">
        <w:rPr>
          <w:b w:val="0"/>
          <w:sz w:val="20"/>
          <w:lang w:eastAsia="en-US"/>
        </w:rPr>
        <w:sym w:font="Symbol" w:char="F061"/>
      </w:r>
      <w:r w:rsidRPr="00275446">
        <w:rPr>
          <w:b w:val="0"/>
          <w:sz w:val="20"/>
          <w:vertAlign w:val="subscript"/>
          <w:lang w:eastAsia="en-US"/>
        </w:rPr>
        <w:t>Rel-16</w:t>
      </w:r>
      <w:r w:rsidRPr="00275446">
        <w:rPr>
          <w:b w:val="0"/>
          <w:sz w:val="20"/>
          <w:lang w:eastAsia="en-US"/>
        </w:rPr>
        <w:t xml:space="preserve">.  The value of </w:t>
      </w:r>
      <w:r w:rsidRPr="00275446">
        <w:rPr>
          <w:b w:val="0"/>
          <w:sz w:val="20"/>
          <w:lang w:eastAsia="en-US"/>
        </w:rPr>
        <w:sym w:font="Symbol" w:char="F061"/>
      </w:r>
      <w:r w:rsidRPr="00275446">
        <w:rPr>
          <w:b w:val="0"/>
          <w:sz w:val="20"/>
          <w:vertAlign w:val="subscript"/>
          <w:lang w:eastAsia="en-US"/>
        </w:rPr>
        <w:t>Rel-16</w:t>
      </w:r>
      <w:r w:rsidRPr="00275446">
        <w:rPr>
          <w:b w:val="0"/>
          <w:sz w:val="20"/>
          <w:lang w:eastAsia="en-US"/>
        </w:rPr>
        <w:t xml:space="preserve"> is selected up to UE implementation within the range of [</w:t>
      </w:r>
      <w:r w:rsidRPr="00275446">
        <w:rPr>
          <w:b w:val="0"/>
          <w:sz w:val="20"/>
          <w:lang w:eastAsia="en-US"/>
        </w:rPr>
        <w:sym w:font="Symbol" w:char="F061"/>
      </w:r>
      <w:r w:rsidRPr="00275446">
        <w:rPr>
          <w:b w:val="0"/>
          <w:sz w:val="20"/>
          <w:vertAlign w:val="subscript"/>
          <w:lang w:eastAsia="en-US"/>
        </w:rPr>
        <w:t>Rel-15</w:t>
      </w:r>
      <w:r w:rsidRPr="00275446">
        <w:rPr>
          <w:b w:val="0"/>
          <w:sz w:val="20"/>
          <w:lang w:eastAsia="en-US"/>
        </w:rPr>
        <w:t xml:space="preserve">, 1],  where </w:t>
      </w:r>
      <w:r w:rsidRPr="00275446">
        <w:rPr>
          <w:b w:val="0"/>
          <w:sz w:val="20"/>
          <w:lang w:eastAsia="en-US"/>
        </w:rPr>
        <w:sym w:font="Symbol" w:char="F061"/>
      </w:r>
      <w:r w:rsidRPr="00275446">
        <w:rPr>
          <w:b w:val="0"/>
          <w:sz w:val="20"/>
          <w:vertAlign w:val="subscript"/>
          <w:lang w:eastAsia="en-US"/>
        </w:rPr>
        <w:t>Rel-15</w:t>
      </w:r>
      <w:r w:rsidRPr="00275446">
        <w:rPr>
          <w:b w:val="0"/>
          <w:sz w:val="20"/>
          <w:lang w:eastAsia="en-US"/>
        </w:rPr>
        <w:t xml:space="preserve"> is the ratio of the number of antenna ports with a non-zero PUSCH transmission power to the number of configured antenna ports for the PUSCH transmission scheme as defined in NR Rel-15 specification.</w:t>
      </w:r>
      <w:r w:rsidRPr="00275446">
        <w:rPr>
          <w:b w:val="0"/>
          <w:szCs w:val="28"/>
          <w:lang w:eastAsia="en-US"/>
        </w:rPr>
        <w:t xml:space="preserve">  </w:t>
      </w:r>
    </w:p>
    <w:p w14:paraId="37F7771E" w14:textId="77777777" w:rsidR="004A6D8B" w:rsidRPr="00275446" w:rsidRDefault="004A6D8B" w:rsidP="004A6D8B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ind w:hanging="357"/>
        <w:contextualSpacing/>
        <w:jc w:val="left"/>
        <w:rPr>
          <w:rFonts w:ascii="Times New Roman" w:eastAsia="맑은 고딕" w:hAnsi="Times New Roman" w:cs="Times New Roman"/>
          <w:kern w:val="0"/>
          <w:szCs w:val="28"/>
          <w:lang w:val="en-GB" w:eastAsia="zh-CN"/>
        </w:rPr>
      </w:pP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t xml:space="preserve">UE is required to maintain consistent </w:t>
      </w: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sym w:font="Symbol" w:char="F061"/>
      </w:r>
      <w:r w:rsidRPr="00275446">
        <w:rPr>
          <w:rFonts w:ascii="Times New Roman" w:eastAsia="바탕" w:hAnsi="Times New Roman" w:cs="Times New Roman"/>
          <w:kern w:val="0"/>
          <w:szCs w:val="28"/>
          <w:vertAlign w:val="subscript"/>
          <w:lang w:val="en-GB" w:eastAsia="x-none"/>
        </w:rPr>
        <w:t>Rel-16</w:t>
      </w: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fldChar w:fldCharType="begin"/>
      </w: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instrText xml:space="preserve"> QUOTE </w:instrTex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Rel-16</m:t>
            </m:r>
          </m:sub>
        </m:sSub>
      </m:oMath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instrText xml:space="preserve"> </w:instrText>
      </w: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fldChar w:fldCharType="end"/>
      </w:r>
      <w:r w:rsidRPr="00275446">
        <w:rPr>
          <w:rFonts w:ascii="Times New Roman" w:eastAsia="바탕" w:hAnsi="Times New Roman" w:cs="Times New Roman"/>
          <w:kern w:val="0"/>
          <w:szCs w:val="28"/>
          <w:lang w:val="en-GB" w:eastAsia="x-none"/>
        </w:rPr>
        <w:t xml:space="preserve"> value on different occasions of PUSCH transmissions with the same precoder for PUSCH</w:t>
      </w:r>
    </w:p>
    <w:p w14:paraId="0DA66B83" w14:textId="5123794E" w:rsidR="00DA0C25" w:rsidRDefault="004967DF" w:rsidP="00987B8F">
      <w:pPr>
        <w:pStyle w:val="LGTdoc1"/>
        <w:snapToGrid/>
        <w:spacing w:beforeLines="0" w:before="100" w:beforeAutospacing="1" w:line="360" w:lineRule="auto"/>
        <w:ind w:firstLineChars="150" w:firstLine="412"/>
        <w:contextualSpacing/>
        <w:jc w:val="center"/>
        <w:rPr>
          <w:b w:val="0"/>
          <w:sz w:val="20"/>
          <w:lang w:val="en-US"/>
        </w:rPr>
      </w:pPr>
      <w:r>
        <w:object w:dxaOrig="14095" w:dyaOrig="5122" w14:anchorId="439BBCF5">
          <v:shape id="_x0000_i1026" type="#_x0000_t75" style="width:453pt;height:164.5pt" o:ole="">
            <v:imagedata r:id="rId10" o:title=""/>
          </v:shape>
          <o:OLEObject Type="Embed" ProgID="Visio.Drawing.11" ShapeID="_x0000_i1026" DrawAspect="Content" ObjectID="_1615282682" r:id="rId11"/>
        </w:object>
      </w:r>
      <w:r w:rsidR="00BF07B8" w:rsidRPr="00BF07B8">
        <w:rPr>
          <w:b w:val="0"/>
          <w:sz w:val="20"/>
          <w:lang w:val="en-US"/>
        </w:rPr>
        <w:t xml:space="preserve"> </w:t>
      </w:r>
      <w:r w:rsidR="00BF07B8">
        <w:rPr>
          <w:b w:val="0"/>
          <w:sz w:val="20"/>
          <w:lang w:val="en-US"/>
        </w:rPr>
        <w:t>Figure 1. Example of</w:t>
      </w:r>
      <w:r>
        <w:rPr>
          <w:b w:val="0"/>
          <w:sz w:val="20"/>
          <w:lang w:val="en-US"/>
        </w:rPr>
        <w:t xml:space="preserve"> three</w:t>
      </w:r>
      <w:r w:rsidR="00BF07B8">
        <w:rPr>
          <w:b w:val="0"/>
          <w:sz w:val="20"/>
          <w:lang w:val="en-US"/>
        </w:rPr>
        <w:t xml:space="preserve"> UE capabilit</w:t>
      </w:r>
      <w:r>
        <w:rPr>
          <w:b w:val="0"/>
          <w:sz w:val="20"/>
          <w:lang w:val="en-US"/>
        </w:rPr>
        <w:t>ies</w:t>
      </w:r>
      <w:r w:rsidR="00BF07B8">
        <w:rPr>
          <w:b w:val="0"/>
          <w:sz w:val="20"/>
          <w:lang w:val="en-US"/>
        </w:rPr>
        <w:t xml:space="preserve"> for 2 port case</w:t>
      </w:r>
    </w:p>
    <w:p w14:paraId="44CBA5A5" w14:textId="77777777" w:rsidR="00A25C2C" w:rsidRPr="00865B16" w:rsidRDefault="00A25C2C" w:rsidP="00326037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</w:rPr>
      </w:pPr>
    </w:p>
    <w:p w14:paraId="7B67E1AB" w14:textId="7308EF71" w:rsidR="00F81399" w:rsidRDefault="00044E04" w:rsidP="001B0ED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987B8F">
        <w:rPr>
          <w:b w:val="0"/>
          <w:sz w:val="22"/>
          <w:lang w:val="en-US"/>
        </w:rPr>
        <w:t>In o</w:t>
      </w:r>
      <w:r w:rsidRPr="00987B8F">
        <w:rPr>
          <w:rFonts w:hint="eastAsia"/>
          <w:b w:val="0"/>
          <w:sz w:val="22"/>
          <w:lang w:val="en-US"/>
        </w:rPr>
        <w:t>ption 1</w:t>
      </w:r>
      <w:r w:rsidRPr="00987B8F">
        <w:rPr>
          <w:b w:val="0"/>
          <w:sz w:val="22"/>
          <w:lang w:val="en-US"/>
        </w:rPr>
        <w:t xml:space="preserve">, two approaches </w:t>
      </w:r>
      <w:r w:rsidR="00E0548C" w:rsidRPr="00987B8F">
        <w:rPr>
          <w:b w:val="0"/>
          <w:sz w:val="22"/>
          <w:lang w:val="en-US"/>
        </w:rPr>
        <w:t>are</w:t>
      </w:r>
      <w:r w:rsidRPr="00987B8F">
        <w:rPr>
          <w:b w:val="0"/>
          <w:sz w:val="22"/>
          <w:lang w:val="en-US"/>
        </w:rPr>
        <w:t xml:space="preserve"> consider</w:t>
      </w:r>
      <w:r w:rsidR="00946FE9" w:rsidRPr="00987B8F">
        <w:rPr>
          <w:rFonts w:hint="eastAsia"/>
          <w:b w:val="0"/>
          <w:sz w:val="22"/>
          <w:lang w:val="en-US"/>
        </w:rPr>
        <w:t>e</w:t>
      </w:r>
      <w:r w:rsidR="00946FE9" w:rsidRPr="00987B8F">
        <w:rPr>
          <w:b w:val="0"/>
          <w:sz w:val="22"/>
          <w:lang w:val="en-US"/>
        </w:rPr>
        <w:t>d</w:t>
      </w:r>
      <w:r w:rsidRPr="00987B8F">
        <w:rPr>
          <w:b w:val="0"/>
          <w:sz w:val="22"/>
          <w:lang w:val="en-US"/>
        </w:rPr>
        <w:t xml:space="preserve">. </w:t>
      </w:r>
      <w:r w:rsidR="00722946" w:rsidRPr="00987B8F">
        <w:rPr>
          <w:b w:val="0"/>
          <w:sz w:val="22"/>
          <w:lang w:val="en-US"/>
        </w:rPr>
        <w:t>Option 1-1</w:t>
      </w:r>
      <w:r w:rsidRPr="00987B8F">
        <w:rPr>
          <w:b w:val="0"/>
          <w:sz w:val="22"/>
          <w:lang w:val="en-US"/>
        </w:rPr>
        <w:t xml:space="preserve"> is supporting new codebook subset restriction</w:t>
      </w:r>
      <w:r w:rsidR="00946FE9" w:rsidRPr="00987B8F">
        <w:rPr>
          <w:b w:val="0"/>
          <w:sz w:val="22"/>
          <w:lang w:val="en-US"/>
        </w:rPr>
        <w:t xml:space="preserve"> that allows UEs with </w:t>
      </w:r>
      <w:r w:rsidRPr="00987B8F">
        <w:rPr>
          <w:b w:val="0"/>
          <w:sz w:val="22"/>
          <w:lang w:val="en-US"/>
        </w:rPr>
        <w:t xml:space="preserve">the non-coherent </w:t>
      </w:r>
      <w:r w:rsidR="00946FE9" w:rsidRPr="00987B8F">
        <w:rPr>
          <w:b w:val="0"/>
          <w:sz w:val="22"/>
          <w:lang w:val="en-US"/>
        </w:rPr>
        <w:t xml:space="preserve">or </w:t>
      </w:r>
      <w:r w:rsidRPr="00987B8F">
        <w:rPr>
          <w:b w:val="0"/>
          <w:sz w:val="22"/>
          <w:lang w:val="en-US"/>
        </w:rPr>
        <w:t xml:space="preserve">partial coherent </w:t>
      </w:r>
      <w:r w:rsidR="00946FE9" w:rsidRPr="00987B8F">
        <w:rPr>
          <w:b w:val="0"/>
          <w:sz w:val="22"/>
          <w:lang w:val="en-US"/>
        </w:rPr>
        <w:t>transmission capability to use the full</w:t>
      </w:r>
      <w:r w:rsidR="00F81399" w:rsidRPr="00987B8F">
        <w:rPr>
          <w:b w:val="0"/>
          <w:sz w:val="22"/>
          <w:lang w:val="en-US"/>
        </w:rPr>
        <w:t>y</w:t>
      </w:r>
      <w:r w:rsidR="00946FE9" w:rsidRPr="00987B8F">
        <w:rPr>
          <w:b w:val="0"/>
          <w:sz w:val="22"/>
          <w:lang w:val="en-US"/>
        </w:rPr>
        <w:t xml:space="preserve"> coherent TPMIs.</w:t>
      </w:r>
      <w:r w:rsidR="001041A5" w:rsidRPr="00987B8F">
        <w:rPr>
          <w:b w:val="0"/>
          <w:sz w:val="22"/>
          <w:lang w:val="en-US"/>
        </w:rPr>
        <w:t xml:space="preserve"> </w:t>
      </w:r>
      <w:r w:rsidR="00946FE9" w:rsidRPr="00987B8F">
        <w:rPr>
          <w:b w:val="0"/>
          <w:sz w:val="22"/>
          <w:lang w:val="en-US"/>
        </w:rPr>
        <w:t xml:space="preserve">In this way, </w:t>
      </w:r>
      <w:r w:rsidR="003E4034" w:rsidRPr="00987B8F">
        <w:rPr>
          <w:b w:val="0"/>
          <w:sz w:val="22"/>
          <w:lang w:val="en-US"/>
        </w:rPr>
        <w:t xml:space="preserve">full transmit power </w:t>
      </w:r>
      <w:r w:rsidR="00C668F3" w:rsidRPr="00987B8F">
        <w:rPr>
          <w:b w:val="0"/>
          <w:sz w:val="22"/>
          <w:lang w:val="en-US"/>
        </w:rPr>
        <w:t>can be achieved, but</w:t>
      </w:r>
      <w:r w:rsidR="004D2D8F" w:rsidRPr="00987B8F">
        <w:rPr>
          <w:b w:val="0"/>
          <w:sz w:val="22"/>
          <w:lang w:val="en-US"/>
        </w:rPr>
        <w:t xml:space="preserve"> some sub-band(s) may suffer from </w:t>
      </w:r>
      <w:r w:rsidR="001041A5" w:rsidRPr="00987B8F">
        <w:rPr>
          <w:b w:val="0"/>
          <w:sz w:val="22"/>
          <w:lang w:val="en-US"/>
        </w:rPr>
        <w:t>degraded beamforming gain due to relative phase difference (RPD) among non-coherent ports</w:t>
      </w:r>
      <w:r w:rsidR="004D2D8F" w:rsidRPr="00987B8F">
        <w:rPr>
          <w:b w:val="0"/>
          <w:sz w:val="22"/>
          <w:lang w:val="en-US"/>
        </w:rPr>
        <w:t xml:space="preserve">. </w:t>
      </w:r>
      <w:r w:rsidR="00F81399" w:rsidRPr="00987B8F">
        <w:rPr>
          <w:b w:val="0"/>
          <w:sz w:val="22"/>
          <w:lang w:val="en-US"/>
        </w:rPr>
        <w:t xml:space="preserve">This solution </w:t>
      </w:r>
      <w:r w:rsidR="008E7B5B" w:rsidRPr="00987B8F">
        <w:rPr>
          <w:b w:val="0"/>
          <w:sz w:val="22"/>
          <w:lang w:val="en-US"/>
        </w:rPr>
        <w:t>may</w:t>
      </w:r>
      <w:r w:rsidR="00570FF9" w:rsidRPr="00987B8F">
        <w:rPr>
          <w:b w:val="0"/>
          <w:sz w:val="22"/>
          <w:lang w:val="en-US"/>
        </w:rPr>
        <w:t xml:space="preserve"> be applied to</w:t>
      </w:r>
      <w:r w:rsidR="00F81399" w:rsidRPr="00987B8F">
        <w:rPr>
          <w:b w:val="0"/>
          <w:sz w:val="22"/>
          <w:lang w:val="en-US"/>
        </w:rPr>
        <w:t xml:space="preserve"> all UE capabilit</w:t>
      </w:r>
      <w:r w:rsidR="00570FF9" w:rsidRPr="00987B8F">
        <w:rPr>
          <w:b w:val="0"/>
          <w:sz w:val="22"/>
          <w:lang w:val="en-US"/>
        </w:rPr>
        <w:t>ies,</w:t>
      </w:r>
      <w:r w:rsidR="00F81399" w:rsidRPr="00987B8F">
        <w:rPr>
          <w:b w:val="0"/>
          <w:sz w:val="22"/>
          <w:lang w:val="en-US"/>
        </w:rPr>
        <w:t xml:space="preserve"> </w:t>
      </w:r>
      <w:r w:rsidR="00570FF9" w:rsidRPr="00987B8F">
        <w:rPr>
          <w:b w:val="0"/>
          <w:sz w:val="22"/>
          <w:lang w:val="en-US"/>
        </w:rPr>
        <w:t>but further study is needed for resolving performance degradation problem.</w:t>
      </w:r>
    </w:p>
    <w:p w14:paraId="6E28C6D1" w14:textId="77777777" w:rsidR="007D2EF2" w:rsidRDefault="007D2EF2" w:rsidP="001B0ED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7685507E" w14:textId="77777777" w:rsidR="007D2EF2" w:rsidRPr="00175AA6" w:rsidRDefault="007D2EF2" w:rsidP="007D2EF2">
      <w:pPr>
        <w:pStyle w:val="LGTdoc1"/>
        <w:snapToGrid/>
        <w:spacing w:beforeLines="0" w:before="100" w:beforeAutospacing="1" w:line="240" w:lineRule="atLeast"/>
        <w:ind w:firstLineChars="100" w:firstLine="200"/>
        <w:contextualSpacing/>
        <w:jc w:val="center"/>
        <w:rPr>
          <w:b w:val="0"/>
          <w:sz w:val="20"/>
        </w:rPr>
      </w:pPr>
      <w:r>
        <w:rPr>
          <w:rFonts w:hint="eastAsia"/>
          <w:b w:val="0"/>
          <w:sz w:val="20"/>
          <w:lang w:val="en-US"/>
        </w:rPr>
        <w:t xml:space="preserve">Table I. </w:t>
      </w:r>
      <w:r w:rsidRPr="00175AA6">
        <w:rPr>
          <w:b w:val="0"/>
          <w:sz w:val="20"/>
          <w:lang w:val="en-US"/>
        </w:rPr>
        <w:t xml:space="preserve">Precoding matrix </w:t>
      </w:r>
      <w:r w:rsidRPr="00175AA6">
        <w:rPr>
          <w:sz w:val="20"/>
          <w:lang w:val="en-US"/>
        </w:rPr>
        <w:t>W</w:t>
      </w:r>
      <w:r w:rsidRPr="00175AA6">
        <w:rPr>
          <w:b w:val="0"/>
          <w:sz w:val="20"/>
          <w:lang w:val="en-US"/>
        </w:rPr>
        <w:t xml:space="preserve"> for single-layer transmission using two antenna ports.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975"/>
        <w:gridCol w:w="976"/>
        <w:gridCol w:w="976"/>
        <w:gridCol w:w="975"/>
        <w:gridCol w:w="976"/>
        <w:gridCol w:w="976"/>
      </w:tblGrid>
      <w:tr w:rsidR="007D2EF2" w:rsidRPr="005B61B2" w14:paraId="39FD6A3F" w14:textId="77777777" w:rsidTr="00FB422C">
        <w:trPr>
          <w:jc w:val="center"/>
        </w:trPr>
        <w:tc>
          <w:tcPr>
            <w:tcW w:w="1229" w:type="dxa"/>
            <w:shd w:val="clear" w:color="auto" w:fill="auto"/>
          </w:tcPr>
          <w:p w14:paraId="736DE443" w14:textId="77777777" w:rsidR="007D2EF2" w:rsidRPr="005B61B2" w:rsidRDefault="007D2EF2" w:rsidP="00FB422C">
            <w:pPr>
              <w:pStyle w:val="TAH"/>
              <w:spacing w:line="240" w:lineRule="atLeast"/>
              <w:contextualSpacing/>
              <w:rPr>
                <w:rFonts w:eastAsia="바탕"/>
              </w:rPr>
            </w:pPr>
            <w:r w:rsidRPr="005B61B2">
              <w:rPr>
                <w:rFonts w:eastAsia="바탕"/>
              </w:rPr>
              <w:t>TPMI index</w:t>
            </w:r>
          </w:p>
        </w:tc>
        <w:tc>
          <w:tcPr>
            <w:tcW w:w="5854" w:type="dxa"/>
            <w:gridSpan w:val="6"/>
            <w:shd w:val="clear" w:color="auto" w:fill="auto"/>
            <w:vAlign w:val="center"/>
          </w:tcPr>
          <w:p w14:paraId="59DACD28" w14:textId="77777777" w:rsidR="007D2EF2" w:rsidRPr="005B61B2" w:rsidRDefault="007D2EF2" w:rsidP="00FB422C">
            <w:pPr>
              <w:pStyle w:val="TAH"/>
              <w:spacing w:line="240" w:lineRule="atLeast"/>
              <w:contextualSpacing/>
              <w:rPr>
                <w:rFonts w:eastAsia="바탕"/>
              </w:rPr>
            </w:pPr>
            <w:r w:rsidRPr="005B61B2">
              <w:rPr>
                <w:rFonts w:eastAsia="바탕"/>
              </w:rPr>
              <w:object w:dxaOrig="260" w:dyaOrig="240" w14:anchorId="6653B3CC">
                <v:shape id="_x0000_i1027" type="#_x0000_t75" style="width:14.5pt;height:12pt" o:ole="">
                  <v:imagedata r:id="rId12" o:title=""/>
                </v:shape>
                <o:OLEObject Type="Embed" ProgID="Equation.3" ShapeID="_x0000_i1027" DrawAspect="Content" ObjectID="_1615282683" r:id="rId13"/>
              </w:object>
            </w:r>
            <w:r w:rsidRPr="005B61B2">
              <w:rPr>
                <w:rFonts w:eastAsia="바탕"/>
              </w:rPr>
              <w:br/>
              <w:t>(ordered from left to right in increasing order of TPMI index)</w:t>
            </w:r>
          </w:p>
        </w:tc>
      </w:tr>
      <w:tr w:rsidR="007D2EF2" w:rsidRPr="005B61B2" w14:paraId="06841E0E" w14:textId="77777777" w:rsidTr="00FB422C">
        <w:trPr>
          <w:jc w:val="center"/>
        </w:trPr>
        <w:tc>
          <w:tcPr>
            <w:tcW w:w="1229" w:type="dxa"/>
            <w:shd w:val="clear" w:color="auto" w:fill="auto"/>
          </w:tcPr>
          <w:p w14:paraId="49E1D03F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5B61B2">
              <w:rPr>
                <w:rFonts w:eastAsia="바탕"/>
              </w:rPr>
              <w:t>0 – 5</w:t>
            </w:r>
          </w:p>
        </w:tc>
        <w:tc>
          <w:tcPr>
            <w:tcW w:w="975" w:type="dxa"/>
            <w:shd w:val="clear" w:color="auto" w:fill="auto"/>
          </w:tcPr>
          <w:p w14:paraId="76FEE729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175AA6">
              <w:rPr>
                <w:rFonts w:eastAsia="바탕"/>
                <w:position w:val="-30"/>
              </w:rPr>
              <w:object w:dxaOrig="800" w:dyaOrig="720" w14:anchorId="34259138">
                <v:shape id="_x0000_i1028" type="#_x0000_t75" style="width:33pt;height:29pt" o:ole="">
                  <v:imagedata r:id="rId14" o:title=""/>
                </v:shape>
                <o:OLEObject Type="Embed" ProgID="Equation.3" ShapeID="_x0000_i1028" DrawAspect="Content" ObjectID="_1615282684" r:id="rId15"/>
              </w:object>
            </w:r>
          </w:p>
        </w:tc>
        <w:tc>
          <w:tcPr>
            <w:tcW w:w="976" w:type="dxa"/>
            <w:shd w:val="clear" w:color="auto" w:fill="auto"/>
          </w:tcPr>
          <w:p w14:paraId="2BF70DC7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175AA6">
              <w:rPr>
                <w:rFonts w:eastAsia="바탕"/>
                <w:position w:val="-30"/>
              </w:rPr>
              <w:object w:dxaOrig="800" w:dyaOrig="720" w14:anchorId="2040F1B4">
                <v:shape id="_x0000_i1029" type="#_x0000_t75" style="width:33pt;height:31pt" o:ole="">
                  <v:imagedata r:id="rId16" o:title=""/>
                </v:shape>
                <o:OLEObject Type="Embed" ProgID="Equation.3" ShapeID="_x0000_i1029" DrawAspect="Content" ObjectID="_1615282685" r:id="rId17"/>
              </w:object>
            </w:r>
          </w:p>
        </w:tc>
        <w:tc>
          <w:tcPr>
            <w:tcW w:w="976" w:type="dxa"/>
            <w:shd w:val="clear" w:color="auto" w:fill="auto"/>
          </w:tcPr>
          <w:p w14:paraId="3FD844C3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030B8C"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00C031FF" wp14:editId="684AA80D">
                  <wp:extent cx="409575" cy="3905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" w:type="dxa"/>
            <w:shd w:val="clear" w:color="auto" w:fill="auto"/>
          </w:tcPr>
          <w:p w14:paraId="66D2D2E4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030B8C"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131DDF35" wp14:editId="7C08A315">
                  <wp:extent cx="495300" cy="3905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  <w:shd w:val="clear" w:color="auto" w:fill="auto"/>
          </w:tcPr>
          <w:p w14:paraId="40F15DCE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030B8C"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72654A9F" wp14:editId="32ECA87A">
                  <wp:extent cx="428625" cy="3905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6" w:type="dxa"/>
            <w:shd w:val="clear" w:color="auto" w:fill="auto"/>
          </w:tcPr>
          <w:p w14:paraId="06A86DAC" w14:textId="77777777" w:rsidR="007D2EF2" w:rsidRPr="005B61B2" w:rsidRDefault="007D2EF2" w:rsidP="00FB422C">
            <w:pPr>
              <w:pStyle w:val="TAC"/>
              <w:spacing w:line="240" w:lineRule="atLeast"/>
              <w:contextualSpacing/>
              <w:rPr>
                <w:rFonts w:eastAsia="바탕"/>
              </w:rPr>
            </w:pPr>
            <w:r w:rsidRPr="00030B8C">
              <w:rPr>
                <w:rFonts w:eastAsia="바탕"/>
                <w:noProof/>
                <w:lang w:val="en-US" w:eastAsia="ko-KR"/>
              </w:rPr>
              <w:drawing>
                <wp:inline distT="0" distB="0" distL="0" distR="0" wp14:anchorId="3C082DC2" wp14:editId="20D0325C">
                  <wp:extent cx="523875" cy="3905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81A5E7" w14:textId="77777777" w:rsidR="007D2EF2" w:rsidRPr="00882A8E" w:rsidRDefault="007D2EF2" w:rsidP="007D2EF2">
      <w:pPr>
        <w:pStyle w:val="LGTdoc1"/>
        <w:snapToGrid/>
        <w:spacing w:beforeLines="0" w:before="100" w:beforeAutospacing="1" w:line="240" w:lineRule="atLeast"/>
        <w:ind w:firstLineChars="100" w:firstLine="200"/>
        <w:contextualSpacing/>
        <w:jc w:val="center"/>
        <w:rPr>
          <w:b w:val="0"/>
          <w:sz w:val="20"/>
        </w:rPr>
      </w:pPr>
      <w:r>
        <w:rPr>
          <w:rFonts w:hint="eastAsia"/>
          <w:b w:val="0"/>
          <w:sz w:val="20"/>
          <w:lang w:val="en-US"/>
        </w:rPr>
        <w:t xml:space="preserve">Table </w:t>
      </w:r>
      <w:r>
        <w:rPr>
          <w:b w:val="0"/>
          <w:sz w:val="20"/>
          <w:lang w:val="en-US"/>
        </w:rPr>
        <w:t>I</w:t>
      </w:r>
      <w:r>
        <w:rPr>
          <w:rFonts w:hint="eastAsia"/>
          <w:b w:val="0"/>
          <w:sz w:val="20"/>
          <w:lang w:val="en-US"/>
        </w:rPr>
        <w:t>I.</w:t>
      </w:r>
      <w:r>
        <w:rPr>
          <w:b w:val="0"/>
          <w:sz w:val="20"/>
          <w:lang w:val="en-US"/>
        </w:rPr>
        <w:t xml:space="preserve"> P</w:t>
      </w:r>
      <w:r>
        <w:rPr>
          <w:b w:val="0"/>
          <w:sz w:val="20"/>
        </w:rPr>
        <w:t>ower scaling values</w:t>
      </w:r>
      <w:r>
        <w:rPr>
          <w:rFonts w:hint="eastAsia"/>
          <w:color w:val="000000" w:themeColor="text1"/>
          <w:sz w:val="20"/>
          <w:lang w:val="en-AU"/>
        </w:rPr>
        <w:t xml:space="preserve"> </w:t>
      </w:r>
      <w:r w:rsidRPr="00882A8E">
        <w:rPr>
          <w:rFonts w:hint="eastAsia"/>
          <w:b w:val="0"/>
          <w:color w:val="000000" w:themeColor="text1"/>
          <w:sz w:val="20"/>
          <w:lang w:val="en-AU"/>
        </w:rPr>
        <w:t xml:space="preserve">for </w:t>
      </w:r>
      <w:r>
        <w:rPr>
          <w:b w:val="0"/>
          <w:color w:val="000000" w:themeColor="text1"/>
          <w:sz w:val="20"/>
          <w:lang w:val="en-AU"/>
        </w:rPr>
        <w:t>2 antenna ports.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276"/>
        <w:gridCol w:w="1985"/>
        <w:gridCol w:w="1984"/>
        <w:gridCol w:w="1985"/>
      </w:tblGrid>
      <w:tr w:rsidR="007D2EF2" w14:paraId="27EDD921" w14:textId="77777777" w:rsidTr="00FB422C">
        <w:trPr>
          <w:jc w:val="center"/>
        </w:trPr>
        <w:tc>
          <w:tcPr>
            <w:tcW w:w="850" w:type="dxa"/>
            <w:vMerge w:val="restart"/>
          </w:tcPr>
          <w:p w14:paraId="29C645D8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</w:p>
        </w:tc>
        <w:tc>
          <w:tcPr>
            <w:tcW w:w="1276" w:type="dxa"/>
            <w:vMerge w:val="restart"/>
          </w:tcPr>
          <w:p w14:paraId="3672286A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</w:p>
        </w:tc>
        <w:tc>
          <w:tcPr>
            <w:tcW w:w="1985" w:type="dxa"/>
          </w:tcPr>
          <w:p w14:paraId="54854625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N</w:t>
            </w:r>
            <w:r>
              <w:rPr>
                <w:rFonts w:hint="eastAsia"/>
                <w:b w:val="0"/>
                <w:sz w:val="20"/>
              </w:rPr>
              <w:t>on</w:t>
            </w:r>
            <w:r>
              <w:rPr>
                <w:b w:val="0"/>
                <w:sz w:val="20"/>
              </w:rPr>
              <w:t>-coherent UE</w:t>
            </w:r>
          </w:p>
        </w:tc>
        <w:tc>
          <w:tcPr>
            <w:tcW w:w="3969" w:type="dxa"/>
            <w:gridSpan w:val="2"/>
          </w:tcPr>
          <w:p w14:paraId="17E0D8E7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</w:t>
            </w:r>
            <w:r>
              <w:rPr>
                <w:rFonts w:hint="eastAsia"/>
                <w:b w:val="0"/>
                <w:sz w:val="20"/>
              </w:rPr>
              <w:t>oherent UE</w:t>
            </w:r>
          </w:p>
        </w:tc>
      </w:tr>
      <w:tr w:rsidR="007D2EF2" w14:paraId="36B93754" w14:textId="77777777" w:rsidTr="00FB422C">
        <w:trPr>
          <w:jc w:val="center"/>
        </w:trPr>
        <w:tc>
          <w:tcPr>
            <w:tcW w:w="850" w:type="dxa"/>
            <w:vMerge/>
            <w:vAlign w:val="center"/>
          </w:tcPr>
          <w:p w14:paraId="6AAF9E34" w14:textId="77777777" w:rsidR="007D2EF2" w:rsidRPr="00930EBE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E551B36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5201DD27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N</w:t>
            </w:r>
            <w:r>
              <w:rPr>
                <w:rFonts w:hint="eastAsia"/>
                <w:b w:val="0"/>
                <w:sz w:val="20"/>
              </w:rPr>
              <w:t>on</w:t>
            </w:r>
            <w:r>
              <w:rPr>
                <w:b w:val="0"/>
                <w:sz w:val="20"/>
              </w:rPr>
              <w:t>-coherent TPMI</w:t>
            </w:r>
          </w:p>
        </w:tc>
        <w:tc>
          <w:tcPr>
            <w:tcW w:w="1984" w:type="dxa"/>
            <w:vAlign w:val="center"/>
          </w:tcPr>
          <w:p w14:paraId="2C8E08CC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N</w:t>
            </w:r>
            <w:r>
              <w:rPr>
                <w:rFonts w:hint="eastAsia"/>
                <w:b w:val="0"/>
                <w:sz w:val="20"/>
              </w:rPr>
              <w:t>on</w:t>
            </w:r>
            <w:r>
              <w:rPr>
                <w:b w:val="0"/>
                <w:sz w:val="20"/>
              </w:rPr>
              <w:t>-coherent TPMI</w:t>
            </w:r>
          </w:p>
        </w:tc>
        <w:tc>
          <w:tcPr>
            <w:tcW w:w="1985" w:type="dxa"/>
            <w:vAlign w:val="center"/>
          </w:tcPr>
          <w:p w14:paraId="5FF4359A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Fully coherent TPMI</w:t>
            </w:r>
          </w:p>
        </w:tc>
      </w:tr>
      <w:tr w:rsidR="007D2EF2" w14:paraId="35293594" w14:textId="77777777" w:rsidTr="00FB422C">
        <w:trPr>
          <w:jc w:val="center"/>
        </w:trPr>
        <w:tc>
          <w:tcPr>
            <w:tcW w:w="850" w:type="dxa"/>
            <w:vMerge w:val="restart"/>
            <w:vAlign w:val="center"/>
          </w:tcPr>
          <w:p w14:paraId="7A8C57F2" w14:textId="77777777" w:rsidR="007D2EF2" w:rsidRDefault="007D2EF2" w:rsidP="00FB422C">
            <w:pPr>
              <w:pStyle w:val="LGTdoc1"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R</w:t>
            </w:r>
            <w:r>
              <w:rPr>
                <w:b w:val="0"/>
                <w:sz w:val="20"/>
              </w:rPr>
              <w:t>a</w:t>
            </w:r>
            <w:r>
              <w:rPr>
                <w:rFonts w:hint="eastAsia"/>
                <w:b w:val="0"/>
                <w:sz w:val="20"/>
              </w:rPr>
              <w:t xml:space="preserve">nk </w:t>
            </w:r>
            <w:r>
              <w:rPr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7516D539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TPMI index</w:t>
            </w:r>
          </w:p>
        </w:tc>
        <w:tc>
          <w:tcPr>
            <w:tcW w:w="1985" w:type="dxa"/>
            <w:vAlign w:val="center"/>
          </w:tcPr>
          <w:p w14:paraId="07FEE4B8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0,1</w:t>
            </w:r>
          </w:p>
        </w:tc>
        <w:tc>
          <w:tcPr>
            <w:tcW w:w="1984" w:type="dxa"/>
            <w:vAlign w:val="center"/>
          </w:tcPr>
          <w:p w14:paraId="589927CE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0,1</w:t>
            </w:r>
          </w:p>
        </w:tc>
        <w:tc>
          <w:tcPr>
            <w:tcW w:w="1985" w:type="dxa"/>
            <w:vAlign w:val="center"/>
          </w:tcPr>
          <w:p w14:paraId="0698F630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2</w:t>
            </w:r>
            <w:r>
              <w:rPr>
                <w:b w:val="0"/>
                <w:sz w:val="20"/>
              </w:rPr>
              <w:t>~</w:t>
            </w:r>
            <w:r>
              <w:rPr>
                <w:rFonts w:hint="eastAsia"/>
                <w:b w:val="0"/>
                <w:sz w:val="20"/>
              </w:rPr>
              <w:t>5</w:t>
            </w:r>
          </w:p>
        </w:tc>
      </w:tr>
      <w:tr w:rsidR="007D2EF2" w14:paraId="0A5FF57A" w14:textId="77777777" w:rsidTr="00FB422C">
        <w:trPr>
          <w:jc w:val="center"/>
        </w:trPr>
        <w:tc>
          <w:tcPr>
            <w:tcW w:w="850" w:type="dxa"/>
            <w:vMerge/>
            <w:vAlign w:val="center"/>
          </w:tcPr>
          <w:p w14:paraId="08F933B4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B413810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 xml:space="preserve">Ratio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color w:val="000000" w:themeColor="text1"/>
                      <w:sz w:val="20"/>
                      <w:lang w:val="en-AU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color w:val="000000" w:themeColor="text1"/>
                          <w:sz w:val="20"/>
                          <w:lang w:val="en-AU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text1"/>
                          <w:sz w:val="20"/>
                          <w:lang w:val="en-AU"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text1"/>
                          <w:sz w:val="20"/>
                          <w:lang w:val="en-AU" w:eastAsia="zh-CN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 w:themeColor="text1"/>
                      <w:sz w:val="20"/>
                      <w:lang w:val="en-AU" w:eastAsia="zh-CN"/>
                    </w:rPr>
                    <m:t>ρ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 w:themeColor="text1"/>
                  <w:sz w:val="20"/>
                  <w:lang w:val="en-AU" w:eastAsia="zh-CN"/>
                </w:rPr>
                <m:t>)</m:t>
              </m:r>
            </m:oMath>
          </w:p>
        </w:tc>
        <w:tc>
          <w:tcPr>
            <w:tcW w:w="1985" w:type="dxa"/>
            <w:vAlign w:val="center"/>
          </w:tcPr>
          <w:p w14:paraId="70109613" w14:textId="77777777" w:rsidR="007D2EF2" w:rsidRPr="00634B36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  <w:highlight w:val="yellow"/>
              </w:rPr>
            </w:pPr>
            <w:r w:rsidRPr="00634B36">
              <w:rPr>
                <w:rFonts w:hint="eastAsia"/>
                <w:b w:val="0"/>
                <w:sz w:val="20"/>
                <w:highlight w:val="yellow"/>
              </w:rPr>
              <w:t>1/2</w:t>
            </w:r>
          </w:p>
        </w:tc>
        <w:tc>
          <w:tcPr>
            <w:tcW w:w="1984" w:type="dxa"/>
            <w:vAlign w:val="center"/>
          </w:tcPr>
          <w:p w14:paraId="475A560E" w14:textId="77777777" w:rsidR="007D2EF2" w:rsidRPr="00634B36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  <w:highlight w:val="yellow"/>
              </w:rPr>
            </w:pPr>
            <w:r w:rsidRPr="00634B36">
              <w:rPr>
                <w:rFonts w:hint="eastAsia"/>
                <w:b w:val="0"/>
                <w:sz w:val="20"/>
                <w:highlight w:val="yellow"/>
              </w:rPr>
              <w:t>1/2</w:t>
            </w:r>
          </w:p>
        </w:tc>
        <w:tc>
          <w:tcPr>
            <w:tcW w:w="1985" w:type="dxa"/>
            <w:vAlign w:val="center"/>
          </w:tcPr>
          <w:p w14:paraId="6FA43A5D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</w:tr>
      <w:tr w:rsidR="007D2EF2" w14:paraId="0AB87029" w14:textId="77777777" w:rsidTr="00FB422C">
        <w:trPr>
          <w:jc w:val="center"/>
        </w:trPr>
        <w:tc>
          <w:tcPr>
            <w:tcW w:w="850" w:type="dxa"/>
            <w:vMerge w:val="restart"/>
            <w:vAlign w:val="center"/>
          </w:tcPr>
          <w:p w14:paraId="1E590E2F" w14:textId="77777777" w:rsidR="007D2EF2" w:rsidRDefault="007D2EF2" w:rsidP="00FB422C">
            <w:pPr>
              <w:pStyle w:val="LGTdoc1"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R</w:t>
            </w:r>
            <w:r>
              <w:rPr>
                <w:b w:val="0"/>
                <w:sz w:val="20"/>
              </w:rPr>
              <w:t>a</w:t>
            </w:r>
            <w:r>
              <w:rPr>
                <w:rFonts w:hint="eastAsia"/>
                <w:b w:val="0"/>
                <w:sz w:val="20"/>
              </w:rPr>
              <w:t>nk 2</w:t>
            </w:r>
          </w:p>
        </w:tc>
        <w:tc>
          <w:tcPr>
            <w:tcW w:w="1276" w:type="dxa"/>
            <w:vAlign w:val="center"/>
          </w:tcPr>
          <w:p w14:paraId="5981D1C7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TPMI index</w:t>
            </w:r>
          </w:p>
        </w:tc>
        <w:tc>
          <w:tcPr>
            <w:tcW w:w="1985" w:type="dxa"/>
            <w:vAlign w:val="center"/>
          </w:tcPr>
          <w:p w14:paraId="64599BAD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5CB63AA0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  <w:tc>
          <w:tcPr>
            <w:tcW w:w="1985" w:type="dxa"/>
            <w:vAlign w:val="center"/>
          </w:tcPr>
          <w:p w14:paraId="55F3F2DA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  <w:r>
              <w:rPr>
                <w:b w:val="0"/>
                <w:sz w:val="20"/>
              </w:rPr>
              <w:t>,2</w:t>
            </w:r>
          </w:p>
        </w:tc>
      </w:tr>
      <w:tr w:rsidR="007D2EF2" w14:paraId="23F17272" w14:textId="77777777" w:rsidTr="00FB422C">
        <w:trPr>
          <w:jc w:val="center"/>
        </w:trPr>
        <w:tc>
          <w:tcPr>
            <w:tcW w:w="850" w:type="dxa"/>
            <w:vMerge/>
          </w:tcPr>
          <w:p w14:paraId="60B39C00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rPr>
                <w:b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574944C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 xml:space="preserve">Ratio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color w:val="000000" w:themeColor="text1"/>
                      <w:sz w:val="20"/>
                      <w:lang w:val="en-AU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color w:val="000000" w:themeColor="text1"/>
                          <w:sz w:val="20"/>
                          <w:lang w:val="en-AU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text1"/>
                          <w:sz w:val="20"/>
                          <w:lang w:val="en-AU" w:eastAsia="zh-CN"/>
                        </w:rPr>
                        <m:t>ρ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text1"/>
                          <w:sz w:val="20"/>
                          <w:lang w:val="en-AU" w:eastAsia="zh-CN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 w:themeColor="text1"/>
                      <w:sz w:val="20"/>
                      <w:lang w:val="en-AU" w:eastAsia="zh-CN"/>
                    </w:rPr>
                    <m:t>ρ</m:t>
                  </m:r>
                </m:den>
              </m:f>
              <m:r>
                <m:rPr>
                  <m:sty m:val="bi"/>
                </m:rPr>
                <w:rPr>
                  <w:rFonts w:ascii="Cambria Math" w:eastAsia="Times New Roman" w:hAnsi="Cambria Math" w:cs="Arial"/>
                  <w:color w:val="000000" w:themeColor="text1"/>
                  <w:sz w:val="20"/>
                  <w:lang w:val="en-AU" w:eastAsia="zh-CN"/>
                </w:rPr>
                <m:t>)</m:t>
              </m:r>
            </m:oMath>
          </w:p>
        </w:tc>
        <w:tc>
          <w:tcPr>
            <w:tcW w:w="1985" w:type="dxa"/>
            <w:vAlign w:val="center"/>
          </w:tcPr>
          <w:p w14:paraId="446A21D1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6A03295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3AC147EF" w14:textId="77777777" w:rsidR="007D2EF2" w:rsidRDefault="007D2EF2" w:rsidP="00FB422C">
            <w:pPr>
              <w:pStyle w:val="LGTdoc1"/>
              <w:snapToGrid/>
              <w:spacing w:beforeAutospacing="1"/>
              <w:contextualSpacing/>
              <w:jc w:val="center"/>
              <w:rPr>
                <w:b w:val="0"/>
                <w:sz w:val="20"/>
              </w:rPr>
            </w:pPr>
            <w:r>
              <w:rPr>
                <w:rFonts w:hint="eastAsia"/>
                <w:b w:val="0"/>
                <w:sz w:val="20"/>
              </w:rPr>
              <w:t>1</w:t>
            </w:r>
          </w:p>
        </w:tc>
      </w:tr>
    </w:tbl>
    <w:p w14:paraId="2D602023" w14:textId="77777777" w:rsidR="007D2EF2" w:rsidRPr="00987B8F" w:rsidRDefault="007D2EF2" w:rsidP="001B0EDE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7ED18F69" w14:textId="40873870" w:rsidR="004A0633" w:rsidRDefault="004D2D8F" w:rsidP="00882A8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</w:pPr>
      <w:r w:rsidRPr="00987B8F">
        <w:rPr>
          <w:b w:val="0"/>
          <w:sz w:val="22"/>
          <w:lang w:val="en-US"/>
        </w:rPr>
        <w:lastRenderedPageBreak/>
        <w:t>Option 1-2</w:t>
      </w:r>
      <w:r w:rsidR="00231363" w:rsidRPr="00987B8F">
        <w:rPr>
          <w:b w:val="0"/>
          <w:sz w:val="22"/>
          <w:lang w:val="en-US"/>
        </w:rPr>
        <w:t xml:space="preserve"> is introducing additional scaling factor for uplink codebook. For example, </w:t>
      </w:r>
      <w:r w:rsidR="00175AA6" w:rsidRPr="00987B8F">
        <w:rPr>
          <w:b w:val="0"/>
          <w:sz w:val="22"/>
          <w:lang w:val="en-US"/>
        </w:rPr>
        <w:t xml:space="preserve">with this approach, </w:t>
      </w:r>
      <w:r w:rsidR="00231363" w:rsidRPr="00987B8F">
        <w:rPr>
          <w:b w:val="0"/>
          <w:sz w:val="22"/>
          <w:lang w:val="en-US"/>
        </w:rPr>
        <w:t xml:space="preserve">2Tx codebook </w:t>
      </w:r>
      <w:r w:rsidR="00175AA6" w:rsidRPr="00987B8F">
        <w:rPr>
          <w:b w:val="0"/>
          <w:sz w:val="22"/>
          <w:lang w:val="en-US"/>
        </w:rPr>
        <w:t>with rank 1 can be expressed as Table I.</w:t>
      </w:r>
      <w:r w:rsidR="00231363" w:rsidRPr="00987B8F">
        <w:rPr>
          <w:b w:val="0"/>
          <w:sz w:val="22"/>
          <w:lang w:val="en-US"/>
        </w:rPr>
        <w:t xml:space="preserve"> </w:t>
      </w:r>
      <w:r w:rsidR="00567AE8" w:rsidRPr="00987B8F">
        <w:rPr>
          <w:b w:val="0"/>
          <w:sz w:val="22"/>
          <w:lang w:val="en-US"/>
        </w:rPr>
        <w:t xml:space="preserve">In the table, normalization factor </w:t>
      </w:r>
      <w:r w:rsidR="00567AE8" w:rsidRPr="00987B8F">
        <w:rPr>
          <w:b w:val="0"/>
          <w:i/>
          <w:sz w:val="22"/>
          <w:lang w:val="en-US"/>
        </w:rPr>
        <w:t>P</w:t>
      </w:r>
      <w:r w:rsidR="00567AE8" w:rsidRPr="00987B8F">
        <w:rPr>
          <w:b w:val="0"/>
          <w:sz w:val="22"/>
          <w:lang w:val="en-US"/>
        </w:rPr>
        <w:t xml:space="preserve"> can be </w:t>
      </w:r>
      <w:r w:rsidR="00D3521D" w:rsidRPr="00987B8F">
        <w:rPr>
          <w:b w:val="0"/>
          <w:sz w:val="22"/>
          <w:lang w:val="en-US"/>
        </w:rPr>
        <w:t xml:space="preserve">RRC configurable (e.g., </w:t>
      </w:r>
      <w:r w:rsidR="00567AE8" w:rsidRPr="00987B8F">
        <w:rPr>
          <w:b w:val="0"/>
          <w:sz w:val="22"/>
          <w:lang w:val="en-US"/>
        </w:rPr>
        <w:t>1 or 2</w:t>
      </w:r>
      <w:r w:rsidR="00D3521D" w:rsidRPr="00987B8F">
        <w:rPr>
          <w:b w:val="0"/>
          <w:sz w:val="22"/>
          <w:lang w:val="en-US"/>
        </w:rPr>
        <w:t>)</w:t>
      </w:r>
      <w:r w:rsidR="00007DE7" w:rsidRPr="00987B8F">
        <w:rPr>
          <w:b w:val="0"/>
          <w:sz w:val="22"/>
          <w:lang w:val="en-US"/>
        </w:rPr>
        <w:t xml:space="preserve"> based on the UE capability</w:t>
      </w:r>
      <w:r w:rsidR="00305BCE" w:rsidRPr="00987B8F">
        <w:rPr>
          <w:b w:val="0"/>
          <w:sz w:val="22"/>
          <w:lang w:val="en-US"/>
        </w:rPr>
        <w:t>. Note that</w:t>
      </w:r>
      <w:r w:rsidR="004336D3" w:rsidRPr="00987B8F">
        <w:rPr>
          <w:b w:val="0"/>
          <w:sz w:val="22"/>
          <w:lang w:val="en-US"/>
        </w:rPr>
        <w:t xml:space="preserve"> </w:t>
      </w:r>
      <w:r w:rsidR="00567AE8" w:rsidRPr="00987B8F">
        <w:rPr>
          <w:b w:val="0"/>
          <w:sz w:val="22"/>
          <w:lang w:val="en-US"/>
        </w:rPr>
        <w:t xml:space="preserve">if </w:t>
      </w:r>
      <w:r w:rsidR="00567AE8" w:rsidRPr="00987B8F">
        <w:rPr>
          <w:b w:val="0"/>
          <w:i/>
          <w:sz w:val="22"/>
          <w:lang w:val="en-US"/>
        </w:rPr>
        <w:t>P</w:t>
      </w:r>
      <w:r w:rsidR="00567AE8" w:rsidRPr="00987B8F">
        <w:rPr>
          <w:b w:val="0"/>
          <w:sz w:val="22"/>
          <w:lang w:val="en-US"/>
        </w:rPr>
        <w:t xml:space="preserve"> is set to 1, full power tr</w:t>
      </w:r>
      <w:r w:rsidR="004336D3" w:rsidRPr="00987B8F">
        <w:rPr>
          <w:b w:val="0"/>
          <w:sz w:val="22"/>
          <w:lang w:val="en-US"/>
        </w:rPr>
        <w:t>ansmission can be achieved</w:t>
      </w:r>
      <w:r w:rsidR="006D21D0" w:rsidRPr="00987B8F">
        <w:rPr>
          <w:b w:val="0"/>
          <w:sz w:val="22"/>
          <w:lang w:val="en-US"/>
        </w:rPr>
        <w:t xml:space="preserve"> even with TPMI indices </w:t>
      </w:r>
      <w:r w:rsidR="008E7B5B" w:rsidRPr="00987B8F">
        <w:rPr>
          <w:b w:val="0"/>
          <w:sz w:val="22"/>
          <w:lang w:val="en-US"/>
        </w:rPr>
        <w:t>0</w:t>
      </w:r>
      <w:r w:rsidR="006D21D0" w:rsidRPr="00987B8F">
        <w:rPr>
          <w:b w:val="0"/>
          <w:sz w:val="22"/>
          <w:lang w:val="en-US"/>
        </w:rPr>
        <w:t xml:space="preserve"> and </w:t>
      </w:r>
      <w:r w:rsidR="008E7B5B" w:rsidRPr="00987B8F">
        <w:rPr>
          <w:b w:val="0"/>
          <w:sz w:val="22"/>
          <w:lang w:val="en-US"/>
        </w:rPr>
        <w:t>1</w:t>
      </w:r>
      <w:r w:rsidR="004336D3" w:rsidRPr="00987B8F">
        <w:rPr>
          <w:b w:val="0"/>
          <w:sz w:val="22"/>
          <w:lang w:val="en-US"/>
        </w:rPr>
        <w:t>.</w:t>
      </w:r>
      <w:r w:rsidR="008E7B5B" w:rsidRPr="00987B8F">
        <w:rPr>
          <w:b w:val="0"/>
          <w:sz w:val="22"/>
          <w:lang w:val="en-US"/>
        </w:rPr>
        <w:t xml:space="preserve"> Also, </w:t>
      </w:r>
      <w:r w:rsidR="0058480E" w:rsidRPr="00987B8F">
        <w:rPr>
          <w:b w:val="0"/>
          <w:sz w:val="22"/>
          <w:lang w:val="en-US"/>
        </w:rPr>
        <w:t xml:space="preserve">since </w:t>
      </w:r>
      <w:r w:rsidR="008E7B5B" w:rsidRPr="00987B8F">
        <w:rPr>
          <w:b w:val="0"/>
          <w:sz w:val="22"/>
          <w:lang w:val="en-US"/>
        </w:rPr>
        <w:t xml:space="preserve">antenna “turn-off” which corresponds to </w:t>
      </w:r>
      <w:r w:rsidR="008E7B5B" w:rsidRPr="00987B8F">
        <w:rPr>
          <w:b w:val="0"/>
          <w:i/>
          <w:sz w:val="22"/>
          <w:lang w:val="en-US"/>
        </w:rPr>
        <w:t>P</w:t>
      </w:r>
      <w:r w:rsidR="008E7B5B" w:rsidRPr="00987B8F">
        <w:rPr>
          <w:b w:val="0"/>
          <w:sz w:val="22"/>
          <w:lang w:val="en-US"/>
        </w:rPr>
        <w:t>=2 has benefit for UE power saving, it is reasonable to let gNB handle w</w:t>
      </w:r>
      <w:r w:rsidR="007D4E40" w:rsidRPr="00987B8F">
        <w:rPr>
          <w:rFonts w:hint="eastAsia"/>
          <w:b w:val="0"/>
          <w:sz w:val="22"/>
          <w:lang w:val="en-US"/>
        </w:rPr>
        <w:t>h</w:t>
      </w:r>
      <w:r w:rsidR="008E7B5B" w:rsidRPr="00987B8F">
        <w:rPr>
          <w:b w:val="0"/>
          <w:sz w:val="22"/>
          <w:lang w:val="en-US"/>
        </w:rPr>
        <w:t xml:space="preserve">ether or not to enable antenna “turn-off”. </w:t>
      </w:r>
      <w:r w:rsidR="001B0EDE" w:rsidRPr="00987B8F">
        <w:rPr>
          <w:b w:val="0"/>
          <w:sz w:val="22"/>
          <w:lang w:val="en-US"/>
        </w:rPr>
        <w:t xml:space="preserve">In our understanding, current PUSCH power control statements in TS 38.213 follows current uplink codebook scaling factor. Thus, if we adopt </w:t>
      </w:r>
      <w:r w:rsidR="00E0548C" w:rsidRPr="00987B8F">
        <w:rPr>
          <w:b w:val="0"/>
          <w:sz w:val="22"/>
          <w:lang w:val="en-US"/>
        </w:rPr>
        <w:t xml:space="preserve">this </w:t>
      </w:r>
      <w:r w:rsidR="001B0EDE" w:rsidRPr="00987B8F">
        <w:rPr>
          <w:b w:val="0"/>
          <w:sz w:val="22"/>
          <w:lang w:val="en-US"/>
        </w:rPr>
        <w:t xml:space="preserve">approach, modification </w:t>
      </w:r>
      <w:r w:rsidR="007D4E40" w:rsidRPr="00987B8F">
        <w:rPr>
          <w:b w:val="0"/>
          <w:sz w:val="22"/>
          <w:lang w:val="en-US"/>
        </w:rPr>
        <w:t xml:space="preserve">of </w:t>
      </w:r>
      <w:r w:rsidR="001B0EDE" w:rsidRPr="00987B8F">
        <w:rPr>
          <w:b w:val="0"/>
          <w:sz w:val="22"/>
          <w:lang w:val="en-US"/>
        </w:rPr>
        <w:t>PUSCH power control should also be needed.</w:t>
      </w:r>
    </w:p>
    <w:p w14:paraId="187E7E9E" w14:textId="77777777" w:rsidR="004A0633" w:rsidRPr="00FB422C" w:rsidRDefault="004A0633" w:rsidP="004A0633">
      <w:pPr>
        <w:pStyle w:val="LGTdoc1"/>
        <w:snapToGrid/>
        <w:spacing w:beforeLines="0" w:before="100" w:beforeAutospacing="1" w:line="240" w:lineRule="atLeast"/>
        <w:ind w:firstLine="200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roposal1: Introduce RRC configurable scaling factor for uplink codebook in order to achieve full Tx power UL transmission.</w:t>
      </w:r>
    </w:p>
    <w:p w14:paraId="15A4E571" w14:textId="77777777" w:rsidR="00D563AC" w:rsidRPr="00987B8F" w:rsidRDefault="00D563AC" w:rsidP="00882A8E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59C6E5FB" w14:textId="47B47AB6" w:rsidR="00D563AC" w:rsidRPr="00987B8F" w:rsidRDefault="00882A8E" w:rsidP="00882A8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b w:val="0"/>
          <w:sz w:val="22"/>
          <w:lang w:val="en-US"/>
        </w:rPr>
        <w:t>In our view, if o</w:t>
      </w:r>
      <w:r w:rsidRPr="00987B8F">
        <w:rPr>
          <w:rFonts w:hint="eastAsia"/>
          <w:b w:val="0"/>
          <w:sz w:val="22"/>
          <w:lang w:val="en-US"/>
        </w:rPr>
        <w:t xml:space="preserve">ption 2 </w:t>
      </w:r>
      <w:r w:rsidRPr="00987B8F">
        <w:rPr>
          <w:b w:val="0"/>
          <w:sz w:val="22"/>
          <w:lang w:val="en-US"/>
        </w:rPr>
        <w:t xml:space="preserve">is supported specification transparently, this option can be a special case of option 4. Otherwise, the new scheme supporting this option needs to be introduced which has quite big specification impact. In addition, how to support </w:t>
      </w:r>
      <w:r w:rsidR="00D75BCB">
        <w:rPr>
          <w:b w:val="0"/>
          <w:sz w:val="22"/>
          <w:lang w:val="en-US"/>
        </w:rPr>
        <w:t>multiple layer transmission</w:t>
      </w:r>
      <w:r w:rsidRPr="00987B8F">
        <w:rPr>
          <w:b w:val="0"/>
          <w:sz w:val="22"/>
          <w:lang w:val="en-US"/>
        </w:rPr>
        <w:t xml:space="preserve"> (e.g., </w:t>
      </w:r>
      <w:r w:rsidR="00184F73">
        <w:rPr>
          <w:b w:val="0"/>
          <w:sz w:val="22"/>
          <w:lang w:val="en-US"/>
        </w:rPr>
        <w:t>TRI&gt;1</w:t>
      </w:r>
      <w:r w:rsidRPr="00987B8F">
        <w:rPr>
          <w:b w:val="0"/>
          <w:sz w:val="22"/>
          <w:lang w:val="en-US"/>
        </w:rPr>
        <w:t xml:space="preserve">) with option 2 is not clear. </w:t>
      </w:r>
    </w:p>
    <w:p w14:paraId="6D270B46" w14:textId="21A39144" w:rsidR="00F153DA" w:rsidRDefault="001B0EDE" w:rsidP="00F863C6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 xml:space="preserve">Option 3 considers </w:t>
      </w:r>
      <w:r w:rsidR="00046ECE" w:rsidRPr="00987B8F">
        <w:rPr>
          <w:b w:val="0"/>
          <w:sz w:val="22"/>
          <w:lang w:val="en-US"/>
        </w:rPr>
        <w:t>modification of current power control mechanism</w:t>
      </w:r>
      <w:r w:rsidR="00882A8E" w:rsidRPr="00987B8F">
        <w:rPr>
          <w:b w:val="0"/>
          <w:sz w:val="22"/>
          <w:lang w:val="en-US"/>
        </w:rPr>
        <w:t xml:space="preserve"> which can </w:t>
      </w:r>
      <w:r w:rsidR="00B55568" w:rsidRPr="00987B8F">
        <w:rPr>
          <w:b w:val="0"/>
          <w:sz w:val="22"/>
          <w:lang w:val="en-US"/>
        </w:rPr>
        <w:t xml:space="preserve">be </w:t>
      </w:r>
      <w:r w:rsidR="00882A8E" w:rsidRPr="00987B8F">
        <w:rPr>
          <w:b w:val="0"/>
          <w:sz w:val="22"/>
          <w:lang w:val="en-US"/>
        </w:rPr>
        <w:t>applied for UE capability 1. For UE capability 1, all ports are able to transmit max powe</w:t>
      </w:r>
      <w:r w:rsidR="005B0AE5" w:rsidRPr="00987B8F">
        <w:rPr>
          <w:b w:val="0"/>
          <w:sz w:val="22"/>
          <w:lang w:val="en-US"/>
        </w:rPr>
        <w:t xml:space="preserve">r (e.g. 23 dBm for PC 3). Thus, </w:t>
      </w:r>
      <w:r w:rsidR="00340C8B" w:rsidRPr="00987B8F">
        <w:rPr>
          <w:b w:val="0"/>
          <w:sz w:val="22"/>
          <w:lang w:val="en-US"/>
        </w:rPr>
        <w:t xml:space="preserve">in order to achieve full power uplink transmission regardless of indicated TRI and TPMI, </w:t>
      </w:r>
      <w:r w:rsidR="005B0AE5" w:rsidRPr="00987B8F">
        <w:rPr>
          <w:b w:val="0"/>
          <w:sz w:val="22"/>
          <w:lang w:val="en-US"/>
        </w:rPr>
        <w:t>power scaling value</w:t>
      </w:r>
      <w:r w:rsidR="000A407B" w:rsidRPr="00987B8F">
        <w:rPr>
          <w:b w:val="0"/>
          <w:sz w:val="22"/>
          <w:lang w:val="en-US"/>
        </w:rPr>
        <w:t xml:space="preserve"> of </w:t>
      </w:r>
      <w:r w:rsidR="00ED3EDD">
        <w:rPr>
          <w:b w:val="0"/>
          <w:sz w:val="22"/>
          <w:lang w:val="en-US"/>
        </w:rPr>
        <w:t>“</w:t>
      </w:r>
      <w:r w:rsidR="000A407B" w:rsidRPr="00987B8F">
        <w:rPr>
          <w:b w:val="0"/>
          <w:sz w:val="22"/>
          <w:lang w:val="en-US"/>
        </w:rPr>
        <w:t>1/2</w:t>
      </w:r>
      <w:r w:rsidR="00ED3EDD">
        <w:rPr>
          <w:b w:val="0"/>
          <w:sz w:val="22"/>
          <w:lang w:val="en-US"/>
        </w:rPr>
        <w:t>”</w:t>
      </w:r>
      <w:r w:rsidR="005B0AE5" w:rsidRPr="00987B8F">
        <w:rPr>
          <w:b w:val="0"/>
          <w:sz w:val="22"/>
          <w:lang w:val="en-US"/>
        </w:rPr>
        <w:t xml:space="preserve"> listed in Table II </w:t>
      </w:r>
      <w:r w:rsidR="000A407B" w:rsidRPr="00987B8F">
        <w:rPr>
          <w:b w:val="0"/>
          <w:sz w:val="22"/>
          <w:lang w:val="en-US"/>
        </w:rPr>
        <w:t xml:space="preserve">in some cases </w:t>
      </w:r>
      <w:r w:rsidR="005B0AE5" w:rsidRPr="00987B8F">
        <w:rPr>
          <w:b w:val="0"/>
          <w:sz w:val="22"/>
          <w:lang w:val="en-US"/>
        </w:rPr>
        <w:t xml:space="preserve">for 2 </w:t>
      </w:r>
      <w:r w:rsidR="000A407B" w:rsidRPr="00987B8F">
        <w:rPr>
          <w:b w:val="0"/>
          <w:sz w:val="22"/>
          <w:lang w:val="en-US"/>
        </w:rPr>
        <w:t xml:space="preserve">antenna </w:t>
      </w:r>
      <w:r w:rsidR="005B0AE5" w:rsidRPr="00987B8F">
        <w:rPr>
          <w:b w:val="0"/>
          <w:sz w:val="22"/>
          <w:lang w:val="en-US"/>
        </w:rPr>
        <w:t>port</w:t>
      </w:r>
      <w:r w:rsidR="000A407B" w:rsidRPr="00987B8F">
        <w:rPr>
          <w:b w:val="0"/>
          <w:sz w:val="22"/>
          <w:lang w:val="en-US"/>
        </w:rPr>
        <w:t>s</w:t>
      </w:r>
      <w:r w:rsidR="005B0AE5" w:rsidRPr="00987B8F">
        <w:rPr>
          <w:b w:val="0"/>
          <w:sz w:val="22"/>
          <w:lang w:val="en-US"/>
        </w:rPr>
        <w:t xml:space="preserve">, </w:t>
      </w:r>
      <w:r w:rsidR="00580629" w:rsidRPr="00987B8F">
        <w:rPr>
          <w:b w:val="0"/>
          <w:sz w:val="22"/>
          <w:lang w:val="en-US"/>
        </w:rPr>
        <w:t>can be replaced to 1.</w:t>
      </w:r>
      <w:r w:rsidR="00F041CB" w:rsidRPr="00987B8F">
        <w:rPr>
          <w:b w:val="0"/>
          <w:sz w:val="22"/>
          <w:lang w:val="en-US"/>
        </w:rPr>
        <w:t xml:space="preserve"> </w:t>
      </w:r>
      <w:r w:rsidR="00D11110" w:rsidRPr="00987B8F">
        <w:rPr>
          <w:b w:val="0"/>
          <w:sz w:val="22"/>
          <w:lang w:val="en-US"/>
        </w:rPr>
        <w:t>Similar to</w:t>
      </w:r>
      <w:r w:rsidR="00340C8B" w:rsidRPr="00987B8F">
        <w:rPr>
          <w:b w:val="0"/>
          <w:sz w:val="22"/>
          <w:lang w:val="en-US"/>
        </w:rPr>
        <w:t xml:space="preserve"> option 1-2, </w:t>
      </w:r>
      <w:r w:rsidR="00D11110" w:rsidRPr="00987B8F">
        <w:rPr>
          <w:b w:val="0"/>
          <w:sz w:val="22"/>
          <w:lang w:val="en-US"/>
        </w:rPr>
        <w:t>power scaling value can be determined by RRC parameter in order to enable antenna turn</w:t>
      </w:r>
      <w:r w:rsidR="00F041CB" w:rsidRPr="00987B8F">
        <w:rPr>
          <w:b w:val="0"/>
          <w:sz w:val="22"/>
          <w:lang w:val="en-US"/>
        </w:rPr>
        <w:t>-</w:t>
      </w:r>
      <w:r w:rsidR="00D11110" w:rsidRPr="00987B8F">
        <w:rPr>
          <w:b w:val="0"/>
          <w:sz w:val="22"/>
          <w:lang w:val="en-US"/>
        </w:rPr>
        <w:t>off.</w:t>
      </w:r>
      <w:r w:rsidR="00F041CB" w:rsidRPr="00987B8F">
        <w:rPr>
          <w:b w:val="0"/>
          <w:sz w:val="22"/>
          <w:lang w:val="en-US"/>
        </w:rPr>
        <w:t xml:space="preserve"> </w:t>
      </w:r>
      <w:r w:rsidR="00D563AC">
        <w:rPr>
          <w:b w:val="0"/>
          <w:sz w:val="22"/>
          <w:lang w:val="en-US"/>
        </w:rPr>
        <w:t>Exemplary power control algorithm can be that</w:t>
      </w:r>
      <w:r w:rsidR="004A0633">
        <w:rPr>
          <w:b w:val="0"/>
          <w:sz w:val="22"/>
          <w:lang w:val="en-US"/>
        </w:rPr>
        <w:t xml:space="preserve"> </w:t>
      </w:r>
      <w:r w:rsidR="004A0633" w:rsidRPr="00C00745">
        <w:rPr>
          <w:b w:val="0"/>
          <w:sz w:val="22"/>
          <w:lang w:val="en-US"/>
        </w:rPr>
        <w:t xml:space="preserve">UE scales the linear value of PUSCH power by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="004A0633" w:rsidRPr="00C00745">
        <w:rPr>
          <w:b w:val="0"/>
          <w:sz w:val="22"/>
          <w:lang w:val="en-US"/>
        </w:rPr>
        <w:t xml:space="preserve"> and the UE splits the power equally across the antenna ports on which the UE transmits the PUSCH with non-zero power</w:t>
      </w:r>
      <w:r w:rsidR="004A0633">
        <w:rPr>
          <w:b w:val="0"/>
          <w:sz w:val="22"/>
          <w:lang w:val="en-US"/>
        </w:rPr>
        <w:t>. Here,</w:t>
      </w:r>
      <w:r w:rsidR="004A0633" w:rsidRPr="00C00745">
        <w:rPr>
          <w:b w:val="0"/>
          <w:sz w:val="22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="004A0633" w:rsidRPr="00C00745">
        <w:rPr>
          <w:b w:val="0"/>
          <w:sz w:val="22"/>
          <w:lang w:val="en-US"/>
        </w:rPr>
        <w:t xml:space="preserve"> </w:t>
      </w:r>
      <w:r w:rsidR="004A0633">
        <w:rPr>
          <w:b w:val="0"/>
          <w:sz w:val="22"/>
          <w:lang w:val="en-US"/>
        </w:rPr>
        <w:t xml:space="preserve">can be determined by </w:t>
      </w:r>
      <w:r w:rsidR="004A0633" w:rsidRPr="00C00745">
        <w:rPr>
          <w:b w:val="0"/>
          <w:sz w:val="22"/>
          <w:lang w:val="en-US"/>
        </w:rPr>
        <w:t>RRC parameter</w:t>
      </w:r>
      <w:r w:rsidR="004A0633">
        <w:rPr>
          <w:b w:val="0"/>
          <w:sz w:val="22"/>
          <w:lang w:val="en-US"/>
        </w:rPr>
        <w:t xml:space="preserve">, for instance,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="004A0633">
        <w:rPr>
          <w:b w:val="0"/>
          <w:sz w:val="22"/>
          <w:lang w:val="en-US"/>
        </w:rPr>
        <w:t xml:space="preserve"> </w:t>
      </w:r>
      <w:r w:rsidR="004A0633" w:rsidRPr="00C00745">
        <w:rPr>
          <w:b w:val="0"/>
          <w:sz w:val="22"/>
          <w:lang w:val="en-US"/>
        </w:rPr>
        <w:t>can be either 1 or the ratio of the number of antenna ports with a non-zero PUSCH transmission power to the maximum number of SRS ports supported by the UE in one SRS resource.</w:t>
      </w:r>
      <w:r w:rsidR="004A0633">
        <w:rPr>
          <w:b w:val="0"/>
          <w:sz w:val="22"/>
          <w:lang w:val="en-US"/>
        </w:rPr>
        <w:t xml:space="preserve"> </w:t>
      </w:r>
      <w:r w:rsidR="008C1982" w:rsidRPr="00FB422C">
        <w:rPr>
          <w:b w:val="0"/>
          <w:sz w:val="22"/>
          <w:lang w:val="en-US"/>
        </w:rPr>
        <w:t>For UE capability 3, this option is also applicable if the gNB has information on actual UE RF structure.</w:t>
      </w:r>
    </w:p>
    <w:p w14:paraId="2E0AB0C2" w14:textId="77777777" w:rsidR="006E722D" w:rsidRDefault="006E722D" w:rsidP="00987B8F">
      <w:pPr>
        <w:pStyle w:val="LGTdoc1"/>
        <w:snapToGrid/>
        <w:spacing w:beforeLines="0" w:before="100" w:beforeAutospacing="1" w:line="360" w:lineRule="auto"/>
        <w:ind w:firstLine="200"/>
        <w:contextualSpacing/>
        <w:rPr>
          <w:sz w:val="22"/>
          <w:lang w:val="en-US"/>
        </w:rPr>
      </w:pPr>
    </w:p>
    <w:p w14:paraId="16F492FB" w14:textId="77777777" w:rsidR="00D563AC" w:rsidRPr="00FB422C" w:rsidRDefault="00D563AC" w:rsidP="00987B8F">
      <w:pPr>
        <w:pStyle w:val="LGTdoc1"/>
        <w:snapToGrid/>
        <w:spacing w:beforeLines="0" w:before="100" w:beforeAutospacing="1" w:line="360" w:lineRule="auto"/>
        <w:ind w:firstLine="200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roposal2: If UE reports UE capability 1</w:t>
      </w:r>
      <w:r>
        <w:rPr>
          <w:sz w:val="22"/>
          <w:lang w:val="en-US"/>
        </w:rPr>
        <w:t xml:space="preserve"> and 3</w:t>
      </w:r>
      <w:r w:rsidRPr="00FB422C">
        <w:rPr>
          <w:sz w:val="22"/>
          <w:lang w:val="en-US"/>
        </w:rPr>
        <w:t>, UE scales the linear value of PUSCH power by</w:t>
      </w:r>
      <w:r w:rsidRPr="00FB422C">
        <w:rPr>
          <w:rFonts w:hint="eastAsia"/>
          <w:sz w:val="22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 w:rsidDel="00C00745">
        <w:rPr>
          <w:sz w:val="22"/>
          <w:lang w:val="en-US"/>
        </w:rPr>
        <w:t xml:space="preserve"> </w:t>
      </w:r>
      <w:r w:rsidRPr="00FB422C">
        <w:rPr>
          <w:sz w:val="22"/>
          <w:lang w:val="en-US"/>
        </w:rPr>
        <w:t xml:space="preserve">and the UE splits the power equally across the antenna ports on which the UE transmits the PUSCH with non-zero power, where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 w:rsidDel="00C00745">
        <w:rPr>
          <w:sz w:val="22"/>
          <w:lang w:val="en-US"/>
        </w:rPr>
        <w:t xml:space="preserve"> </w:t>
      </w:r>
      <w:r w:rsidRPr="00FB422C">
        <w:rPr>
          <w:sz w:val="22"/>
          <w:lang w:val="en-US"/>
        </w:rPr>
        <w:t>can be configured by RRC parameter.</w:t>
      </w:r>
    </w:p>
    <w:p w14:paraId="3FB76932" w14:textId="77777777" w:rsidR="00D563AC" w:rsidRPr="00FB422C" w:rsidRDefault="00D563AC" w:rsidP="00987B8F">
      <w:pPr>
        <w:pStyle w:val="LGTdoc1"/>
        <w:numPr>
          <w:ilvl w:val="0"/>
          <w:numId w:val="16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>
        <w:rPr>
          <w:sz w:val="22"/>
          <w:lang w:val="en-US"/>
        </w:rPr>
        <w:t xml:space="preserve"> can be either 1 or the ratio of the number of antenna ports with a non-zero PUSCH transmission power to the maximum number of SRS ports supported by the UE in one SRS resource.</w:t>
      </w:r>
    </w:p>
    <w:p w14:paraId="666C54C1" w14:textId="77777777" w:rsidR="007D2EF2" w:rsidRPr="00987B8F" w:rsidRDefault="007D2EF2" w:rsidP="00F863C6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2ACA4A3D" w14:textId="55BF8A8D" w:rsidR="00D52134" w:rsidRPr="00987B8F" w:rsidRDefault="00557D9F" w:rsidP="00274B25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b w:val="0"/>
          <w:sz w:val="22"/>
          <w:lang w:val="en-US"/>
        </w:rPr>
        <w:t xml:space="preserve">In </w:t>
      </w:r>
      <w:r w:rsidR="00F71AE5" w:rsidRPr="00987B8F">
        <w:rPr>
          <w:b w:val="0"/>
          <w:sz w:val="22"/>
          <w:lang w:val="en-US"/>
        </w:rPr>
        <w:t>the</w:t>
      </w:r>
      <w:r w:rsidR="00D52134" w:rsidRPr="00987B8F">
        <w:rPr>
          <w:b w:val="0"/>
          <w:sz w:val="22"/>
          <w:lang w:val="en-US"/>
        </w:rPr>
        <w:t xml:space="preserve"> </w:t>
      </w:r>
      <w:r w:rsidRPr="00987B8F">
        <w:rPr>
          <w:b w:val="0"/>
          <w:sz w:val="22"/>
          <w:lang w:val="en-US"/>
        </w:rPr>
        <w:t xml:space="preserve">option 4, there may be several ways </w:t>
      </w:r>
      <w:r w:rsidR="00A90917" w:rsidRPr="00987B8F">
        <w:rPr>
          <w:b w:val="0"/>
          <w:sz w:val="22"/>
          <w:lang w:val="en-US"/>
        </w:rPr>
        <w:t xml:space="preserve">(including option 2) </w:t>
      </w:r>
      <w:r w:rsidRPr="00987B8F">
        <w:rPr>
          <w:b w:val="0"/>
          <w:sz w:val="22"/>
          <w:lang w:val="en-US"/>
        </w:rPr>
        <w:t>to support full power UL transmission by UE implementation.</w:t>
      </w:r>
      <w:r w:rsidR="00A65A94" w:rsidRPr="00987B8F">
        <w:rPr>
          <w:b w:val="0"/>
          <w:sz w:val="22"/>
          <w:lang w:val="en-US"/>
        </w:rPr>
        <w:t xml:space="preserve"> However, this does not mean that full power Tx capable UE should always employ full power Tx UL transmission. </w:t>
      </w:r>
      <w:r w:rsidR="00905837" w:rsidRPr="00987B8F">
        <w:rPr>
          <w:b w:val="0"/>
          <w:sz w:val="22"/>
          <w:lang w:val="en-US"/>
        </w:rPr>
        <w:t xml:space="preserve">Thus, without any specification enhancement, </w:t>
      </w:r>
      <w:r w:rsidR="00E84165" w:rsidRPr="00987B8F">
        <w:rPr>
          <w:b w:val="0"/>
          <w:sz w:val="22"/>
          <w:lang w:val="en-US"/>
        </w:rPr>
        <w:t xml:space="preserve">gNB </w:t>
      </w:r>
      <w:r w:rsidR="00835159" w:rsidRPr="00987B8F">
        <w:rPr>
          <w:rFonts w:hint="eastAsia"/>
          <w:b w:val="0"/>
          <w:sz w:val="22"/>
          <w:lang w:val="en-US"/>
        </w:rPr>
        <w:lastRenderedPageBreak/>
        <w:t xml:space="preserve">could </w:t>
      </w:r>
      <w:r w:rsidR="00905837" w:rsidRPr="00987B8F">
        <w:rPr>
          <w:b w:val="0"/>
          <w:sz w:val="22"/>
          <w:lang w:val="en-US"/>
        </w:rPr>
        <w:t xml:space="preserve">still </w:t>
      </w:r>
      <w:r w:rsidR="00835159" w:rsidRPr="00987B8F">
        <w:rPr>
          <w:b w:val="0"/>
          <w:sz w:val="22"/>
          <w:lang w:val="en-US"/>
        </w:rPr>
        <w:t xml:space="preserve">have </w:t>
      </w:r>
      <w:r w:rsidR="00395FA0" w:rsidRPr="00987B8F">
        <w:rPr>
          <w:b w:val="0"/>
          <w:sz w:val="22"/>
          <w:lang w:val="en-US"/>
        </w:rPr>
        <w:t xml:space="preserve">problem for </w:t>
      </w:r>
      <w:r w:rsidRPr="00987B8F">
        <w:rPr>
          <w:b w:val="0"/>
          <w:sz w:val="22"/>
          <w:lang w:val="en-US"/>
        </w:rPr>
        <w:t>scheduling</w:t>
      </w:r>
      <w:r w:rsidR="00047C81" w:rsidRPr="00987B8F">
        <w:rPr>
          <w:b w:val="0"/>
          <w:sz w:val="22"/>
          <w:lang w:val="en-US"/>
        </w:rPr>
        <w:t xml:space="preserve">, uplink power control </w:t>
      </w:r>
      <w:r w:rsidR="001B19FC" w:rsidRPr="00987B8F">
        <w:rPr>
          <w:b w:val="0"/>
          <w:sz w:val="22"/>
          <w:lang w:val="en-US"/>
        </w:rPr>
        <w:t xml:space="preserve">etc. </w:t>
      </w:r>
      <w:r w:rsidR="00274B25" w:rsidRPr="00987B8F">
        <w:rPr>
          <w:b w:val="0"/>
          <w:sz w:val="22"/>
          <w:lang w:val="en-US"/>
        </w:rPr>
        <w:t xml:space="preserve">With option 5, only UE capability 1 can achieve full power uplink transmission if UE is non-coherent UE. </w:t>
      </w:r>
    </w:p>
    <w:p w14:paraId="2D8ECD45" w14:textId="2017E7A9" w:rsidR="007A4618" w:rsidRPr="00987B8F" w:rsidRDefault="00B563C0" w:rsidP="00B563C0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Based on the above discussion</w:t>
      </w:r>
      <w:r w:rsidRPr="00987B8F">
        <w:rPr>
          <w:b w:val="0"/>
          <w:sz w:val="22"/>
          <w:lang w:val="en-US"/>
        </w:rPr>
        <w:t>s</w:t>
      </w:r>
      <w:r w:rsidRPr="00987B8F">
        <w:rPr>
          <w:rFonts w:hint="eastAsia"/>
          <w:b w:val="0"/>
          <w:sz w:val="22"/>
          <w:lang w:val="en-US"/>
        </w:rPr>
        <w:t xml:space="preserve">, we </w:t>
      </w:r>
      <w:r w:rsidR="006E4A3A" w:rsidRPr="00987B8F">
        <w:rPr>
          <w:b w:val="0"/>
          <w:sz w:val="22"/>
          <w:lang w:val="en-US"/>
        </w:rPr>
        <w:t>prefer o</w:t>
      </w:r>
      <w:r w:rsidRPr="00987B8F">
        <w:rPr>
          <w:b w:val="0"/>
          <w:sz w:val="22"/>
          <w:lang w:val="en-US"/>
        </w:rPr>
        <w:t xml:space="preserve">ption </w:t>
      </w:r>
      <w:r w:rsidR="006E4A3A" w:rsidRPr="00987B8F">
        <w:rPr>
          <w:b w:val="0"/>
          <w:sz w:val="22"/>
          <w:lang w:val="en-US"/>
        </w:rPr>
        <w:t>1-</w:t>
      </w:r>
      <w:r w:rsidR="008C1C65" w:rsidRPr="00987B8F">
        <w:rPr>
          <w:b w:val="0"/>
          <w:sz w:val="22"/>
          <w:lang w:val="en-US"/>
        </w:rPr>
        <w:t>2</w:t>
      </w:r>
      <w:r w:rsidR="00DF475B">
        <w:rPr>
          <w:b w:val="0"/>
          <w:sz w:val="22"/>
          <w:lang w:val="en-US"/>
        </w:rPr>
        <w:t xml:space="preserve"> combining with option 3</w:t>
      </w:r>
      <w:r w:rsidRPr="00987B8F">
        <w:rPr>
          <w:b w:val="0"/>
          <w:sz w:val="22"/>
          <w:lang w:val="en-US"/>
        </w:rPr>
        <w:t xml:space="preserve"> </w:t>
      </w:r>
      <w:r w:rsidR="006E4A3A" w:rsidRPr="00987B8F">
        <w:rPr>
          <w:b w:val="0"/>
          <w:sz w:val="22"/>
          <w:lang w:val="en-US"/>
        </w:rPr>
        <w:t xml:space="preserve">which </w:t>
      </w:r>
      <w:r w:rsidR="00835159" w:rsidRPr="00987B8F">
        <w:rPr>
          <w:b w:val="0"/>
          <w:sz w:val="22"/>
          <w:lang w:val="en-US"/>
        </w:rPr>
        <w:t>can be a straight-forward and simplest solution for the given objective with a relatively small specification</w:t>
      </w:r>
      <w:r w:rsidR="006E4A3A" w:rsidRPr="00987B8F">
        <w:rPr>
          <w:b w:val="0"/>
          <w:sz w:val="22"/>
          <w:lang w:val="en-US"/>
        </w:rPr>
        <w:t xml:space="preserve"> impact. </w:t>
      </w:r>
    </w:p>
    <w:p w14:paraId="72A23E9D" w14:textId="5673E1E1" w:rsidR="0035218C" w:rsidRDefault="0035218C" w:rsidP="00987B8F">
      <w:pPr>
        <w:pStyle w:val="LGTdoc1"/>
        <w:snapToGrid/>
        <w:spacing w:beforeLines="0" w:before="100" w:beforeAutospacing="1" w:line="360" w:lineRule="auto"/>
        <w:ind w:firstLineChars="100" w:firstLine="216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Proposal</w:t>
      </w:r>
      <w:r w:rsidR="002951C3">
        <w:rPr>
          <w:sz w:val="22"/>
          <w:lang w:val="en-US"/>
        </w:rPr>
        <w:t>3</w:t>
      </w:r>
      <w:r w:rsidRPr="00FB422C">
        <w:rPr>
          <w:rFonts w:hint="eastAsia"/>
          <w:sz w:val="22"/>
          <w:lang w:val="en-US"/>
        </w:rPr>
        <w:t xml:space="preserve">: </w:t>
      </w:r>
      <w:r>
        <w:rPr>
          <w:sz w:val="22"/>
          <w:lang w:val="en-US"/>
        </w:rPr>
        <w:t>F</w:t>
      </w:r>
      <w:r w:rsidRPr="00FB422C">
        <w:rPr>
          <w:sz w:val="22"/>
          <w:lang w:val="en-US"/>
        </w:rPr>
        <w:t>or UE capability 1 and 3</w:t>
      </w:r>
      <w:r>
        <w:rPr>
          <w:sz w:val="22"/>
          <w:lang w:val="en-US"/>
        </w:rPr>
        <w:t>, s</w:t>
      </w:r>
      <w:r w:rsidRPr="00FB422C">
        <w:rPr>
          <w:rFonts w:hint="eastAsia"/>
          <w:sz w:val="22"/>
          <w:lang w:val="en-US"/>
        </w:rPr>
        <w:t>upport Option 1-</w:t>
      </w:r>
      <w:r>
        <w:rPr>
          <w:sz w:val="22"/>
          <w:lang w:val="en-US"/>
        </w:rPr>
        <w:t>2</w:t>
      </w:r>
      <w:r w:rsidRPr="00FB422C">
        <w:rPr>
          <w:rFonts w:hint="eastAsia"/>
          <w:sz w:val="22"/>
          <w:lang w:val="en-US"/>
        </w:rPr>
        <w:t xml:space="preserve"> </w:t>
      </w:r>
      <w:r w:rsidRPr="00FB422C">
        <w:rPr>
          <w:sz w:val="22"/>
          <w:lang w:val="en-US"/>
        </w:rPr>
        <w:t>+ Option 3</w:t>
      </w:r>
      <w:r>
        <w:rPr>
          <w:sz w:val="22"/>
          <w:lang w:val="en-US"/>
        </w:rPr>
        <w:t xml:space="preserve"> as a solution for full power uplink transmission. </w:t>
      </w:r>
    </w:p>
    <w:p w14:paraId="43173939" w14:textId="77777777" w:rsidR="008C1982" w:rsidRPr="00987B8F" w:rsidRDefault="008C1982" w:rsidP="00987B8F">
      <w:pPr>
        <w:pStyle w:val="LGTdoc1"/>
        <w:snapToGrid/>
        <w:spacing w:beforeLines="0" w:before="100" w:beforeAutospacing="1" w:line="360" w:lineRule="auto"/>
        <w:ind w:firstLineChars="50" w:firstLine="110"/>
        <w:contextualSpacing/>
        <w:rPr>
          <w:b w:val="0"/>
          <w:sz w:val="22"/>
          <w:lang w:val="en-US"/>
        </w:rPr>
      </w:pPr>
    </w:p>
    <w:p w14:paraId="3DC2BE06" w14:textId="215072F9" w:rsidR="003A35E5" w:rsidRPr="00FB422C" w:rsidRDefault="003A35E5" w:rsidP="003A35E5">
      <w:pPr>
        <w:pStyle w:val="LGTdoc1"/>
        <w:snapToGrid/>
        <w:spacing w:beforeLines="0" w:before="100" w:beforeAutospacing="1" w:line="360" w:lineRule="auto"/>
        <w:ind w:firstLineChars="150" w:firstLine="353"/>
        <w:contextualSpacing/>
        <w:rPr>
          <w:sz w:val="24"/>
          <w:lang w:val="en-US"/>
        </w:rPr>
      </w:pPr>
      <w:r w:rsidRPr="00FB422C">
        <w:rPr>
          <w:sz w:val="24"/>
          <w:lang w:val="en-US"/>
        </w:rPr>
        <w:t>2.</w:t>
      </w:r>
      <w:r>
        <w:rPr>
          <w:sz w:val="24"/>
          <w:lang w:val="en-US"/>
        </w:rPr>
        <w:t>2</w:t>
      </w:r>
      <w:r w:rsidRPr="00FB422C">
        <w:rPr>
          <w:sz w:val="24"/>
          <w:lang w:val="en-US"/>
        </w:rPr>
        <w:t xml:space="preserve"> </w:t>
      </w:r>
      <w:r>
        <w:rPr>
          <w:sz w:val="24"/>
          <w:lang w:val="en-US"/>
        </w:rPr>
        <w:t>UE capability signaling</w:t>
      </w:r>
    </w:p>
    <w:p w14:paraId="15D5849E" w14:textId="348CC74B" w:rsidR="008C1982" w:rsidRPr="00987B8F" w:rsidRDefault="002951C3" w:rsidP="00987B8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For full power UL </w:t>
      </w:r>
      <w:r>
        <w:rPr>
          <w:b w:val="0"/>
          <w:sz w:val="22"/>
          <w:lang w:val="en-US"/>
        </w:rPr>
        <w:t>transmission</w:t>
      </w:r>
      <w:r>
        <w:rPr>
          <w:rFonts w:hint="eastAsia"/>
          <w:b w:val="0"/>
          <w:sz w:val="22"/>
          <w:lang w:val="en-US"/>
        </w:rPr>
        <w:t>,</w:t>
      </w:r>
      <w:r>
        <w:rPr>
          <w:b w:val="0"/>
          <w:sz w:val="22"/>
          <w:lang w:val="en-US"/>
        </w:rPr>
        <w:t xml:space="preserve"> two </w:t>
      </w:r>
      <w:r w:rsidR="009E10EF">
        <w:rPr>
          <w:b w:val="0"/>
          <w:sz w:val="22"/>
          <w:lang w:val="en-US"/>
        </w:rPr>
        <w:t>UE capability signaling</w:t>
      </w:r>
      <w:r w:rsidR="00360A3A">
        <w:rPr>
          <w:b w:val="0"/>
          <w:sz w:val="22"/>
          <w:lang w:val="en-US"/>
        </w:rPr>
        <w:t>s</w:t>
      </w:r>
      <w:r>
        <w:rPr>
          <w:b w:val="0"/>
          <w:sz w:val="22"/>
          <w:lang w:val="en-US"/>
        </w:rPr>
        <w:t xml:space="preserve"> are considered. </w:t>
      </w:r>
      <w:r w:rsidR="002657F4">
        <w:rPr>
          <w:b w:val="0"/>
          <w:sz w:val="22"/>
          <w:lang w:val="en-US"/>
        </w:rPr>
        <w:t>One</w:t>
      </w:r>
      <w:r w:rsidR="009A586A">
        <w:rPr>
          <w:b w:val="0"/>
          <w:sz w:val="22"/>
          <w:lang w:val="en-US"/>
        </w:rPr>
        <w:t xml:space="preserve"> (Alt1)</w:t>
      </w:r>
      <w:r w:rsidR="002657F4">
        <w:rPr>
          <w:b w:val="0"/>
          <w:sz w:val="22"/>
          <w:lang w:val="en-US"/>
        </w:rPr>
        <w:t xml:space="preserve"> is </w:t>
      </w:r>
      <w:r w:rsidR="005865A9">
        <w:rPr>
          <w:b w:val="0"/>
          <w:sz w:val="22"/>
          <w:lang w:val="en-US"/>
        </w:rPr>
        <w:t>based on the supported TPMI</w:t>
      </w:r>
      <w:r w:rsidR="00360A3A">
        <w:rPr>
          <w:b w:val="0"/>
          <w:sz w:val="22"/>
          <w:lang w:val="en-US"/>
        </w:rPr>
        <w:t>s</w:t>
      </w:r>
      <w:r w:rsidR="005865A9">
        <w:rPr>
          <w:b w:val="0"/>
          <w:sz w:val="22"/>
          <w:lang w:val="en-US"/>
        </w:rPr>
        <w:t xml:space="preserve"> and the other one</w:t>
      </w:r>
      <w:r w:rsidR="009A586A">
        <w:rPr>
          <w:b w:val="0"/>
          <w:sz w:val="22"/>
          <w:lang w:val="en-US"/>
        </w:rPr>
        <w:t xml:space="preserve"> (Alt3)</w:t>
      </w:r>
      <w:r w:rsidR="005865A9">
        <w:rPr>
          <w:b w:val="0"/>
          <w:sz w:val="22"/>
          <w:lang w:val="en-US"/>
        </w:rPr>
        <w:t xml:space="preserve"> is bas</w:t>
      </w:r>
      <w:r w:rsidR="00360A3A">
        <w:rPr>
          <w:b w:val="0"/>
          <w:sz w:val="22"/>
          <w:lang w:val="en-US"/>
        </w:rPr>
        <w:t>ed on the power scaling scheme</w:t>
      </w:r>
      <w:r w:rsidR="009A586A">
        <w:rPr>
          <w:b w:val="0"/>
          <w:sz w:val="22"/>
          <w:lang w:val="en-US"/>
        </w:rPr>
        <w:t>s</w:t>
      </w:r>
      <w:r w:rsidR="00360A3A">
        <w:rPr>
          <w:b w:val="0"/>
          <w:sz w:val="22"/>
          <w:lang w:val="en-US"/>
        </w:rPr>
        <w:t xml:space="preserve">. </w:t>
      </w:r>
      <w:r w:rsidR="009A586A">
        <w:rPr>
          <w:b w:val="0"/>
          <w:sz w:val="22"/>
          <w:lang w:val="en-US"/>
        </w:rPr>
        <w:t xml:space="preserve">Compared to Alt1, Alt3 may have simpler signaling structure. However, in case of UE capability 3 which is agreed to be supported, it is not clear how to support full power UL transmission with Alt 3. </w:t>
      </w:r>
      <w:r w:rsidR="00092020">
        <w:rPr>
          <w:b w:val="0"/>
          <w:sz w:val="22"/>
          <w:lang w:val="en-US"/>
        </w:rPr>
        <w:t xml:space="preserve">On the other hand, </w:t>
      </w:r>
      <w:r w:rsidR="00F457E0">
        <w:rPr>
          <w:b w:val="0"/>
          <w:sz w:val="22"/>
          <w:lang w:val="en-US"/>
        </w:rPr>
        <w:t xml:space="preserve">by reporting desirable TPMIs, gNB </w:t>
      </w:r>
      <w:r w:rsidR="00092020">
        <w:rPr>
          <w:b w:val="0"/>
          <w:sz w:val="22"/>
          <w:lang w:val="en-US"/>
        </w:rPr>
        <w:t xml:space="preserve">can </w:t>
      </w:r>
      <w:r w:rsidR="00F457E0">
        <w:rPr>
          <w:b w:val="0"/>
          <w:sz w:val="22"/>
          <w:lang w:val="en-US"/>
        </w:rPr>
        <w:t xml:space="preserve">have </w:t>
      </w:r>
      <w:r w:rsidR="00092020">
        <w:rPr>
          <w:b w:val="0"/>
          <w:sz w:val="22"/>
          <w:lang w:val="en-US"/>
        </w:rPr>
        <w:t>information</w:t>
      </w:r>
      <w:r w:rsidR="00F457E0">
        <w:rPr>
          <w:b w:val="0"/>
          <w:sz w:val="22"/>
          <w:lang w:val="en-US"/>
        </w:rPr>
        <w:t xml:space="preserve"> on </w:t>
      </w:r>
      <w:r w:rsidR="00F457E0" w:rsidRPr="00FB422C">
        <w:rPr>
          <w:b w:val="0"/>
          <w:sz w:val="22"/>
          <w:lang w:val="en-US"/>
        </w:rPr>
        <w:t>which and how many ports are</w:t>
      </w:r>
      <w:r w:rsidR="00F457E0">
        <w:rPr>
          <w:b w:val="0"/>
          <w:sz w:val="22"/>
          <w:lang w:val="en-US"/>
        </w:rPr>
        <w:t xml:space="preserve"> equipped with full-rated PA and thus full power UL transmission for UE capability 3 can be easily applied. </w:t>
      </w:r>
    </w:p>
    <w:p w14:paraId="52DEC818" w14:textId="77DEF5DD" w:rsidR="003A35E5" w:rsidRPr="00FB422C" w:rsidRDefault="003A35E5" w:rsidP="003A35E5">
      <w:pPr>
        <w:pStyle w:val="LGTdoc1"/>
        <w:snapToGrid/>
        <w:spacing w:beforeLines="0" w:before="100" w:beforeAutospacing="1" w:line="360" w:lineRule="auto"/>
        <w:ind w:firstLineChars="50" w:firstLine="108"/>
        <w:contextualSpacing/>
        <w:rPr>
          <w:sz w:val="22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 w:rsidR="00360A3A">
        <w:rPr>
          <w:sz w:val="22"/>
          <w:lang w:val="en-US"/>
        </w:rPr>
        <w:t>4</w:t>
      </w:r>
      <w:r w:rsidRPr="00FB422C">
        <w:rPr>
          <w:sz w:val="22"/>
          <w:lang w:val="en-US"/>
        </w:rPr>
        <w:t xml:space="preserve">: </w:t>
      </w:r>
      <w:r w:rsidR="00ED3EDD">
        <w:rPr>
          <w:sz w:val="22"/>
          <w:lang w:val="en-US"/>
        </w:rPr>
        <w:t>Support Alt 1 (</w:t>
      </w:r>
      <w:r w:rsidR="00ED3EDD" w:rsidRPr="00ED3EDD">
        <w:rPr>
          <w:sz w:val="22"/>
          <w:lang w:val="en-US"/>
        </w:rPr>
        <w:t>UE capability signaling of supported one or group of TPMI precoder(s)</w:t>
      </w:r>
      <w:r w:rsidR="00ED3EDD">
        <w:rPr>
          <w:sz w:val="22"/>
          <w:lang w:val="en-US"/>
        </w:rPr>
        <w:t>)</w:t>
      </w:r>
      <w:r w:rsidRPr="00FB422C">
        <w:rPr>
          <w:sz w:val="22"/>
          <w:lang w:val="en-US"/>
        </w:rPr>
        <w:t xml:space="preserve"> for full power uplink transmission.</w:t>
      </w:r>
    </w:p>
    <w:p w14:paraId="407148E9" w14:textId="77777777" w:rsidR="000951F4" w:rsidRPr="00A55819" w:rsidRDefault="000951F4">
      <w:pPr>
        <w:widowControl/>
        <w:wordWrap/>
        <w:autoSpaceDE/>
        <w:autoSpaceDN/>
        <w:rPr>
          <w:rFonts w:ascii="Times New Roman" w:eastAsia="바탕" w:hAnsi="Times New Roman" w:cs="Times New Roman"/>
          <w:snapToGrid w:val="0"/>
          <w:kern w:val="0"/>
          <w:szCs w:val="20"/>
        </w:rPr>
      </w:pPr>
    </w:p>
    <w:p w14:paraId="5506DC73" w14:textId="77777777" w:rsidR="00DE63A0" w:rsidRDefault="00DE63A0" w:rsidP="008F40E0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Conclusion</w:t>
      </w:r>
    </w:p>
    <w:p w14:paraId="0343FE66" w14:textId="77777777" w:rsidR="00C00823" w:rsidRPr="00987B8F" w:rsidRDefault="00074AB3" w:rsidP="00074AB3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987B8F">
        <w:rPr>
          <w:rFonts w:hint="eastAsia"/>
          <w:b w:val="0"/>
          <w:sz w:val="22"/>
          <w:lang w:val="en-US"/>
        </w:rPr>
        <w:t>In this contribution, we discuss</w:t>
      </w:r>
      <w:r w:rsidR="00C00823" w:rsidRPr="00987B8F">
        <w:rPr>
          <w:b w:val="0"/>
          <w:sz w:val="22"/>
          <w:lang w:val="en-US"/>
        </w:rPr>
        <w:t xml:space="preserve">ed </w:t>
      </w:r>
      <w:r w:rsidRPr="00987B8F">
        <w:rPr>
          <w:rFonts w:hint="eastAsia"/>
          <w:b w:val="0"/>
          <w:sz w:val="22"/>
          <w:lang w:val="en-US"/>
        </w:rPr>
        <w:t>on full power transmission in</w:t>
      </w:r>
      <w:r w:rsidRPr="00987B8F">
        <w:rPr>
          <w:b w:val="0"/>
          <w:sz w:val="22"/>
          <w:lang w:val="en-US"/>
        </w:rPr>
        <w:t xml:space="preserve"> case of uplink transmission with multiple power amplifiers. </w:t>
      </w:r>
      <w:r w:rsidR="00C00823" w:rsidRPr="00987B8F">
        <w:rPr>
          <w:b w:val="0"/>
          <w:sz w:val="22"/>
          <w:lang w:val="en-US"/>
        </w:rPr>
        <w:t xml:space="preserve">Based on the discussion, we have </w:t>
      </w:r>
      <w:r w:rsidR="00B563C0" w:rsidRPr="00987B8F">
        <w:rPr>
          <w:b w:val="0"/>
          <w:sz w:val="22"/>
          <w:lang w:val="en-US"/>
        </w:rPr>
        <w:t xml:space="preserve">the </w:t>
      </w:r>
      <w:r w:rsidR="00C00823" w:rsidRPr="00987B8F">
        <w:rPr>
          <w:b w:val="0"/>
          <w:sz w:val="22"/>
          <w:lang w:val="en-US"/>
        </w:rPr>
        <w:t>following proposal as:</w:t>
      </w:r>
    </w:p>
    <w:p w14:paraId="372D51F9" w14:textId="77777777" w:rsidR="00004A65" w:rsidRDefault="00004A65" w:rsidP="00987B8F">
      <w:pPr>
        <w:pStyle w:val="LGTdoc1"/>
        <w:snapToGrid/>
        <w:spacing w:beforeLines="0" w:before="100" w:beforeAutospacing="1" w:line="360" w:lineRule="auto"/>
        <w:ind w:firstLineChars="150" w:firstLine="300"/>
        <w:contextualSpacing/>
        <w:rPr>
          <w:b w:val="0"/>
          <w:sz w:val="20"/>
          <w:lang w:val="en-US"/>
        </w:rPr>
      </w:pPr>
    </w:p>
    <w:p w14:paraId="1631598D" w14:textId="77777777" w:rsidR="00F457E0" w:rsidRPr="00FB422C" w:rsidRDefault="00F457E0" w:rsidP="00987B8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roposal1: Introduce RRC configurable scaling factor for uplink codebook in order to achieve full Tx power UL transmission.</w:t>
      </w:r>
    </w:p>
    <w:p w14:paraId="425D25C5" w14:textId="77777777" w:rsidR="00F457E0" w:rsidRPr="00FB422C" w:rsidRDefault="00F457E0" w:rsidP="00987B8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roposal2: If UE reports UE capability 1</w:t>
      </w:r>
      <w:r>
        <w:rPr>
          <w:sz w:val="22"/>
          <w:lang w:val="en-US"/>
        </w:rPr>
        <w:t xml:space="preserve"> and 3</w:t>
      </w:r>
      <w:r w:rsidRPr="00FB422C">
        <w:rPr>
          <w:sz w:val="22"/>
          <w:lang w:val="en-US"/>
        </w:rPr>
        <w:t>, UE scales the linear value of PUSCH power by</w:t>
      </w:r>
      <w:r w:rsidRPr="00FB422C">
        <w:rPr>
          <w:rFonts w:hint="eastAsia"/>
          <w:sz w:val="22"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 w:rsidDel="00C00745">
        <w:rPr>
          <w:sz w:val="22"/>
          <w:lang w:val="en-US"/>
        </w:rPr>
        <w:t xml:space="preserve"> </w:t>
      </w:r>
      <w:r w:rsidRPr="00FB422C">
        <w:rPr>
          <w:sz w:val="22"/>
          <w:lang w:val="en-US"/>
        </w:rPr>
        <w:t xml:space="preserve">and the UE splits the power equally across the antenna ports on which the UE transmits the PUSCH with non-zero power, where </w:t>
      </w: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 w:rsidDel="00C00745">
        <w:rPr>
          <w:sz w:val="22"/>
          <w:lang w:val="en-US"/>
        </w:rPr>
        <w:t xml:space="preserve"> </w:t>
      </w:r>
      <w:r w:rsidRPr="00FB422C">
        <w:rPr>
          <w:sz w:val="22"/>
          <w:lang w:val="en-US"/>
        </w:rPr>
        <w:t>can be configured by RRC parameter.</w:t>
      </w:r>
    </w:p>
    <w:p w14:paraId="0A7ED9ED" w14:textId="77777777" w:rsidR="00F457E0" w:rsidRPr="00FB422C" w:rsidRDefault="00F457E0" w:rsidP="00F457E0">
      <w:pPr>
        <w:pStyle w:val="LGTdoc1"/>
        <w:numPr>
          <w:ilvl w:val="0"/>
          <w:numId w:val="16"/>
        </w:numPr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α</m:t>
        </m:r>
      </m:oMath>
      <w:r w:rsidRPr="00FB422C">
        <w:rPr>
          <w:sz w:val="22"/>
          <w:lang w:val="en-US"/>
        </w:rPr>
        <w:t xml:space="preserve"> can be either 1 or the ratio of the number of antenna ports with a non-zero PUSCH transmission power to the maximum number of SRS ports supported by the UE in one SRS resource.</w:t>
      </w:r>
    </w:p>
    <w:p w14:paraId="6DC97EA4" w14:textId="77777777" w:rsidR="00F457E0" w:rsidRDefault="00F457E0" w:rsidP="00987B8F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FB422C">
        <w:rPr>
          <w:rFonts w:hint="eastAsia"/>
          <w:sz w:val="22"/>
          <w:lang w:val="en-US"/>
        </w:rPr>
        <w:t>Proposal</w:t>
      </w:r>
      <w:r>
        <w:rPr>
          <w:sz w:val="22"/>
          <w:lang w:val="en-US"/>
        </w:rPr>
        <w:t>3</w:t>
      </w:r>
      <w:r w:rsidRPr="00FB422C">
        <w:rPr>
          <w:rFonts w:hint="eastAsia"/>
          <w:sz w:val="22"/>
          <w:lang w:val="en-US"/>
        </w:rPr>
        <w:t xml:space="preserve">: </w:t>
      </w:r>
      <w:r>
        <w:rPr>
          <w:sz w:val="22"/>
          <w:lang w:val="en-US"/>
        </w:rPr>
        <w:t>F</w:t>
      </w:r>
      <w:r w:rsidRPr="00FB422C">
        <w:rPr>
          <w:sz w:val="22"/>
          <w:lang w:val="en-US"/>
        </w:rPr>
        <w:t>or UE capability 1 and 3</w:t>
      </w:r>
      <w:r>
        <w:rPr>
          <w:sz w:val="22"/>
          <w:lang w:val="en-US"/>
        </w:rPr>
        <w:t>, s</w:t>
      </w:r>
      <w:r w:rsidRPr="00FB422C">
        <w:rPr>
          <w:rFonts w:hint="eastAsia"/>
          <w:sz w:val="22"/>
          <w:lang w:val="en-US"/>
        </w:rPr>
        <w:t>upport Option 1-</w:t>
      </w:r>
      <w:r>
        <w:rPr>
          <w:sz w:val="22"/>
          <w:lang w:val="en-US"/>
        </w:rPr>
        <w:t>2</w:t>
      </w:r>
      <w:r w:rsidRPr="00FB422C">
        <w:rPr>
          <w:rFonts w:hint="eastAsia"/>
          <w:sz w:val="22"/>
          <w:lang w:val="en-US"/>
        </w:rPr>
        <w:t xml:space="preserve"> </w:t>
      </w:r>
      <w:r w:rsidRPr="00FB422C">
        <w:rPr>
          <w:sz w:val="22"/>
          <w:lang w:val="en-US"/>
        </w:rPr>
        <w:t>+ Option 3</w:t>
      </w:r>
      <w:r>
        <w:rPr>
          <w:sz w:val="22"/>
          <w:lang w:val="en-US"/>
        </w:rPr>
        <w:t xml:space="preserve"> as a solution for full power uplink transmission. </w:t>
      </w:r>
    </w:p>
    <w:p w14:paraId="25A3C10A" w14:textId="32B90AFE" w:rsidR="00F457E0" w:rsidRPr="00ED3EDD" w:rsidRDefault="00ED3EDD" w:rsidP="00ED3EDD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</w:rPr>
      </w:pPr>
      <w:r w:rsidRPr="00FB422C">
        <w:rPr>
          <w:rFonts w:hint="eastAsia"/>
          <w:sz w:val="22"/>
          <w:lang w:val="en-US"/>
        </w:rPr>
        <w:t>P</w:t>
      </w:r>
      <w:r w:rsidRPr="00FB422C">
        <w:rPr>
          <w:sz w:val="22"/>
          <w:lang w:val="en-US"/>
        </w:rPr>
        <w:t>roposal</w:t>
      </w:r>
      <w:r>
        <w:rPr>
          <w:sz w:val="22"/>
          <w:lang w:val="en-US"/>
        </w:rPr>
        <w:t>4</w:t>
      </w:r>
      <w:r w:rsidRPr="00FB422C">
        <w:rPr>
          <w:sz w:val="22"/>
          <w:lang w:val="en-US"/>
        </w:rPr>
        <w:t xml:space="preserve">: </w:t>
      </w:r>
      <w:r>
        <w:rPr>
          <w:sz w:val="22"/>
          <w:lang w:val="en-US"/>
        </w:rPr>
        <w:t>Support Alt 1 (</w:t>
      </w:r>
      <w:r w:rsidRPr="00ED3EDD">
        <w:rPr>
          <w:sz w:val="22"/>
          <w:lang w:val="en-US"/>
        </w:rPr>
        <w:t>UE capability signaling of supported one or group of TPMI precoder(s)</w:t>
      </w:r>
      <w:r>
        <w:rPr>
          <w:sz w:val="22"/>
          <w:lang w:val="en-US"/>
        </w:rPr>
        <w:t>)</w:t>
      </w:r>
      <w:r w:rsidRPr="00FB422C">
        <w:rPr>
          <w:sz w:val="22"/>
          <w:lang w:val="en-US"/>
        </w:rPr>
        <w:t xml:space="preserve"> for full power uplink transmission.</w:t>
      </w:r>
      <w:bookmarkStart w:id="2" w:name="_GoBack"/>
      <w:bookmarkEnd w:id="2"/>
    </w:p>
    <w:sectPr w:rsidR="00F457E0" w:rsidRPr="00ED3ED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4972B" w14:textId="77777777" w:rsidR="00031F18" w:rsidRDefault="00031F18" w:rsidP="00D30654">
      <w:pPr>
        <w:spacing w:after="0" w:line="240" w:lineRule="auto"/>
      </w:pPr>
      <w:r>
        <w:separator/>
      </w:r>
    </w:p>
  </w:endnote>
  <w:endnote w:type="continuationSeparator" w:id="0">
    <w:p w14:paraId="4F9755C8" w14:textId="77777777" w:rsidR="00031F18" w:rsidRDefault="00031F18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72D82" w14:textId="77777777" w:rsidR="00031F18" w:rsidRDefault="00031F18" w:rsidP="00D30654">
      <w:pPr>
        <w:spacing w:after="0" w:line="240" w:lineRule="auto"/>
      </w:pPr>
      <w:r>
        <w:separator/>
      </w:r>
    </w:p>
  </w:footnote>
  <w:footnote w:type="continuationSeparator" w:id="0">
    <w:p w14:paraId="014C9D0D" w14:textId="77777777" w:rsidR="00031F18" w:rsidRDefault="00031F18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3.5pt;height:58pt" o:bullet="t">
        <v:imagedata r:id="rId1" o:title="clip_image001"/>
      </v:shape>
    </w:pict>
  </w:numPicBullet>
  <w:abstractNum w:abstractNumId="0" w15:restartNumberingAfterBreak="0">
    <w:nsid w:val="0A004C75"/>
    <w:multiLevelType w:val="hybridMultilevel"/>
    <w:tmpl w:val="CCF45896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1B713F"/>
    <w:multiLevelType w:val="hybridMultilevel"/>
    <w:tmpl w:val="787CC978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CF3E35D6">
      <w:numFmt w:val="bullet"/>
      <w:lvlText w:val="-"/>
      <w:lvlJc w:val="left"/>
      <w:pPr>
        <w:ind w:left="1200" w:hanging="40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11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EF2C59"/>
    <w:multiLevelType w:val="hybridMultilevel"/>
    <w:tmpl w:val="30F4528E"/>
    <w:lvl w:ilvl="0" w:tplc="0F80E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BC40D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34916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66BCE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C49B7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CBBF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D02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DE5453"/>
    <w:multiLevelType w:val="hybridMultilevel"/>
    <w:tmpl w:val="941C5B9A"/>
    <w:lvl w:ilvl="0" w:tplc="5CA6DD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0717380"/>
    <w:multiLevelType w:val="hybridMultilevel"/>
    <w:tmpl w:val="A3EAF6A0"/>
    <w:lvl w:ilvl="0" w:tplc="123022BA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85C33B0"/>
    <w:multiLevelType w:val="hybridMultilevel"/>
    <w:tmpl w:val="6EA88602"/>
    <w:lvl w:ilvl="0" w:tplc="FFFFFFFF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0174D"/>
    <w:multiLevelType w:val="hybridMultilevel"/>
    <w:tmpl w:val="715A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14529"/>
    <w:multiLevelType w:val="hybridMultilevel"/>
    <w:tmpl w:val="17187D0C"/>
    <w:lvl w:ilvl="0" w:tplc="FFFFFFFF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 w15:restartNumberingAfterBreak="0">
    <w:nsid w:val="65D44A76"/>
    <w:multiLevelType w:val="hybridMultilevel"/>
    <w:tmpl w:val="23165D8E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맑은 고딕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91F0824"/>
    <w:multiLevelType w:val="hybridMultilevel"/>
    <w:tmpl w:val="54FEF782"/>
    <w:lvl w:ilvl="0" w:tplc="60AE8B56">
      <w:start w:val="1"/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01A413A">
      <w:start w:val="6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0DA22DF"/>
    <w:multiLevelType w:val="hybridMultilevel"/>
    <w:tmpl w:val="05E2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16"/>
  </w:num>
  <w:num w:numId="5">
    <w:abstractNumId w:val="5"/>
  </w:num>
  <w:num w:numId="6">
    <w:abstractNumId w:val="13"/>
  </w:num>
  <w:num w:numId="7">
    <w:abstractNumId w:val="6"/>
  </w:num>
  <w:num w:numId="8">
    <w:abstractNumId w:val="7"/>
  </w:num>
  <w:num w:numId="9">
    <w:abstractNumId w:val="0"/>
  </w:num>
  <w:num w:numId="10">
    <w:abstractNumId w:val="15"/>
  </w:num>
  <w:num w:numId="11">
    <w:abstractNumId w:val="1"/>
  </w:num>
  <w:num w:numId="12">
    <w:abstractNumId w:val="3"/>
  </w:num>
  <w:num w:numId="13">
    <w:abstractNumId w:val="10"/>
  </w:num>
  <w:num w:numId="14">
    <w:abstractNumId w:val="8"/>
  </w:num>
  <w:num w:numId="15">
    <w:abstractNumId w:val="12"/>
  </w:num>
  <w:num w:numId="16">
    <w:abstractNumId w:val="17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CAB"/>
    <w:rsid w:val="00007DE7"/>
    <w:rsid w:val="000261E9"/>
    <w:rsid w:val="00031F18"/>
    <w:rsid w:val="0004170A"/>
    <w:rsid w:val="00044E04"/>
    <w:rsid w:val="00046ECE"/>
    <w:rsid w:val="00047C81"/>
    <w:rsid w:val="00047CD2"/>
    <w:rsid w:val="00047D2F"/>
    <w:rsid w:val="00061B7D"/>
    <w:rsid w:val="0006209D"/>
    <w:rsid w:val="0006227C"/>
    <w:rsid w:val="00074AB3"/>
    <w:rsid w:val="00077861"/>
    <w:rsid w:val="00084680"/>
    <w:rsid w:val="0009000C"/>
    <w:rsid w:val="0009085C"/>
    <w:rsid w:val="00090DE1"/>
    <w:rsid w:val="00092020"/>
    <w:rsid w:val="000951F4"/>
    <w:rsid w:val="00097BE8"/>
    <w:rsid w:val="000A407B"/>
    <w:rsid w:val="000A429C"/>
    <w:rsid w:val="000A5252"/>
    <w:rsid w:val="000A56C1"/>
    <w:rsid w:val="000C24C7"/>
    <w:rsid w:val="000D0EF1"/>
    <w:rsid w:val="000E2B6F"/>
    <w:rsid w:val="00102536"/>
    <w:rsid w:val="001041A5"/>
    <w:rsid w:val="0013779D"/>
    <w:rsid w:val="0015356E"/>
    <w:rsid w:val="001554A0"/>
    <w:rsid w:val="001621BF"/>
    <w:rsid w:val="00170281"/>
    <w:rsid w:val="001712E0"/>
    <w:rsid w:val="00175AA6"/>
    <w:rsid w:val="00184F56"/>
    <w:rsid w:val="00184F73"/>
    <w:rsid w:val="00197C14"/>
    <w:rsid w:val="001B0EDE"/>
    <w:rsid w:val="001B19FC"/>
    <w:rsid w:val="001B7A87"/>
    <w:rsid w:val="001D4524"/>
    <w:rsid w:val="001F0A3A"/>
    <w:rsid w:val="002263C6"/>
    <w:rsid w:val="00226721"/>
    <w:rsid w:val="00231363"/>
    <w:rsid w:val="00237B71"/>
    <w:rsid w:val="00240DFD"/>
    <w:rsid w:val="00252632"/>
    <w:rsid w:val="00255BB4"/>
    <w:rsid w:val="002657F4"/>
    <w:rsid w:val="002670C6"/>
    <w:rsid w:val="00274B25"/>
    <w:rsid w:val="00275039"/>
    <w:rsid w:val="00275446"/>
    <w:rsid w:val="002817FB"/>
    <w:rsid w:val="00290587"/>
    <w:rsid w:val="002951C3"/>
    <w:rsid w:val="002A3193"/>
    <w:rsid w:val="002B4D95"/>
    <w:rsid w:val="002E5D8A"/>
    <w:rsid w:val="002E6FC5"/>
    <w:rsid w:val="002F150E"/>
    <w:rsid w:val="002F21F7"/>
    <w:rsid w:val="00305BCE"/>
    <w:rsid w:val="00326037"/>
    <w:rsid w:val="003360A8"/>
    <w:rsid w:val="00340C8B"/>
    <w:rsid w:val="0034193B"/>
    <w:rsid w:val="00351D6D"/>
    <w:rsid w:val="0035218C"/>
    <w:rsid w:val="00353FC8"/>
    <w:rsid w:val="00354A80"/>
    <w:rsid w:val="00360A3A"/>
    <w:rsid w:val="00377CDF"/>
    <w:rsid w:val="00382CDA"/>
    <w:rsid w:val="003872EE"/>
    <w:rsid w:val="00395FA0"/>
    <w:rsid w:val="003A35E5"/>
    <w:rsid w:val="003D1C1D"/>
    <w:rsid w:val="003D5AD4"/>
    <w:rsid w:val="003E4034"/>
    <w:rsid w:val="003F3F91"/>
    <w:rsid w:val="003F591D"/>
    <w:rsid w:val="0041723A"/>
    <w:rsid w:val="00420DEF"/>
    <w:rsid w:val="004336D3"/>
    <w:rsid w:val="004441F5"/>
    <w:rsid w:val="00447827"/>
    <w:rsid w:val="00447C7C"/>
    <w:rsid w:val="00455F73"/>
    <w:rsid w:val="00470138"/>
    <w:rsid w:val="00484234"/>
    <w:rsid w:val="004923D1"/>
    <w:rsid w:val="004967DF"/>
    <w:rsid w:val="004A0633"/>
    <w:rsid w:val="004A6D8B"/>
    <w:rsid w:val="004D2D8F"/>
    <w:rsid w:val="004E1800"/>
    <w:rsid w:val="004F21C0"/>
    <w:rsid w:val="004F6F02"/>
    <w:rsid w:val="005056DA"/>
    <w:rsid w:val="0051172B"/>
    <w:rsid w:val="005266A9"/>
    <w:rsid w:val="00557D9F"/>
    <w:rsid w:val="00567AE8"/>
    <w:rsid w:val="00570571"/>
    <w:rsid w:val="00570FF9"/>
    <w:rsid w:val="00580629"/>
    <w:rsid w:val="0058480E"/>
    <w:rsid w:val="005865A9"/>
    <w:rsid w:val="00586BC5"/>
    <w:rsid w:val="005A45B1"/>
    <w:rsid w:val="005B0AE5"/>
    <w:rsid w:val="005C6DAE"/>
    <w:rsid w:val="005D333F"/>
    <w:rsid w:val="005D5803"/>
    <w:rsid w:val="005D797A"/>
    <w:rsid w:val="005E483B"/>
    <w:rsid w:val="005E525B"/>
    <w:rsid w:val="00612827"/>
    <w:rsid w:val="0061328E"/>
    <w:rsid w:val="00615675"/>
    <w:rsid w:val="00637305"/>
    <w:rsid w:val="006577A2"/>
    <w:rsid w:val="00674A5F"/>
    <w:rsid w:val="0068027E"/>
    <w:rsid w:val="006823BA"/>
    <w:rsid w:val="006826B9"/>
    <w:rsid w:val="006870A9"/>
    <w:rsid w:val="006926A9"/>
    <w:rsid w:val="006A44DF"/>
    <w:rsid w:val="006A5BDB"/>
    <w:rsid w:val="006B33A7"/>
    <w:rsid w:val="006D21D0"/>
    <w:rsid w:val="006D5FB1"/>
    <w:rsid w:val="006D7185"/>
    <w:rsid w:val="006E007E"/>
    <w:rsid w:val="006E4A3A"/>
    <w:rsid w:val="006E722D"/>
    <w:rsid w:val="006F2A94"/>
    <w:rsid w:val="007120D5"/>
    <w:rsid w:val="007201CC"/>
    <w:rsid w:val="00720A4C"/>
    <w:rsid w:val="007214C0"/>
    <w:rsid w:val="00722946"/>
    <w:rsid w:val="007230A4"/>
    <w:rsid w:val="00727073"/>
    <w:rsid w:val="00742118"/>
    <w:rsid w:val="00750C2D"/>
    <w:rsid w:val="00772D72"/>
    <w:rsid w:val="00786BB8"/>
    <w:rsid w:val="00790613"/>
    <w:rsid w:val="007A2989"/>
    <w:rsid w:val="007A4618"/>
    <w:rsid w:val="007A6DEF"/>
    <w:rsid w:val="007C204C"/>
    <w:rsid w:val="007C7454"/>
    <w:rsid w:val="007D2EF2"/>
    <w:rsid w:val="007D4E40"/>
    <w:rsid w:val="007D5CCC"/>
    <w:rsid w:val="007E123D"/>
    <w:rsid w:val="00812242"/>
    <w:rsid w:val="00822D10"/>
    <w:rsid w:val="00824DFB"/>
    <w:rsid w:val="00835159"/>
    <w:rsid w:val="00842B13"/>
    <w:rsid w:val="008445AD"/>
    <w:rsid w:val="00845420"/>
    <w:rsid w:val="00865B16"/>
    <w:rsid w:val="00867B33"/>
    <w:rsid w:val="0087462D"/>
    <w:rsid w:val="00882A8E"/>
    <w:rsid w:val="008A0473"/>
    <w:rsid w:val="008A2C71"/>
    <w:rsid w:val="008C1982"/>
    <w:rsid w:val="008C1C65"/>
    <w:rsid w:val="008D5EA4"/>
    <w:rsid w:val="008E7B5B"/>
    <w:rsid w:val="008F258C"/>
    <w:rsid w:val="008F40E0"/>
    <w:rsid w:val="0090396C"/>
    <w:rsid w:val="00905837"/>
    <w:rsid w:val="0091388C"/>
    <w:rsid w:val="009322E8"/>
    <w:rsid w:val="00946FE9"/>
    <w:rsid w:val="00955824"/>
    <w:rsid w:val="00955BCB"/>
    <w:rsid w:val="00955D5E"/>
    <w:rsid w:val="00962F88"/>
    <w:rsid w:val="00964FC1"/>
    <w:rsid w:val="00970F70"/>
    <w:rsid w:val="009846E7"/>
    <w:rsid w:val="00987B8F"/>
    <w:rsid w:val="009A586A"/>
    <w:rsid w:val="009A7B26"/>
    <w:rsid w:val="009B6B85"/>
    <w:rsid w:val="009C4FCF"/>
    <w:rsid w:val="009C502C"/>
    <w:rsid w:val="009D0C26"/>
    <w:rsid w:val="009D21EF"/>
    <w:rsid w:val="009E10EF"/>
    <w:rsid w:val="009E3B3D"/>
    <w:rsid w:val="009F36A2"/>
    <w:rsid w:val="009F414E"/>
    <w:rsid w:val="00A10100"/>
    <w:rsid w:val="00A2012D"/>
    <w:rsid w:val="00A256CA"/>
    <w:rsid w:val="00A25C2C"/>
    <w:rsid w:val="00A4288C"/>
    <w:rsid w:val="00A55819"/>
    <w:rsid w:val="00A65A94"/>
    <w:rsid w:val="00A90917"/>
    <w:rsid w:val="00AA1907"/>
    <w:rsid w:val="00AB0F85"/>
    <w:rsid w:val="00AB1AA7"/>
    <w:rsid w:val="00AC3B86"/>
    <w:rsid w:val="00AF6CB8"/>
    <w:rsid w:val="00B0116C"/>
    <w:rsid w:val="00B12E1A"/>
    <w:rsid w:val="00B30F7D"/>
    <w:rsid w:val="00B31B3D"/>
    <w:rsid w:val="00B37780"/>
    <w:rsid w:val="00B55568"/>
    <w:rsid w:val="00B563C0"/>
    <w:rsid w:val="00B70D25"/>
    <w:rsid w:val="00B84BDC"/>
    <w:rsid w:val="00BB7347"/>
    <w:rsid w:val="00BC5230"/>
    <w:rsid w:val="00BF07B8"/>
    <w:rsid w:val="00C00745"/>
    <w:rsid w:val="00C00823"/>
    <w:rsid w:val="00C1657D"/>
    <w:rsid w:val="00C43340"/>
    <w:rsid w:val="00C47117"/>
    <w:rsid w:val="00C668F3"/>
    <w:rsid w:val="00CB3219"/>
    <w:rsid w:val="00CC1607"/>
    <w:rsid w:val="00CE3238"/>
    <w:rsid w:val="00CF2CCE"/>
    <w:rsid w:val="00D078DF"/>
    <w:rsid w:val="00D1036E"/>
    <w:rsid w:val="00D11110"/>
    <w:rsid w:val="00D25D1D"/>
    <w:rsid w:val="00D27FF4"/>
    <w:rsid w:val="00D30654"/>
    <w:rsid w:val="00D3521D"/>
    <w:rsid w:val="00D52134"/>
    <w:rsid w:val="00D563AC"/>
    <w:rsid w:val="00D63975"/>
    <w:rsid w:val="00D667CD"/>
    <w:rsid w:val="00D75BCB"/>
    <w:rsid w:val="00D82938"/>
    <w:rsid w:val="00D84C99"/>
    <w:rsid w:val="00D9563D"/>
    <w:rsid w:val="00D9716E"/>
    <w:rsid w:val="00D97C76"/>
    <w:rsid w:val="00DA0C25"/>
    <w:rsid w:val="00DB6AF1"/>
    <w:rsid w:val="00DC4FC8"/>
    <w:rsid w:val="00DD189F"/>
    <w:rsid w:val="00DD358A"/>
    <w:rsid w:val="00DD4667"/>
    <w:rsid w:val="00DD7D67"/>
    <w:rsid w:val="00DE63A0"/>
    <w:rsid w:val="00DF475B"/>
    <w:rsid w:val="00E0548C"/>
    <w:rsid w:val="00E21C05"/>
    <w:rsid w:val="00E47787"/>
    <w:rsid w:val="00E51AFA"/>
    <w:rsid w:val="00E52C71"/>
    <w:rsid w:val="00E54D2F"/>
    <w:rsid w:val="00E672F4"/>
    <w:rsid w:val="00E84165"/>
    <w:rsid w:val="00E91C81"/>
    <w:rsid w:val="00E9620E"/>
    <w:rsid w:val="00EA3011"/>
    <w:rsid w:val="00EA3D13"/>
    <w:rsid w:val="00EC15C4"/>
    <w:rsid w:val="00EC4995"/>
    <w:rsid w:val="00ED3EDD"/>
    <w:rsid w:val="00ED500C"/>
    <w:rsid w:val="00EE755D"/>
    <w:rsid w:val="00EF1FAC"/>
    <w:rsid w:val="00F00F7A"/>
    <w:rsid w:val="00F041CB"/>
    <w:rsid w:val="00F04565"/>
    <w:rsid w:val="00F0659E"/>
    <w:rsid w:val="00F14912"/>
    <w:rsid w:val="00F153DA"/>
    <w:rsid w:val="00F31215"/>
    <w:rsid w:val="00F37B1B"/>
    <w:rsid w:val="00F457E0"/>
    <w:rsid w:val="00F71AE5"/>
    <w:rsid w:val="00F752E5"/>
    <w:rsid w:val="00F81399"/>
    <w:rsid w:val="00F82DAB"/>
    <w:rsid w:val="00F863C6"/>
    <w:rsid w:val="00F875DD"/>
    <w:rsid w:val="00FA090D"/>
    <w:rsid w:val="00FD14E4"/>
    <w:rsid w:val="00FD2E02"/>
    <w:rsid w:val="00FE2826"/>
    <w:rsid w:val="00FF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C745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D0C26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C7454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D0C26"/>
    <w:rPr>
      <w:rFonts w:asciiTheme="majorHAnsi" w:eastAsiaTheme="majorEastAsia" w:hAnsiTheme="majorHAnsi" w:cstheme="majorBidi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F01EF-521A-476B-97D1-92A46496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dcterms:created xsi:type="dcterms:W3CDTF">2019-02-15T05:01:00Z</dcterms:created>
  <dcterms:modified xsi:type="dcterms:W3CDTF">2019-03-28T03:51:00Z</dcterms:modified>
</cp:coreProperties>
</file>